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IDENTITY AND ACCESS MANAGEMENT</w:t>
        <w:br/>
        <w:t>SOLUTION DESIGN</w:t>
      </w:r>
    </w:p>
    <w:p>
      <w:pPr>
        <w:jc w:val="center"/>
      </w:pPr>
      <w:r>
        <w:rPr>
          <w:i/>
          <w:sz w:val="20"/>
        </w:rPr>
        <w:t>TechCorp Enterprises | Tata Consultancy Services Cybersecurity Analyst Simulation</w:t>
      </w:r>
    </w:p>
    <w:p>
      <w:r>
        <w:t>Document purpose: Propose a practical, scalable IAM design for TechCorp Enterprises, focusing on user lifecycle management and stronger access controls. This is a proposed design based on the scenario provided in the simulation; it is not a claim that the controls have already been deployed.</w:t>
      </w:r>
    </w:p>
    <w:p>
      <w:pPr>
        <w:pStyle w:val="Heading1"/>
      </w:pPr>
      <w:r>
        <w:t>1. Executive Summary</w:t>
      </w:r>
    </w:p>
    <w:p>
      <w:r>
        <w:t>TechCorp operates across more than 100 countries, employs over 150,000 people, and manages a broad portfolio of applications, cloud services, systems, and data repositories. Its scale and digital transformation make consistent identity governance difficult if account changes and permissions are handled manually. This proposal recommends a centralized, policy-driven IAM capability that automates identity lifecycle events and enforces risk-appropriate access controls. The design aims to reduce unauthorized access, remove access promptly when it is no longer justified, improve auditability, and make legitimate access easier for employees and approved external users.</w:t>
      </w:r>
    </w:p>
    <w:p>
      <w:pPr>
        <w:pStyle w:val="Heading1"/>
      </w:pPr>
      <w:r>
        <w:t>2. Business Requirements and Design Principles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Requirement</w:t>
            </w:r>
          </w:p>
        </w:tc>
        <w:tc>
          <w:tcPr>
            <w:tcW w:type="dxa" w:w="4968"/>
            <w:vAlign w:val="center"/>
          </w:tcPr>
          <w:p>
            <w:r>
              <w:t>Design implication</w:t>
            </w:r>
          </w:p>
        </w:tc>
      </w:tr>
      <w:tr>
        <w:tc>
          <w:tcPr>
            <w:tcW w:type="dxa" w:w="4968"/>
            <w:vAlign w:val="center"/>
          </w:tcPr>
          <w:p>
            <w:r>
              <w:t>Scale and global operations</w:t>
            </w:r>
          </w:p>
        </w:tc>
        <w:tc>
          <w:tcPr>
            <w:tcW w:type="dxa" w:w="4968"/>
            <w:vAlign w:val="center"/>
          </w:tcPr>
          <w:p>
            <w:r>
              <w:t>Support a large, distributed workforce, multiple regions, and growth without relying on manual account administration.</w:t>
            </w:r>
          </w:p>
        </w:tc>
      </w:tr>
      <w:tr>
        <w:tc>
          <w:tcPr>
            <w:tcW w:type="dxa" w:w="4968"/>
            <w:vAlign w:val="center"/>
          </w:tcPr>
          <w:p>
            <w:r>
              <w:t>Security and risk reduction</w:t>
            </w:r>
          </w:p>
        </w:tc>
        <w:tc>
          <w:tcPr>
            <w:tcW w:type="dxa" w:w="4968"/>
            <w:vAlign w:val="center"/>
          </w:tcPr>
          <w:p>
            <w:r>
              <w:t>Apply least privilege, strong authentication, controlled privileged access, and prompt removal of unnecessary access.</w:t>
            </w:r>
          </w:p>
        </w:tc>
      </w:tr>
      <w:tr>
        <w:tc>
          <w:tcPr>
            <w:tcW w:type="dxa" w:w="4968"/>
            <w:vAlign w:val="center"/>
          </w:tcPr>
          <w:p>
            <w:r>
              <w:t>Operational efficiency</w:t>
            </w:r>
          </w:p>
        </w:tc>
        <w:tc>
          <w:tcPr>
            <w:tcW w:type="dxa" w:w="4968"/>
            <w:vAlign w:val="center"/>
          </w:tcPr>
          <w:p>
            <w:r>
              <w:t>Automate repeatable joiner, mover, and leaver processes and reduce avoidable service-desk work.</w:t>
            </w:r>
          </w:p>
        </w:tc>
      </w:tr>
      <w:tr>
        <w:tc>
          <w:tcPr>
            <w:tcW w:type="dxa" w:w="4968"/>
            <w:vAlign w:val="center"/>
          </w:tcPr>
          <w:p>
            <w:r>
              <w:t>User experience</w:t>
            </w:r>
          </w:p>
        </w:tc>
        <w:tc>
          <w:tcPr>
            <w:tcW w:type="dxa" w:w="4968"/>
            <w:vAlign w:val="center"/>
          </w:tcPr>
          <w:p>
            <w:r>
              <w:t>Use single sign-on (SSO) where feasible, clear access-request workflows, and timely approvals.</w:t>
            </w:r>
          </w:p>
        </w:tc>
      </w:tr>
      <w:tr>
        <w:tc>
          <w:tcPr>
            <w:tcW w:type="dxa" w:w="4968"/>
            <w:vAlign w:val="center"/>
          </w:tcPr>
          <w:p>
            <w:r>
              <w:t>Integration</w:t>
            </w:r>
          </w:p>
        </w:tc>
        <w:tc>
          <w:tcPr>
            <w:tcW w:type="dxa" w:w="4968"/>
            <w:vAlign w:val="center"/>
          </w:tcPr>
          <w:p>
            <w:r>
              <w:t>Work with existing directories, business applications, legacy systems, and cloud platforms through supported standards and connectors.</w:t>
            </w:r>
          </w:p>
        </w:tc>
      </w:tr>
      <w:tr>
        <w:tc>
          <w:tcPr>
            <w:tcW w:type="dxa" w:w="4968"/>
            <w:vAlign w:val="center"/>
          </w:tcPr>
          <w:p>
            <w:r>
              <w:t>Governance and compliance</w:t>
            </w:r>
          </w:p>
        </w:tc>
        <w:tc>
          <w:tcPr>
            <w:tcW w:type="dxa" w:w="4968"/>
            <w:vAlign w:val="center"/>
          </w:tcPr>
          <w:p>
            <w:r>
              <w:t>Maintain traceable approvals, access reviews, audit logs, and evidence for applicable legal, regulatory, and contractual obligations.</w:t>
            </w:r>
          </w:p>
        </w:tc>
      </w:tr>
    </w:tbl>
    <w:p>
      <w:pPr>
        <w:pStyle w:val="Heading1"/>
      </w:pPr>
      <w:r>
        <w:t>3. Solution A — Automated User Lifecycle Management</w:t>
      </w:r>
    </w:p>
    <w:p>
      <w:pPr>
        <w:pStyle w:val="Heading2"/>
      </w:pPr>
      <w:r>
        <w:t>3.1 Proposed design</w:t>
      </w:r>
    </w:p>
    <w:p>
      <w:r>
        <w:t>Use an authoritative HR or workforce-management source for employee status and organisational attributes. Synchronize approved identity attributes with a central identity governance and administration (IGA) workflow. Use connectors or APIs to provision and update accounts in connected directories, SaaS applications, and cloud services. Where direct automation is not supported, create a tracked task for the responsible application owner.</w:t>
      </w:r>
    </w:p>
    <w:p>
      <w:pPr>
        <w:pStyle w:val="Heading2"/>
      </w:pPr>
      <w:r>
        <w:t>3.2 Joiner, mover, and leaver workflow</w:t>
      </w:r>
    </w:p>
    <w:p>
      <w:pPr>
        <w:pStyle w:val="Heading3"/>
      </w:pPr>
      <w:r>
        <w:t>Joiner — onboarding</w:t>
      </w:r>
    </w:p>
    <w:p>
      <w:r>
        <w:t>A validated HR record triggers identity creation. Assign baseline access from approved job role, department, location, and employment type. Require manager or application-owner approval for non-standard or sensitive access.</w:t>
      </w:r>
    </w:p>
    <w:p>
      <w:pPr>
        <w:pStyle w:val="Heading3"/>
      </w:pPr>
      <w:r>
        <w:t>Mover — role or department change</w:t>
      </w:r>
    </w:p>
    <w:p>
      <w:r>
        <w:t>Re-evaluate access when a person's role, department, location, or status changes. Grant newly required permissions only after policy checks and approvals; remove incompatible or obsolete permissions.</w:t>
      </w:r>
    </w:p>
    <w:p>
      <w:pPr>
        <w:pStyle w:val="Heading3"/>
      </w:pPr>
      <w:r>
        <w:t>Leaver — offboarding</w:t>
      </w:r>
    </w:p>
    <w:p>
      <w:r>
        <w:t>A termination or contract-end event triggers prompt account disablement according to a documented risk-based SLA. Revoke sessions and tokens where supported, remove application access, handle privileged credentials, and retain required logs.</w:t>
      </w:r>
    </w:p>
    <w:p>
      <w:pPr>
        <w:pStyle w:val="Heading3"/>
      </w:pPr>
      <w:r>
        <w:t>External identities</w:t>
      </w:r>
    </w:p>
    <w:p>
      <w:r>
        <w:t>Give contractors and partners named accounts with a sponsor, purpose, expiry date, and limited scope. Require renewal approval for extensions and disable expired accounts automatically.</w:t>
      </w:r>
    </w:p>
    <w:p>
      <w:pPr>
        <w:pStyle w:val="Heading2"/>
      </w:pPr>
      <w:r>
        <w:t>3.3 Controls and exception handling</w:t>
      </w:r>
    </w:p>
    <w:p>
      <w:pPr>
        <w:pStyle w:val="ListBullet"/>
      </w:pPr>
      <w:r>
        <w:t>Use unique identity identifiers and reconcile HR, directory, and application records to detect duplicate, orphaned, or inconsistent accounts.</w:t>
      </w:r>
    </w:p>
    <w:p>
      <w:pPr>
        <w:pStyle w:val="ListBullet"/>
      </w:pPr>
      <w:r>
        <w:t>Apply role-based access templates for common jobs; route exceptions through documented approval workflows.</w:t>
      </w:r>
    </w:p>
    <w:p>
      <w:pPr>
        <w:pStyle w:val="ListBullet"/>
      </w:pPr>
      <w:r>
        <w:t>Use time-bound access for temporary assignments and require recertification when access is extended.</w:t>
      </w:r>
    </w:p>
    <w:p>
      <w:pPr>
        <w:pStyle w:val="ListBullet"/>
      </w:pPr>
      <w:r>
        <w:t>Record the initiating event, approver, provisioning result, failure, and remediation action in auditable logs.</w:t>
      </w:r>
    </w:p>
    <w:p>
      <w:pPr>
        <w:pStyle w:val="ListBullet"/>
      </w:pPr>
      <w:r>
        <w:t>Alert the IAM operations team when provisioning or deprovisioning fails; use retries and a manual fallback with ownership and deadlines.</w:t>
      </w:r>
    </w:p>
    <w:p>
      <w:pPr>
        <w:pStyle w:val="ListBullet"/>
      </w:pPr>
      <w:r>
        <w:t>Separate duties so that requesters cannot approve their own sensitive access and privileged access is independently reviewed.</w:t>
      </w:r>
    </w:p>
    <w:p>
      <w:pPr>
        <w:pStyle w:val="Heading1"/>
      </w:pPr>
      <w:r>
        <w:t>4. Solution B — Stronger Access Control Mechanisms</w:t>
      </w:r>
    </w:p>
    <w:p>
      <w:pPr>
        <w:pStyle w:val="Heading2"/>
      </w:pPr>
      <w:r>
        <w:t>4.1 Role-based access control and least privilege</w:t>
      </w:r>
    </w:p>
    <w:p>
      <w:r>
        <w:t>Establish a role catalogue mapped to approved job functions, departments, and resource needs. Define permissions for each role with application and data owners, and assign users based on verified attributes. Start with minimum required access; avoid broad default groups and shared accounts. Review role membership periodically and use attribute- or context-based policies when role membership alone is insufficient.</w:t>
      </w:r>
    </w:p>
    <w:p>
      <w:pPr>
        <w:pStyle w:val="Heading2"/>
      </w:pPr>
      <w:r>
        <w:t>4.2 Multi-factor authentication and single sign-on</w:t>
      </w:r>
    </w:p>
    <w:p>
      <w:r>
        <w:t>Require MFA for remote access, cloud services, sensitive data, administrative actions, and other high-risk events. Prefer phishing-resistant methods, such as FIDO2 security keys or passkeys, where supported. Use SSO through a central identity provider for compatible applications to simplify access and apply consistent authentication policies. Maintain secure recovery procedures and tightly controlled emergency accounts.</w:t>
      </w:r>
    </w:p>
    <w:p>
      <w:pPr>
        <w:pStyle w:val="Heading2"/>
      </w:pPr>
      <w:r>
        <w:t>4.3 Privileged access and segregation of duties</w:t>
      </w:r>
    </w:p>
    <w:p>
      <w:r>
        <w:t>Keep administrator accounts separate from everyday user accounts. Use a privileged access management (PAM) capability where feasible for credential vaulting, just-in-time elevation, approval, session logging, and rotation. Define incompatible permission combinations and require additional review for exceptions.</w:t>
      </w:r>
    </w:p>
    <w:p>
      <w:pPr>
        <w:pStyle w:val="Heading2"/>
      </w:pPr>
      <w:r>
        <w:t>4.4 Access reviews, logging, and detection</w:t>
      </w:r>
    </w:p>
    <w:p>
      <w:pPr>
        <w:pStyle w:val="ListBullet"/>
      </w:pPr>
      <w:r>
        <w:t>Run scheduled access certifications with managers and application/data owners; review privileged access more frequently and after major role changes.</w:t>
      </w:r>
    </w:p>
    <w:p>
      <w:pPr>
        <w:pStyle w:val="ListBullet"/>
      </w:pPr>
      <w:r>
        <w:t>Centralize authentication, authorization, provisioning, and privileged activity logs where feasible, and protect logs against unauthorized alteration.</w:t>
      </w:r>
    </w:p>
    <w:p>
      <w:pPr>
        <w:pStyle w:val="ListBullet"/>
      </w:pPr>
      <w:r>
        <w:t>Alert on repeated authentication failures, unusual sign-in patterns, privilege escalation, dormant accounts becoming active, and failed deprovisioning.</w:t>
      </w:r>
    </w:p>
    <w:p>
      <w:pPr>
        <w:pStyle w:val="ListBullet"/>
      </w:pPr>
      <w:r>
        <w:t>Document an incident process to suspend risky access, investigate events, preserve evidence, and restore access only after approval.</w:t>
      </w:r>
    </w:p>
    <w:p>
      <w:pPr>
        <w:pStyle w:val="Heading1"/>
      </w:pPr>
      <w:r>
        <w:t>5. Implementation Approach and Technology</w:t>
      </w:r>
    </w:p>
    <w:p>
      <w:r>
        <w:t>Select technologies only after discovering TechCorp's existing identity provider, directories, HR system, applications, cloud providers, regulatory obligations, and integration constraints. The design is capability-led rather than tied to a particular vendor.</w:t>
      </w:r>
    </w:p>
    <w:p>
      <w:pPr>
        <w:pStyle w:val="Heading2"/>
      </w:pPr>
      <w:r>
        <w:t>Phase 1 — Discover and baseline</w:t>
      </w:r>
    </w:p>
    <w:p>
      <w:r>
        <w:t>Inventory identities, applications, roles, privileged accounts, current authentication methods, and existing integrations. Confirm system owners and establish baseline metrics.</w:t>
      </w:r>
    </w:p>
    <w:p>
      <w:pPr>
        <w:pStyle w:val="Heading2"/>
      </w:pPr>
      <w:r>
        <w:t>Phase 2 — Design and pilot</w:t>
      </w:r>
    </w:p>
    <w:p>
      <w:r>
        <w:t>Define identity attributes, lifecycle rules, role model, approval matrix, MFA policies, exception handling, and audit requirements. Pilot with a limited business unit and a representative set of applications.</w:t>
      </w:r>
    </w:p>
    <w:p>
      <w:pPr>
        <w:pStyle w:val="Heading2"/>
      </w:pPr>
      <w:r>
        <w:t>Phase 3 — Automate lifecycle</w:t>
      </w:r>
    </w:p>
    <w:p>
      <w:r>
        <w:t>Connect the authoritative workforce source to the IGA workflow and pilot applications. Test joiner, mover, leaver, contractor expiry, failure recovery, and reconciliation.</w:t>
      </w:r>
    </w:p>
    <w:p>
      <w:pPr>
        <w:pStyle w:val="Heading2"/>
      </w:pPr>
      <w:r>
        <w:t>Phase 4 — Strengthen access controls</w:t>
      </w:r>
    </w:p>
    <w:p>
      <w:r>
        <w:t>Roll out MFA by risk priority, introduce SSO where compatible, reduce excessive permissions, and protect privileged accounts.</w:t>
      </w:r>
    </w:p>
    <w:p>
      <w:pPr>
        <w:pStyle w:val="Heading2"/>
      </w:pPr>
      <w:r>
        <w:t>Phase 5 — Expand and optimise</w:t>
      </w:r>
    </w:p>
    <w:p>
      <w:r>
        <w:t>Migrate applications in risk-based waves, monitor service impact, train users and administrators, review metrics, and continuously refine policies.</w:t>
      </w:r>
    </w:p>
    <w:p>
      <w:pPr>
        <w:pStyle w:val="Heading1"/>
      </w:pPr>
      <w:r>
        <w:t>6. Alignment with Business Processes and Objectives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Business process</w:t>
            </w:r>
          </w:p>
        </w:tc>
        <w:tc>
          <w:tcPr>
            <w:tcW w:type="dxa" w:w="4968"/>
          </w:tcPr>
          <w:p>
            <w:r>
              <w:t>Expected alignment</w:t>
            </w:r>
          </w:p>
        </w:tc>
      </w:tr>
      <w:tr>
        <w:tc>
          <w:tcPr>
            <w:tcW w:type="dxa" w:w="4968"/>
          </w:tcPr>
          <w:p>
            <w:r>
              <w:t>HR and contractor management</w:t>
            </w:r>
          </w:p>
        </w:tc>
        <w:tc>
          <w:tcPr>
            <w:tcW w:type="dxa" w:w="4968"/>
          </w:tcPr>
          <w:p>
            <w:r>
              <w:t>Workforce events initiate identity changes, reducing delay between employment status and access status.</w:t>
            </w:r>
          </w:p>
        </w:tc>
      </w:tr>
      <w:tr>
        <w:tc>
          <w:tcPr>
            <w:tcW w:type="dxa" w:w="4968"/>
          </w:tcPr>
          <w:p>
            <w:r>
              <w:t>Application ownership</w:t>
            </w:r>
          </w:p>
        </w:tc>
        <w:tc>
          <w:tcPr>
            <w:tcW w:type="dxa" w:w="4968"/>
          </w:tcPr>
          <w:p>
            <w:r>
              <w:t>Owners approve sensitive or non-standard permissions and participate in periodic access reviews.</w:t>
            </w:r>
          </w:p>
        </w:tc>
      </w:tr>
      <w:tr>
        <w:tc>
          <w:tcPr>
            <w:tcW w:type="dxa" w:w="4968"/>
          </w:tcPr>
          <w:p>
            <w:r>
              <w:t>IT service management</w:t>
            </w:r>
          </w:p>
        </w:tc>
        <w:tc>
          <w:tcPr>
            <w:tcW w:type="dxa" w:w="4968"/>
          </w:tcPr>
          <w:p>
            <w:r>
              <w:t>Access requests, exceptions, and failed integrations are tracked as assigned work items with clear deadlines.</w:t>
            </w:r>
          </w:p>
        </w:tc>
      </w:tr>
      <w:tr>
        <w:tc>
          <w:tcPr>
            <w:tcW w:type="dxa" w:w="4968"/>
          </w:tcPr>
          <w:p>
            <w:r>
              <w:t>Security operations</w:t>
            </w:r>
          </w:p>
        </w:tc>
        <w:tc>
          <w:tcPr>
            <w:tcW w:type="dxa" w:w="4968"/>
          </w:tcPr>
          <w:p>
            <w:r>
              <w:t>Centralized identity events improve detection and investigation of suspicious access.</w:t>
            </w:r>
          </w:p>
        </w:tc>
      </w:tr>
      <w:tr>
        <w:tc>
          <w:tcPr>
            <w:tcW w:type="dxa" w:w="4968"/>
          </w:tcPr>
          <w:p>
            <w:r>
              <w:t>Business productivity</w:t>
            </w:r>
          </w:p>
        </w:tc>
        <w:tc>
          <w:tcPr>
            <w:tcW w:type="dxa" w:w="4968"/>
          </w:tcPr>
          <w:p>
            <w:r>
              <w:t>SSO and automated standard access reduce repetitive login and manual provisioning tasks.</w:t>
            </w:r>
          </w:p>
        </w:tc>
      </w:tr>
      <w:tr>
        <w:tc>
          <w:tcPr>
            <w:tcW w:type="dxa" w:w="4968"/>
          </w:tcPr>
          <w:p>
            <w:r>
              <w:t>Global operations</w:t>
            </w:r>
          </w:p>
        </w:tc>
        <w:tc>
          <w:tcPr>
            <w:tcW w:type="dxa" w:w="4968"/>
          </w:tcPr>
          <w:p>
            <w:r>
              <w:t>A common policy framework supports consistent controls while allowing documented regional and application-specific requirements.</w:t>
            </w:r>
          </w:p>
        </w:tc>
      </w:tr>
    </w:tbl>
    <w:p>
      <w:pPr>
        <w:pStyle w:val="Heading1"/>
      </w:pPr>
      <w:r>
        <w:t>7. Rationale for the Recommended Controls</w:t>
      </w:r>
    </w:p>
    <w:p>
      <w:pPr>
        <w:pStyle w:val="ListBullet"/>
      </w:pPr>
      <w:r>
        <w:rPr>
          <w:b/>
        </w:rPr>
        <w:t xml:space="preserve">Automated lifecycle workflows: </w:t>
      </w:r>
      <w:r>
        <w:t>Reduce manual delays and errors, particularly when employees change roles or leave.</w:t>
      </w:r>
    </w:p>
    <w:p>
      <w:pPr>
        <w:pStyle w:val="ListBullet"/>
      </w:pPr>
      <w:r>
        <w:rPr>
          <w:b/>
        </w:rPr>
        <w:t xml:space="preserve">RBAC with least privilege: </w:t>
      </w:r>
      <w:r>
        <w:t>Makes access more consistent and reviewable while limiting unnecessary permissions.</w:t>
      </w:r>
    </w:p>
    <w:p>
      <w:pPr>
        <w:pStyle w:val="ListBullet"/>
      </w:pPr>
      <w:r>
        <w:rPr>
          <w:b/>
        </w:rPr>
        <w:t xml:space="preserve">Risk-based MFA and SSO: </w:t>
      </w:r>
      <w:r>
        <w:t>Raises assurance for sensitive access while improving convenience for compatible applications.</w:t>
      </w:r>
    </w:p>
    <w:p>
      <w:pPr>
        <w:pStyle w:val="ListBullet"/>
      </w:pPr>
      <w:r>
        <w:rPr>
          <w:b/>
        </w:rPr>
        <w:t xml:space="preserve">Access reviews and audit trails: </w:t>
      </w:r>
      <w:r>
        <w:t>Help identify inappropriate access and provide evidence of approvals and control operation.</w:t>
      </w:r>
    </w:p>
    <w:p>
      <w:pPr>
        <w:pStyle w:val="ListBullet"/>
      </w:pPr>
      <w:r>
        <w:rPr>
          <w:b/>
        </w:rPr>
        <w:t xml:space="preserve">Phased deployment: </w:t>
      </w:r>
      <w:r>
        <w:t>Limits disruption, validates integrations early, and allows high-risk systems to be prioritised.</w:t>
      </w:r>
    </w:p>
    <w:p>
      <w:pPr>
        <w:pStyle w:val="Heading1"/>
      </w:pPr>
      <w:r>
        <w:t>8. Risks and Mitigations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Incorrect role mapping</w:t>
            </w:r>
          </w:p>
        </w:tc>
        <w:tc>
          <w:tcPr>
            <w:tcW w:type="dxa" w:w="4968"/>
          </w:tcPr>
          <w:p>
            <w:r>
              <w:t>Pilot roles with business owners, test against real job duties, and review access after deployment.</w:t>
            </w:r>
          </w:p>
        </w:tc>
      </w:tr>
      <w:tr>
        <w:tc>
          <w:tcPr>
            <w:tcW w:type="dxa" w:w="4968"/>
          </w:tcPr>
          <w:p>
            <w:r>
              <w:t>Legacy application incompatibility</w:t>
            </w:r>
          </w:p>
        </w:tc>
        <w:tc>
          <w:tcPr>
            <w:tcW w:type="dxa" w:w="4968"/>
          </w:tcPr>
          <w:p>
            <w:r>
              <w:t>Use supported connectors or federation where possible; otherwise implement controlled, auditable manual workflows.</w:t>
            </w:r>
          </w:p>
        </w:tc>
      </w:tr>
      <w:tr>
        <w:tc>
          <w:tcPr>
            <w:tcW w:type="dxa" w:w="4968"/>
          </w:tcPr>
          <w:p>
            <w:r>
              <w:t>Provisioning workflow failure</w:t>
            </w:r>
          </w:p>
        </w:tc>
        <w:tc>
          <w:tcPr>
            <w:tcW w:type="dxa" w:w="4968"/>
          </w:tcPr>
          <w:p>
            <w:r>
              <w:t>Monitor failures, retry safely, assign remediation owners, and maintain documented fallback procedures.</w:t>
            </w:r>
          </w:p>
        </w:tc>
      </w:tr>
      <w:tr>
        <w:tc>
          <w:tcPr>
            <w:tcW w:type="dxa" w:w="4968"/>
          </w:tcPr>
          <w:p>
            <w:r>
              <w:t>User disruption during MFA/SSO rollout</w:t>
            </w:r>
          </w:p>
        </w:tc>
        <w:tc>
          <w:tcPr>
            <w:tcW w:type="dxa" w:w="4968"/>
          </w:tcPr>
          <w:p>
            <w:r>
              <w:t>Communicate changes, provide secure enrolment and recovery support, and deploy in staged waves.</w:t>
            </w:r>
          </w:p>
        </w:tc>
      </w:tr>
      <w:tr>
        <w:tc>
          <w:tcPr>
            <w:tcW w:type="dxa" w:w="4968"/>
          </w:tcPr>
          <w:p>
            <w:r>
              <w:t>Overly broad emergency access</w:t>
            </w:r>
          </w:p>
        </w:tc>
        <w:tc>
          <w:tcPr>
            <w:tcW w:type="dxa" w:w="4968"/>
          </w:tcPr>
          <w:p>
            <w:r>
              <w:t>Restrict emergency accounts, alert on use, require post-use review, and test the break-glass process.</w:t>
            </w:r>
          </w:p>
        </w:tc>
      </w:tr>
      <w:tr>
        <w:tc>
          <w:tcPr>
            <w:tcW w:type="dxa" w:w="4968"/>
          </w:tcPr>
          <w:p>
            <w:r>
              <w:t>Global privacy or regulatory differences</w:t>
            </w:r>
          </w:p>
        </w:tc>
        <w:tc>
          <w:tcPr>
            <w:tcW w:type="dxa" w:w="4968"/>
          </w:tcPr>
          <w:p>
            <w:r>
              <w:t>Involve regional legal/compliance teams and minimise identity data collected and retained.</w:t>
            </w:r>
          </w:p>
        </w:tc>
      </w:tr>
    </w:tbl>
    <w:p>
      <w:pPr>
        <w:pStyle w:val="Heading1"/>
      </w:pPr>
      <w:r>
        <w:t>9. Success Measures</w:t>
      </w:r>
    </w:p>
    <w:p>
      <w:r>
        <w:t>Establish baselines during discovery and agree targets with stakeholders before rollout. Suggested measures include:</w:t>
      </w:r>
    </w:p>
    <w:p>
      <w:pPr>
        <w:pStyle w:val="ListBullet"/>
      </w:pPr>
      <w:r>
        <w:t>Median time to provision standard access and complete approved role changes.</w:t>
      </w:r>
    </w:p>
    <w:p>
      <w:pPr>
        <w:pStyle w:val="ListBullet"/>
      </w:pPr>
      <w:r>
        <w:t>Time from an authoritative termination event to account disablement and access revocation.</w:t>
      </w:r>
    </w:p>
    <w:p>
      <w:pPr>
        <w:pStyle w:val="ListBullet"/>
      </w:pPr>
      <w:r>
        <w:t>Percentage of in-scope applications connected to automated lifecycle workflows or documented controls.</w:t>
      </w:r>
    </w:p>
    <w:p>
      <w:pPr>
        <w:pStyle w:val="ListBullet"/>
      </w:pPr>
      <w:r>
        <w:t>MFA coverage for workforce, privileged, and high-risk access.</w:t>
      </w:r>
    </w:p>
    <w:p>
      <w:pPr>
        <w:pStyle w:val="ListBullet"/>
      </w:pPr>
      <w:r>
        <w:t>Percentage of scheduled access reviews completed by their due dates.</w:t>
      </w:r>
    </w:p>
    <w:p>
      <w:pPr>
        <w:pStyle w:val="ListBullet"/>
      </w:pPr>
      <w:r>
        <w:t>Number and age of orphaned accounts, excessive permissions, and unresolved provisioning failures.</w:t>
      </w:r>
    </w:p>
    <w:p>
      <w:pPr>
        <w:pStyle w:val="ListBullet"/>
      </w:pPr>
      <w:r>
        <w:t>SSO adoption and access-related service-desk ticket volume.</w:t>
      </w:r>
    </w:p>
    <w:p>
      <w:pPr>
        <w:pStyle w:val="ListBullet"/>
      </w:pPr>
      <w:r>
        <w:t>Number of policy exceptions and overdue remediation actions.</w:t>
      </w:r>
    </w:p>
    <w:p>
      <w:pPr>
        <w:pStyle w:val="Heading1"/>
      </w:pPr>
      <w:r>
        <w:t>10. Conclusion</w:t>
      </w:r>
    </w:p>
    <w:p>
      <w:r>
        <w:t>A centralized, automated, and risk-based IAM programme will help TechCorp manage identities consistently across its global environment. Prioritising lifecycle automation, RBAC, least privilege, MFA, privileged access controls, and recurring access reviews addresses the two stated focus areas while supporting business continuity and user productivity. The recommended next step is to validate the design against TechCorp's actual systems and assessment findings, then agree a phased implementation plan with measurable outcomes.</w:t>
      </w:r>
    </w:p>
    <w:p>
      <w:pPr>
        <w:pStyle w:val="Heading1"/>
      </w:pPr>
      <w:r>
        <w:t>Appendix — Assumptions and Validation Items</w:t>
      </w:r>
    </w:p>
    <w:p>
      <w:pPr>
        <w:pStyle w:val="ListBullet"/>
      </w:pPr>
      <w:r>
        <w:t>The scenario states that TechCorp operates in more than 100 countries and employs over 150,000 people.</w:t>
      </w:r>
    </w:p>
    <w:p>
      <w:pPr>
        <w:pStyle w:val="ListBullet"/>
      </w:pPr>
      <w:r>
        <w:t>The scenario identifies user lifecycle management and access control mechanisms as the primary focus areas.</w:t>
      </w:r>
    </w:p>
    <w:p>
      <w:pPr>
        <w:pStyle w:val="ListBullet"/>
      </w:pPr>
      <w:r>
        <w:t>The current HR platform, identity provider, directories, application inventory, cloud providers, and applicable regulations have not been specified; these must be confirmed during discovery.</w:t>
      </w:r>
    </w:p>
    <w:p>
      <w:pPr>
        <w:pStyle w:val="ListBullet"/>
      </w:pPr>
      <w:r>
        <w:t>No deployment or measured security improvement is claimed by this proposal. Recommendations and targets require stakeholder validation.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TechCorp IAM Solution Design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