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6"/>
        </w:rPr>
        <w:t>ORNET TECHNOLOGIES PVT. LTD.</w:t>
      </w:r>
    </w:p>
    <w:p>
      <w:pPr>
        <w:pStyle w:val="Title"/>
        <w:jc w:val="center"/>
      </w:pPr>
      <w:r>
        <w:t>AI Developer Practical Assessment</w:t>
        <w:br/>
        <w:t>Technical Report</w:t>
      </w:r>
    </w:p>
    <w:p>
      <w:pPr>
        <w:jc w:val="center"/>
      </w:pPr>
      <w:r>
        <w:rPr>
          <w:i/>
          <w:sz w:val="20"/>
        </w:rPr>
        <w:t>Implementation • Verification • Dependencies • Risks • Submission Readiness</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20"/>
            </w:pPr>
            <w:r/>
            <w:r>
              <w:rPr>
                <w:b/>
                <w:sz w:val="17"/>
              </w:rPr>
              <w:t>Organization</w:t>
            </w:r>
          </w:p>
        </w:tc>
        <w:tc>
          <w:tcPr>
            <w:tcW w:type="dxa" w:w="5040"/>
            <w:vAlign w:val="center"/>
          </w:tcPr>
          <w:p>
            <w:pPr>
              <w:spacing w:after="20"/>
            </w:pPr>
            <w:r/>
            <w:r>
              <w:rPr>
                <w:b w:val="0"/>
                <w:sz w:val="17"/>
              </w:rPr>
              <w:t>ORNET Technologies Pvt. Ltd.</w:t>
            </w:r>
          </w:p>
        </w:tc>
      </w:tr>
      <w:tr>
        <w:tc>
          <w:tcPr>
            <w:tcW w:type="dxa" w:w="5040"/>
            <w:vAlign w:val="center"/>
            <w:shd w:fill="D9EAF7"/>
          </w:tcPr>
          <w:p>
            <w:pPr>
              <w:spacing w:after="20"/>
            </w:pPr>
            <w:r/>
            <w:r>
              <w:rPr>
                <w:b/>
                <w:sz w:val="17"/>
              </w:rPr>
              <w:t>Assessment</w:t>
            </w:r>
          </w:p>
        </w:tc>
        <w:tc>
          <w:tcPr>
            <w:tcW w:type="dxa" w:w="5040"/>
            <w:vAlign w:val="center"/>
          </w:tcPr>
          <w:p>
            <w:pPr>
              <w:spacing w:after="20"/>
            </w:pPr>
            <w:r/>
            <w:r>
              <w:rPr>
                <w:b w:val="0"/>
                <w:sz w:val="17"/>
              </w:rPr>
              <w:t>AI Developer – Practical Assessment</w:t>
            </w:r>
          </w:p>
        </w:tc>
      </w:tr>
      <w:tr>
        <w:tc>
          <w:tcPr>
            <w:tcW w:type="dxa" w:w="5040"/>
            <w:vAlign w:val="center"/>
            <w:shd w:fill="D9EAF7"/>
          </w:tcPr>
          <w:p>
            <w:pPr>
              <w:spacing w:after="20"/>
            </w:pPr>
            <w:r/>
            <w:r>
              <w:rPr>
                <w:b/>
                <w:sz w:val="17"/>
              </w:rPr>
              <w:t>Scope</w:t>
            </w:r>
          </w:p>
        </w:tc>
        <w:tc>
          <w:tcPr>
            <w:tcW w:type="dxa" w:w="5040"/>
            <w:vAlign w:val="center"/>
          </w:tcPr>
          <w:p>
            <w:pPr>
              <w:spacing w:after="20"/>
            </w:pPr>
            <w:r/>
            <w:r>
              <w:rPr>
                <w:b w:val="0"/>
                <w:sz w:val="17"/>
              </w:rPr>
              <w:t>Tasks 1–4, based on the supplied assessment PDF and project archive</w:t>
            </w:r>
          </w:p>
        </w:tc>
      </w:tr>
    </w:tbl>
    <w:p>
      <w:r>
        <w:br w:type="page"/>
      </w:r>
    </w:p>
    <w:p>
      <w:pPr>
        <w:pStyle w:val="Heading1"/>
      </w:pPr>
      <w:r>
        <w:t>1. Executive Summary</w:t>
      </w:r>
    </w:p>
    <w:p>
      <w:r>
        <w:t>This report documents the four tasks in the AI Developer Practical Assessment. The submission covers Python debugging, SQL/Pandas employee-data analysis, conceptual debugging of ML/LLM systems, and a tool-using employee-data assistant. It records implementation structure, design choices, dependencies, verification evidence, assumptions, limitations, and corrective actions.</w:t>
      </w:r>
    </w:p>
    <w:p>
      <w:r>
        <w:t>Two principal concerns require resolution before final submission: inconsistent salary-validity rules in Task 2, and credential handling in Task 4. Offline unit-test success does not establish that the external LLM integration works end to end.</w:t>
      </w:r>
    </w:p>
    <w:p>
      <w:pPr>
        <w:pStyle w:val="Heading1"/>
      </w:pPr>
      <w:r>
        <w:t>2. Assessment Requirements Traceability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9"/>
          </w:tcPr>
          <w:p>
            <w:pPr>
              <w:spacing w:after="20"/>
            </w:pPr>
            <w:r/>
            <w:r>
              <w:rPr>
                <w:b/>
                <w:color w:val="FFFFFF"/>
                <w:sz w:val="17"/>
              </w:rPr>
              <w:t>Requirement</w:t>
            </w:r>
          </w:p>
        </w:tc>
        <w:tc>
          <w:tcPr>
            <w:tcW w:type="dxa" w:w="3360"/>
            <w:vAlign w:val="center"/>
            <w:shd w:fill="1F4E79"/>
          </w:tcPr>
          <w:p>
            <w:pPr>
              <w:spacing w:after="20"/>
            </w:pPr>
            <w:r/>
            <w:r>
              <w:rPr>
                <w:b/>
                <w:color w:val="FFFFFF"/>
                <w:sz w:val="17"/>
              </w:rPr>
              <w:t>Evidence</w:t>
            </w:r>
          </w:p>
        </w:tc>
        <w:tc>
          <w:tcPr>
            <w:tcW w:type="dxa" w:w="3360"/>
            <w:vAlign w:val="center"/>
            <w:shd w:fill="1F4E79"/>
          </w:tcPr>
          <w:p>
            <w:pPr>
              <w:spacing w:after="20"/>
            </w:pPr>
            <w:r/>
            <w:r>
              <w:rPr>
                <w:b/>
                <w:color w:val="FFFFFF"/>
                <w:sz w:val="17"/>
              </w:rPr>
              <w:t>Status / follow-up</w:t>
            </w:r>
          </w:p>
        </w:tc>
      </w:tr>
      <w:tr>
        <w:tc>
          <w:tcPr>
            <w:tcW w:type="dxa" w:w="3360"/>
            <w:vAlign w:val="center"/>
            <w:shd w:fill="EAF2F8"/>
          </w:tcPr>
          <w:p>
            <w:pPr>
              <w:spacing w:after="20"/>
            </w:pPr>
            <w:r/>
            <w:r>
              <w:rPr>
                <w:b w:val="0"/>
                <w:sz w:val="17"/>
              </w:rPr>
              <w:t>Complete all four tasks</w:t>
            </w:r>
          </w:p>
        </w:tc>
        <w:tc>
          <w:tcPr>
            <w:tcW w:type="dxa" w:w="3360"/>
            <w:vAlign w:val="center"/>
          </w:tcPr>
          <w:p>
            <w:pPr>
              <w:spacing w:after="20"/>
            </w:pPr>
            <w:r/>
            <w:r>
              <w:rPr>
                <w:b w:val="0"/>
                <w:sz w:val="17"/>
              </w:rPr>
              <w:t>Four task folders and corresponding deliverables are present.</w:t>
            </w:r>
          </w:p>
        </w:tc>
        <w:tc>
          <w:tcPr>
            <w:tcW w:type="dxa" w:w="3360"/>
            <w:vAlign w:val="center"/>
          </w:tcPr>
          <w:p>
            <w:pPr>
              <w:spacing w:after="20"/>
            </w:pPr>
            <w:r/>
            <w:r>
              <w:rPr>
                <w:b w:val="0"/>
                <w:sz w:val="17"/>
              </w:rPr>
              <w:t>Covered</w:t>
            </w:r>
          </w:p>
        </w:tc>
      </w:tr>
      <w:tr>
        <w:tc>
          <w:tcPr>
            <w:tcW w:type="dxa" w:w="3360"/>
            <w:vAlign w:val="center"/>
            <w:shd w:fill="EAF2F8"/>
          </w:tcPr>
          <w:p>
            <w:pPr>
              <w:spacing w:after="20"/>
            </w:pPr>
            <w:r/>
            <w:r>
              <w:rPr>
                <w:b w:val="0"/>
                <w:sz w:val="17"/>
              </w:rPr>
              <w:t>Readable Python code and SQL</w:t>
            </w:r>
          </w:p>
        </w:tc>
        <w:tc>
          <w:tcPr>
            <w:tcW w:type="dxa" w:w="3360"/>
            <w:vAlign w:val="center"/>
          </w:tcPr>
          <w:p>
            <w:pPr>
              <w:spacing w:after="20"/>
            </w:pPr>
            <w:r/>
            <w:r>
              <w:rPr>
                <w:b w:val="0"/>
                <w:sz w:val="17"/>
              </w:rPr>
              <w:t>Standalone Python module; SQL/Pandas notebook; separated agent, tool, and UI modules.</w:t>
            </w:r>
          </w:p>
        </w:tc>
        <w:tc>
          <w:tcPr>
            <w:tcW w:type="dxa" w:w="3360"/>
            <w:vAlign w:val="center"/>
          </w:tcPr>
          <w:p>
            <w:pPr>
              <w:spacing w:after="20"/>
            </w:pPr>
            <w:r/>
            <w:r>
              <w:rPr>
                <w:b w:val="0"/>
                <w:sz w:val="17"/>
              </w:rPr>
              <w:t>Covered</w:t>
            </w:r>
          </w:p>
        </w:tc>
      </w:tr>
      <w:tr>
        <w:tc>
          <w:tcPr>
            <w:tcW w:type="dxa" w:w="3360"/>
            <w:vAlign w:val="center"/>
            <w:shd w:fill="EAF2F8"/>
          </w:tcPr>
          <w:p>
            <w:pPr>
              <w:spacing w:after="20"/>
            </w:pPr>
            <w:r/>
            <w:r>
              <w:rPr>
                <w:b w:val="0"/>
                <w:sz w:val="17"/>
              </w:rPr>
              <w:t>Tests, edge cases, error handling</w:t>
            </w:r>
          </w:p>
        </w:tc>
        <w:tc>
          <w:tcPr>
            <w:tcW w:type="dxa" w:w="3360"/>
            <w:vAlign w:val="center"/>
          </w:tcPr>
          <w:p>
            <w:pPr>
              <w:spacing w:after="20"/>
            </w:pPr>
            <w:r/>
            <w:r>
              <w:rPr>
                <w:b w:val="0"/>
                <w:sz w:val="17"/>
              </w:rPr>
              <w:t>Task 1 unit tests; Task 2 validation checks; Task 4 offline unit tests and request validation.</w:t>
            </w:r>
          </w:p>
        </w:tc>
        <w:tc>
          <w:tcPr>
            <w:tcW w:type="dxa" w:w="3360"/>
            <w:vAlign w:val="center"/>
          </w:tcPr>
          <w:p>
            <w:pPr>
              <w:spacing w:after="20"/>
            </w:pPr>
            <w:r/>
            <w:r>
              <w:rPr>
                <w:b w:val="0"/>
                <w:sz w:val="17"/>
              </w:rPr>
              <w:t>Re-run after fixes</w:t>
            </w:r>
          </w:p>
        </w:tc>
      </w:tr>
      <w:tr>
        <w:tc>
          <w:tcPr>
            <w:tcW w:type="dxa" w:w="3360"/>
            <w:vAlign w:val="center"/>
            <w:shd w:fill="EAF2F8"/>
          </w:tcPr>
          <w:p>
            <w:pPr>
              <w:spacing w:after="20"/>
            </w:pPr>
            <w:r/>
            <w:r>
              <w:rPr>
                <w:b w:val="0"/>
                <w:sz w:val="17"/>
              </w:rPr>
              <w:t>Assumptions and external libraries</w:t>
            </w:r>
          </w:p>
        </w:tc>
        <w:tc>
          <w:tcPr>
            <w:tcW w:type="dxa" w:w="3360"/>
            <w:vAlign w:val="center"/>
          </w:tcPr>
          <w:p>
            <w:pPr>
              <w:spacing w:after="20"/>
            </w:pPr>
            <w:r/>
            <w:r>
              <w:rPr>
                <w:b w:val="0"/>
                <w:sz w:val="17"/>
              </w:rPr>
              <w:t>Task READMEs describe dependencies, assumptions, and limitations.</w:t>
            </w:r>
          </w:p>
        </w:tc>
        <w:tc>
          <w:tcPr>
            <w:tcW w:type="dxa" w:w="3360"/>
            <w:vAlign w:val="center"/>
          </w:tcPr>
          <w:p>
            <w:pPr>
              <w:spacing w:after="20"/>
            </w:pPr>
            <w:r/>
            <w:r>
              <w:rPr>
                <w:b w:val="0"/>
                <w:sz w:val="17"/>
              </w:rPr>
              <w:t>Verify against final build</w:t>
            </w:r>
          </w:p>
        </w:tc>
      </w:tr>
      <w:tr>
        <w:tc>
          <w:tcPr>
            <w:tcW w:type="dxa" w:w="3360"/>
            <w:vAlign w:val="center"/>
            <w:shd w:fill="EAF2F8"/>
          </w:tcPr>
          <w:p>
            <w:pPr>
              <w:spacing w:after="20"/>
            </w:pPr>
            <w:r/>
            <w:r>
              <w:rPr>
                <w:b w:val="0"/>
                <w:sz w:val="17"/>
              </w:rPr>
              <w:t>AI assistance disclosure</w:t>
            </w:r>
          </w:p>
        </w:tc>
        <w:tc>
          <w:tcPr>
            <w:tcW w:type="dxa" w:w="3360"/>
            <w:vAlign w:val="center"/>
          </w:tcPr>
          <w:p>
            <w:pPr>
              <w:spacing w:after="20"/>
            </w:pPr>
            <w:r/>
            <w:r>
              <w:rPr>
                <w:b w:val="0"/>
                <w:sz w:val="17"/>
              </w:rPr>
              <w:t>Disclosure included in documentation.</w:t>
            </w:r>
          </w:p>
        </w:tc>
        <w:tc>
          <w:tcPr>
            <w:tcW w:type="dxa" w:w="3360"/>
            <w:vAlign w:val="center"/>
          </w:tcPr>
          <w:p>
            <w:pPr>
              <w:spacing w:after="20"/>
            </w:pPr>
            <w:r/>
            <w:r>
              <w:rPr>
                <w:b w:val="0"/>
                <w:sz w:val="17"/>
              </w:rPr>
              <w:t>Ensure accurate; explain code</w:t>
            </w:r>
          </w:p>
        </w:tc>
      </w:tr>
      <w:tr>
        <w:tc>
          <w:tcPr>
            <w:tcW w:type="dxa" w:w="3360"/>
            <w:vAlign w:val="center"/>
            <w:shd w:fill="EAF2F8"/>
          </w:tcPr>
          <w:p>
            <w:pPr>
              <w:spacing w:after="20"/>
            </w:pPr>
            <w:r/>
            <w:r>
              <w:rPr>
                <w:b w:val="0"/>
                <w:sz w:val="17"/>
              </w:rPr>
              <w:t>README setup and execution</w:t>
            </w:r>
          </w:p>
        </w:tc>
        <w:tc>
          <w:tcPr>
            <w:tcW w:type="dxa" w:w="3360"/>
            <w:vAlign w:val="center"/>
          </w:tcPr>
          <w:p>
            <w:pPr>
              <w:spacing w:after="20"/>
            </w:pPr>
            <w:r/>
            <w:r>
              <w:rPr>
                <w:b w:val="0"/>
                <w:sz w:val="17"/>
              </w:rPr>
              <w:t>Task-level READMEs and combined README.</w:t>
            </w:r>
          </w:p>
        </w:tc>
        <w:tc>
          <w:tcPr>
            <w:tcW w:type="dxa" w:w="3360"/>
            <w:vAlign w:val="center"/>
          </w:tcPr>
          <w:p>
            <w:pPr>
              <w:spacing w:after="20"/>
            </w:pPr>
            <w:r/>
            <w:r>
              <w:rPr>
                <w:b w:val="0"/>
                <w:sz w:val="17"/>
              </w:rPr>
              <w:t>Test commands cleanly</w:t>
            </w:r>
          </w:p>
        </w:tc>
      </w:tr>
      <w:tr>
        <w:tc>
          <w:tcPr>
            <w:tcW w:type="dxa" w:w="3360"/>
            <w:vAlign w:val="center"/>
            <w:shd w:fill="EAF2F8"/>
          </w:tcPr>
          <w:p>
            <w:pPr>
              <w:spacing w:after="20"/>
            </w:pPr>
            <w:r/>
            <w:r>
              <w:rPr>
                <w:b w:val="0"/>
                <w:sz w:val="17"/>
              </w:rPr>
              <w:t>Demonstration readiness</w:t>
            </w:r>
          </w:p>
        </w:tc>
        <w:tc>
          <w:tcPr>
            <w:tcW w:type="dxa" w:w="3360"/>
            <w:vAlign w:val="center"/>
          </w:tcPr>
          <w:p>
            <w:pPr>
              <w:spacing w:after="20"/>
            </w:pPr>
            <w:r/>
            <w:r>
              <w:rPr>
                <w:b w:val="0"/>
                <w:sz w:val="17"/>
              </w:rPr>
              <w:t>Tests, notebook, written analysis, and agent interfaces provide demo paths.</w:t>
            </w:r>
          </w:p>
        </w:tc>
        <w:tc>
          <w:tcPr>
            <w:tcW w:type="dxa" w:w="3360"/>
            <w:vAlign w:val="center"/>
          </w:tcPr>
          <w:p>
            <w:pPr>
              <w:spacing w:after="20"/>
            </w:pPr>
            <w:r/>
            <w:r>
              <w:rPr>
                <w:b w:val="0"/>
                <w:sz w:val="17"/>
              </w:rPr>
              <w:t>Complete checklist</w:t>
            </w:r>
          </w:p>
        </w:tc>
      </w:tr>
    </w:tbl>
    <w:p>
      <w:pPr>
        <w:pStyle w:val="Heading1"/>
      </w:pPr>
      <w:r>
        <w:t>3. Task 1 — Python Code Correction and Debugging</w:t>
      </w:r>
    </w:p>
    <w:p>
      <w:pPr>
        <w:pStyle w:val="Heading2"/>
      </w:pPr>
      <w:r>
        <w:t>3.1 Objective and defect analysis</w:t>
      </w:r>
    </w:p>
    <w:p>
      <w:r>
        <w:t>Correct `unique_values()` to remove duplicates while preserving the order of first occurrences. The original `result.append(items)` statement appends the entire input iterable rather than the current item. The corrected statement is `result.append(item)`.</w:t>
      </w:r>
    </w:p>
    <w:p>
      <w:pPr>
        <w:pStyle w:val="Heading2"/>
      </w:pPr>
      <w:r>
        <w:t>3.2 Implementation and test structure</w:t>
      </w:r>
    </w:p>
    <w:p>
      <w:r>
        <w:t>`Task1/task1_python_debugging.py` contains the implementation and example invocation. `Task1/test_task1.py` contains an independent `unittest` suite. The function returns a list, does not mutate the input, accepts generators, and supports unhashable values such as nested lists.</w:t>
      </w:r>
    </w:p>
    <w:p>
      <w:pPr>
        <w:pStyle w:val="Heading2"/>
      </w:pPr>
      <w:r>
        <w:t>3.3 Verification and complexity</w:t>
      </w:r>
    </w:p>
    <w:p>
      <w:r>
        <w:t>Six tests cover duplicate removal, empty input, order preservation, input non-mutation, unhashable values, and generator input. All six passed in the review run. Worst-case time complexity is O(n²) and auxiliary space is O(n). List membership is used to support unhashable values; a set-based implementation would generally be faster for hashable-only inputs.</w:t>
      </w:r>
    </w:p>
    <w:p>
      <w:pPr>
        <w:pStyle w:val="Heading2"/>
      </w:pPr>
      <w:r>
        <w:t>3.4 Dependencies and execution</w:t>
      </w:r>
    </w:p>
    <w:p>
      <w:r>
        <w:t>Python 3.9 or newer; no third-party dependencies. From `Task1/`, run:</w:t>
      </w:r>
    </w:p>
    <w:p>
      <w:r>
        <w:t>python task1_python_debugging.py</w:t>
      </w:r>
    </w:p>
    <w:p>
      <w:r>
        <w:t>python -m unittest -v test_task1</w:t>
      </w:r>
    </w:p>
    <w:p>
      <w:r>
        <w:t>Assumptions: inputs are iterable and values support equality comparison. Non-iterable inputs raise `TypeError`.</w:t>
      </w:r>
    </w:p>
    <w:p>
      <w:pPr>
        <w:pStyle w:val="Heading1"/>
      </w:pPr>
      <w:r>
        <w:t>4. Task 2 — SQL Database and Python Data Analysis</w:t>
      </w:r>
    </w:p>
    <w:p>
      <w:pPr>
        <w:pStyle w:val="Heading2"/>
      </w:pPr>
      <w:r>
        <w:t>4.1 Objective and artifacts</w:t>
      </w:r>
    </w:p>
    <w:p>
      <w:r>
        <w:t>The objective is to query employee data with SQL, calculate descriptive statistics with Pandas, and identify missing, invalid, or duplicate records. Artifacts include `Task2/Task2.ipynb`, `Task2/employees.csv`, and `Task2/README.md`.</w:t>
      </w:r>
    </w:p>
    <w:p>
      <w:pPr>
        <w:pStyle w:val="Heading2"/>
      </w:pPr>
      <w:r>
        <w:t>4.2 Processing pipeline</w:t>
      </w:r>
    </w:p>
    <w:p>
      <w:pPr>
        <w:pStyle w:val="ListBullet"/>
      </w:pPr>
      <w:r>
        <w:t>Load the CSV using Pandas and validate required columns.</w:t>
      </w:r>
    </w:p>
    <w:p>
      <w:pPr>
        <w:pStyle w:val="ListBullet"/>
      </w:pPr>
      <w:r>
        <w:t>Convert numeric fields and identify missing or invalid values.</w:t>
      </w:r>
    </w:p>
    <w:p>
      <w:pPr>
        <w:pStyle w:val="ListBullet"/>
      </w:pPr>
      <w:r>
        <w:t>Load the dataset into an in-memory SQLite database.</w:t>
      </w:r>
    </w:p>
    <w:p>
      <w:pPr>
        <w:pStyle w:val="ListBullet"/>
      </w:pPr>
      <w:r>
        <w:t>Execute SQL for top-five salaries, department averages, missing salaries, and invalid ages.</w:t>
      </w:r>
    </w:p>
    <w:p>
      <w:pPr>
        <w:pStyle w:val="ListBullet"/>
      </w:pPr>
      <w:r>
        <w:t>Calculate employee totals, overall average salary, and department counts with Pandas.</w:t>
      </w:r>
    </w:p>
    <w:p>
      <w:pPr>
        <w:pStyle w:val="ListBullet"/>
      </w:pPr>
      <w:r>
        <w:t>Check repeated employee IDs and exact duplicate rows; evaluate assertions and print a summary.</w:t>
      </w:r>
    </w:p>
    <w:p>
      <w:pPr>
        <w:pStyle w:val="Heading2"/>
      </w:pPr>
      <w:r>
        <w:t>4.3 Libraries and execution</w:t>
      </w:r>
    </w:p>
    <w:tbl>
      <w:tblPr>
        <w:tblStyle w:val="TableGrid"/>
        <w:tblW w:type="auto" w:w="0"/>
        <w:tblLook w:firstColumn="1" w:firstRow="1" w:lastColumn="0" w:lastRow="0" w:noHBand="0" w:noVBand="1" w:val="04A0"/>
      </w:tblPr>
      <w:tblGrid>
        <w:gridCol w:w="5040"/>
        <w:gridCol w:w="5040"/>
      </w:tblGrid>
      <w:tr>
        <w:tc>
          <w:tcPr>
            <w:tcW w:type="dxa" w:w="5040"/>
            <w:vAlign w:val="center"/>
            <w:shd w:fill="1F4E79"/>
          </w:tcPr>
          <w:p>
            <w:pPr>
              <w:spacing w:after="20"/>
            </w:pPr>
            <w:r/>
            <w:r>
              <w:rPr>
                <w:b/>
                <w:color w:val="FFFFFF"/>
                <w:sz w:val="17"/>
              </w:rPr>
              <w:t>Library / module</w:t>
            </w:r>
          </w:p>
        </w:tc>
        <w:tc>
          <w:tcPr>
            <w:tcW w:type="dxa" w:w="5040"/>
            <w:vAlign w:val="center"/>
            <w:shd w:fill="1F4E79"/>
          </w:tcPr>
          <w:p>
            <w:pPr>
              <w:spacing w:after="20"/>
            </w:pPr>
            <w:r/>
            <w:r>
              <w:rPr>
                <w:b/>
                <w:color w:val="FFFFFF"/>
                <w:sz w:val="17"/>
              </w:rPr>
              <w:t>Purpose</w:t>
            </w:r>
          </w:p>
        </w:tc>
      </w:tr>
      <w:tr>
        <w:tc>
          <w:tcPr>
            <w:tcW w:type="dxa" w:w="5040"/>
            <w:vAlign w:val="center"/>
          </w:tcPr>
          <w:p>
            <w:pPr>
              <w:spacing w:after="20"/>
            </w:pPr>
            <w:r/>
            <w:r>
              <w:rPr>
                <w:b/>
                <w:sz w:val="17"/>
              </w:rPr>
              <w:t>Pandas</w:t>
            </w:r>
          </w:p>
        </w:tc>
        <w:tc>
          <w:tcPr>
            <w:tcW w:type="dxa" w:w="5040"/>
            <w:vAlign w:val="center"/>
          </w:tcPr>
          <w:p>
            <w:pPr>
              <w:spacing w:after="20"/>
            </w:pPr>
            <w:r/>
            <w:r>
              <w:rPr>
                <w:b w:val="0"/>
                <w:sz w:val="17"/>
              </w:rPr>
              <w:t>CSV loading, cleaning, and descriptive analysis</w:t>
            </w:r>
          </w:p>
        </w:tc>
      </w:tr>
      <w:tr>
        <w:tc>
          <w:tcPr>
            <w:tcW w:type="dxa" w:w="5040"/>
            <w:vAlign w:val="center"/>
          </w:tcPr>
          <w:p>
            <w:pPr>
              <w:spacing w:after="20"/>
            </w:pPr>
            <w:r/>
            <w:r>
              <w:rPr>
                <w:b/>
                <w:sz w:val="17"/>
              </w:rPr>
              <w:t>sqlite3</w:t>
            </w:r>
          </w:p>
        </w:tc>
        <w:tc>
          <w:tcPr>
            <w:tcW w:type="dxa" w:w="5040"/>
            <w:vAlign w:val="center"/>
          </w:tcPr>
          <w:p>
            <w:pPr>
              <w:spacing w:after="20"/>
            </w:pPr>
            <w:r/>
            <w:r>
              <w:rPr>
                <w:b w:val="0"/>
                <w:sz w:val="17"/>
              </w:rPr>
              <w:t>In-memory SQL database</w:t>
            </w:r>
          </w:p>
        </w:tc>
      </w:tr>
      <w:tr>
        <w:tc>
          <w:tcPr>
            <w:tcW w:type="dxa" w:w="5040"/>
            <w:vAlign w:val="center"/>
          </w:tcPr>
          <w:p>
            <w:pPr>
              <w:spacing w:after="20"/>
            </w:pPr>
            <w:r/>
            <w:r>
              <w:rPr>
                <w:b/>
                <w:sz w:val="17"/>
              </w:rPr>
              <w:t>pathlib</w:t>
            </w:r>
          </w:p>
        </w:tc>
        <w:tc>
          <w:tcPr>
            <w:tcW w:type="dxa" w:w="5040"/>
            <w:vAlign w:val="center"/>
          </w:tcPr>
          <w:p>
            <w:pPr>
              <w:spacing w:after="20"/>
            </w:pPr>
            <w:r/>
            <w:r>
              <w:rPr>
                <w:b w:val="0"/>
                <w:sz w:val="17"/>
              </w:rPr>
              <w:t>File path handling</w:t>
            </w:r>
          </w:p>
        </w:tc>
      </w:tr>
      <w:tr>
        <w:tc>
          <w:tcPr>
            <w:tcW w:type="dxa" w:w="5040"/>
            <w:vAlign w:val="center"/>
          </w:tcPr>
          <w:p>
            <w:pPr>
              <w:spacing w:after="20"/>
            </w:pPr>
            <w:r/>
            <w:r>
              <w:rPr>
                <w:b/>
                <w:sz w:val="17"/>
              </w:rPr>
              <w:t>IPython/Jupyter</w:t>
            </w:r>
          </w:p>
        </w:tc>
        <w:tc>
          <w:tcPr>
            <w:tcW w:type="dxa" w:w="5040"/>
            <w:vAlign w:val="center"/>
          </w:tcPr>
          <w:p>
            <w:pPr>
              <w:spacing w:after="20"/>
            </w:pPr>
            <w:r/>
            <w:r>
              <w:rPr>
                <w:b w:val="0"/>
                <w:sz w:val="17"/>
              </w:rPr>
              <w:t>Notebook execution and tabular display</w:t>
            </w:r>
          </w:p>
        </w:tc>
      </w:tr>
    </w:tbl>
    <w:p>
      <w:r>
        <w:t>Open `Task2/Task2.ipynb` in Google Colab or Jupyter, make `employees.csv` available at the expected path, and run all cells in order.</w:t>
      </w:r>
    </w:p>
    <w:p>
      <w:pPr>
        <w:pStyle w:val="Heading2"/>
      </w:pPr>
      <w:r>
        <w:t>4.4 Data-quality policy and required correction</w:t>
      </w:r>
    </w:p>
    <w:p>
      <w:r>
        <w:t>Missing salaries should be reported rather than silently replaced with zero. Invalid ages should be flagged using a documented rule. Duplicate IDs and exact duplicate rows should be investigated rather than automatically deleted.</w:t>
      </w:r>
    </w:p>
    <w:p>
      <w:r>
        <w:rPr>
          <w:b/>
          <w:color w:val="9C0006"/>
        </w:rPr>
        <w:t>Required correction: salary filters are inconsistent across cells. The top-five SQL query excludes missing salaries but not negative salaries; department averages and an overall Pandas average also include negative values, while later validation excludes them. Apply one rule consistently, for example `salary IS NOT NULL AND salary &gt;= 0`, to salary rankings and averages in both SQL and Pandas.</w:t>
      </w:r>
    </w:p>
    <w:p>
      <w:pPr>
        <w:pStyle w:val="Heading2"/>
      </w:pPr>
      <w:r>
        <w:t>4.5 Dataset assumptions requiring confirmation</w:t>
      </w:r>
    </w:p>
    <w:p>
      <w:r>
        <w:t>The README documents 200 rows, 200 unique employee IDs, 8 missing salaries, 6 missing ages, 3 negative salaries, 3 invalid ages, and no exact duplicate rows. These are expected dataset properties and should be reported as final findings only after a fresh notebook run confirms that outputs, assertions, and documentation agree.</w:t>
      </w:r>
    </w:p>
    <w:p>
      <w:r>
        <w:t>Limitation: the notebook analyzes the bundled dataset and does not automatically repair or delete records.</w:t>
      </w:r>
    </w:p>
    <w:p>
      <w:pPr>
        <w:pStyle w:val="Heading1"/>
      </w:pPr>
      <w:r>
        <w:t>5. Task 3 — ML and LLM Conceptual Debugging</w:t>
      </w:r>
    </w:p>
    <w:p>
      <w:r>
        <w:t>The written deliverable in `Task3/README.md` addresses five scenarios. The recommended diagnostic structure is symptom → plausible cause → diagnostic check → corrective action.</w:t>
      </w:r>
    </w:p>
    <w:tbl>
      <w:tblPr>
        <w:tblStyle w:val="TableGrid"/>
        <w:tblW w:type="auto" w:w="0"/>
        <w:tblLook w:firstColumn="1" w:firstRow="1" w:lastColumn="0" w:lastRow="0" w:noHBand="0" w:noVBand="1" w:val="04A0"/>
      </w:tblPr>
      <w:tblGrid>
        <w:gridCol w:w="5040"/>
        <w:gridCol w:w="5040"/>
      </w:tblGrid>
      <w:tr>
        <w:tc>
          <w:tcPr>
            <w:tcW w:type="dxa" w:w="5040"/>
            <w:vAlign w:val="center"/>
            <w:shd w:fill="1F4E79"/>
          </w:tcPr>
          <w:p>
            <w:pPr>
              <w:spacing w:after="20"/>
            </w:pPr>
            <w:r/>
            <w:r>
              <w:rPr>
                <w:b/>
                <w:color w:val="FFFFFF"/>
                <w:sz w:val="17"/>
              </w:rPr>
              <w:t>Scenario</w:t>
            </w:r>
          </w:p>
        </w:tc>
        <w:tc>
          <w:tcPr>
            <w:tcW w:type="dxa" w:w="5040"/>
            <w:vAlign w:val="center"/>
            <w:shd w:fill="1F4E79"/>
          </w:tcPr>
          <w:p>
            <w:pPr>
              <w:spacing w:after="20"/>
            </w:pPr>
            <w:r/>
            <w:r>
              <w:rPr>
                <w:b/>
                <w:color w:val="FFFFFF"/>
                <w:sz w:val="17"/>
              </w:rPr>
              <w:t>Technical analysis and mitigation</w:t>
            </w:r>
          </w:p>
        </w:tc>
      </w:tr>
      <w:tr>
        <w:tc>
          <w:tcPr>
            <w:tcW w:type="dxa" w:w="5040"/>
            <w:vAlign w:val="center"/>
          </w:tcPr>
          <w:p>
            <w:pPr>
              <w:spacing w:after="20"/>
            </w:pPr>
            <w:r/>
            <w:r>
              <w:rPr>
                <w:b/>
                <w:sz w:val="17"/>
              </w:rPr>
              <w:t>Hallucination</w:t>
            </w:r>
          </w:p>
        </w:tc>
        <w:tc>
          <w:tcPr>
            <w:tcW w:type="dxa" w:w="5040"/>
            <w:vAlign w:val="center"/>
          </w:tcPr>
          <w:p>
            <w:pPr>
              <w:spacing w:after="20"/>
            </w:pPr>
            <w:r/>
            <w:r>
              <w:rPr>
                <w:b w:val="0"/>
                <w:sz w:val="17"/>
              </w:rPr>
              <w:t>Inspect retrieved passages and compare answer claims with evidence; test questions whose answers are absent. Ground responses in context, permit abstention, and use citations where appropriate.</w:t>
            </w:r>
          </w:p>
        </w:tc>
      </w:tr>
      <w:tr>
        <w:tc>
          <w:tcPr>
            <w:tcW w:type="dxa" w:w="5040"/>
            <w:vAlign w:val="center"/>
          </w:tcPr>
          <w:p>
            <w:pPr>
              <w:spacing w:after="20"/>
            </w:pPr>
            <w:r/>
            <w:r>
              <w:rPr>
                <w:b/>
                <w:sz w:val="17"/>
              </w:rPr>
              <w:t>Poor retrieval</w:t>
            </w:r>
          </w:p>
        </w:tc>
        <w:tc>
          <w:tcPr>
            <w:tcW w:type="dxa" w:w="5040"/>
            <w:vAlign w:val="center"/>
          </w:tcPr>
          <w:p>
            <w:pPr>
              <w:spacing w:after="20"/>
            </w:pPr>
            <w:r/>
            <w:r>
              <w:rPr>
                <w:b w:val="0"/>
                <w:sz w:val="17"/>
              </w:rPr>
              <w:t>Inspect document extraction, chunking, embeddings, top-k and ranking. Evaluate against known relevant documents; tune chunking, hybrid retrieval, and reranking as appropriate.</w:t>
            </w:r>
          </w:p>
        </w:tc>
      </w:tr>
      <w:tr>
        <w:tc>
          <w:tcPr>
            <w:tcW w:type="dxa" w:w="5040"/>
            <w:vAlign w:val="center"/>
          </w:tcPr>
          <w:p>
            <w:pPr>
              <w:spacing w:after="20"/>
            </w:pPr>
            <w:r/>
            <w:r>
              <w:rPr>
                <w:b/>
                <w:sz w:val="17"/>
              </w:rPr>
              <w:t>Overfitting</w:t>
            </w:r>
          </w:p>
        </w:tc>
        <w:tc>
          <w:tcPr>
            <w:tcW w:type="dxa" w:w="5040"/>
            <w:vAlign w:val="center"/>
          </w:tcPr>
          <w:p>
            <w:pPr>
              <w:spacing w:after="20"/>
            </w:pPr>
            <w:r/>
            <w:r>
              <w:rPr>
                <w:b w:val="0"/>
                <w:sz w:val="17"/>
              </w:rPr>
              <w:t>Compare training and validation metrics and learning curves. Apply regularization, early stopping, suitable model capacity, representative data, and cross-validation where appropriate.</w:t>
            </w:r>
          </w:p>
        </w:tc>
      </w:tr>
      <w:tr>
        <w:tc>
          <w:tcPr>
            <w:tcW w:type="dxa" w:w="5040"/>
            <w:vAlign w:val="center"/>
          </w:tcPr>
          <w:p>
            <w:pPr>
              <w:spacing w:after="20"/>
            </w:pPr>
            <w:r/>
            <w:r>
              <w:rPr>
                <w:b/>
                <w:sz w:val="17"/>
              </w:rPr>
              <w:t>Data leakage</w:t>
            </w:r>
          </w:p>
        </w:tc>
        <w:tc>
          <w:tcPr>
            <w:tcW w:type="dxa" w:w="5040"/>
            <w:vAlign w:val="center"/>
          </w:tcPr>
          <w:p>
            <w:pPr>
              <w:spacing w:after="20"/>
            </w:pPr>
            <w:r/>
            <w:r>
              <w:rPr>
                <w:b w:val="0"/>
                <w:sz w:val="17"/>
              </w:rPr>
              <w:t>Audit duplicate/split overlap, preprocessing fit scope, target-derived features, and future information. Split before fitting preprocessing and use group-based or chronological splits when needed.</w:t>
            </w:r>
          </w:p>
        </w:tc>
      </w:tr>
      <w:tr>
        <w:tc>
          <w:tcPr>
            <w:tcW w:type="dxa" w:w="5040"/>
            <w:vAlign w:val="center"/>
          </w:tcPr>
          <w:p>
            <w:pPr>
              <w:spacing w:after="20"/>
            </w:pPr>
            <w:r/>
            <w:r>
              <w:rPr>
                <w:b/>
                <w:sz w:val="17"/>
              </w:rPr>
              <w:t>Prompt engineering vs. RAG</w:t>
            </w:r>
          </w:p>
        </w:tc>
        <w:tc>
          <w:tcPr>
            <w:tcW w:type="dxa" w:w="5040"/>
            <w:vAlign w:val="center"/>
          </w:tcPr>
          <w:p>
            <w:pPr>
              <w:spacing w:after="20"/>
            </w:pPr>
            <w:r/>
            <w:r>
              <w:rPr>
                <w:b w:val="0"/>
                <w:sz w:val="17"/>
              </w:rPr>
              <w:t>Prompt engineering shapes model instructions and output behavior; RAG retrieves external content and supplies it as context. The techniques can be combined.</w:t>
            </w:r>
          </w:p>
        </w:tc>
      </w:tr>
    </w:tbl>
    <w:p>
      <w:r>
        <w:t>No executable application is required by the task statement. The explanations describe typical systems; actual root causes must be confirmed with system-specific evidence.</w:t>
      </w:r>
    </w:p>
    <w:p>
      <w:pPr>
        <w:pStyle w:val="Heading1"/>
      </w:pPr>
      <w:r>
        <w:t>6. Task 4 — Mini AI Data Assistant Agent</w:t>
      </w:r>
    </w:p>
    <w:p>
      <w:pPr>
        <w:pStyle w:val="Heading2"/>
      </w:pPr>
      <w:r>
        <w:t>6.1 Objective and module architecture</w:t>
      </w:r>
    </w:p>
    <w:p>
      <w:r>
        <w:t>The agent accepts natural-language questions about an employee dataset, selects a tool, performs calculations in Python, and returns readable answers.</w:t>
      </w:r>
    </w:p>
    <w:tbl>
      <w:tblPr>
        <w:tblStyle w:val="TableGrid"/>
        <w:tblW w:type="auto" w:w="0"/>
        <w:tblLook w:firstColumn="1" w:firstRow="1" w:lastColumn="0" w:lastRow="0" w:noHBand="0" w:noVBand="1" w:val="04A0"/>
      </w:tblPr>
      <w:tblGrid>
        <w:gridCol w:w="5040"/>
        <w:gridCol w:w="5040"/>
      </w:tblGrid>
      <w:tr>
        <w:tc>
          <w:tcPr>
            <w:tcW w:type="dxa" w:w="5040"/>
            <w:vAlign w:val="center"/>
            <w:shd w:fill="1F4E79"/>
          </w:tcPr>
          <w:p>
            <w:pPr>
              <w:spacing w:after="20"/>
            </w:pPr>
            <w:r/>
            <w:r>
              <w:rPr>
                <w:b/>
                <w:color w:val="FFFFFF"/>
                <w:sz w:val="17"/>
              </w:rPr>
              <w:t>Component</w:t>
            </w:r>
          </w:p>
        </w:tc>
        <w:tc>
          <w:tcPr>
            <w:tcW w:type="dxa" w:w="5040"/>
            <w:vAlign w:val="center"/>
            <w:shd w:fill="1F4E79"/>
          </w:tcPr>
          <w:p>
            <w:pPr>
              <w:spacing w:after="20"/>
            </w:pPr>
            <w:r/>
            <w:r>
              <w:rPr>
                <w:b/>
                <w:color w:val="FFFFFF"/>
                <w:sz w:val="17"/>
              </w:rPr>
              <w:t>Responsibility</w:t>
            </w:r>
          </w:p>
        </w:tc>
      </w:tr>
      <w:tr>
        <w:tc>
          <w:tcPr>
            <w:tcW w:type="dxa" w:w="5040"/>
            <w:vAlign w:val="center"/>
          </w:tcPr>
          <w:p>
            <w:pPr>
              <w:spacing w:after="20"/>
            </w:pPr>
            <w:r/>
            <w:r>
              <w:rPr>
                <w:b/>
                <w:sz w:val="17"/>
              </w:rPr>
              <w:t>agent.py</w:t>
            </w:r>
          </w:p>
        </w:tc>
        <w:tc>
          <w:tcPr>
            <w:tcW w:type="dxa" w:w="5040"/>
            <w:vAlign w:val="center"/>
          </w:tcPr>
          <w:p>
            <w:pPr>
              <w:spacing w:after="20"/>
            </w:pPr>
            <w:r/>
            <w:r>
              <w:rPr>
                <w:b w:val="0"/>
                <w:sz w:val="17"/>
              </w:rPr>
              <w:t>Request interpretation, tool dispatch, response formatting, and CLI entry point</w:t>
            </w:r>
          </w:p>
        </w:tc>
      </w:tr>
      <w:tr>
        <w:tc>
          <w:tcPr>
            <w:tcW w:type="dxa" w:w="5040"/>
            <w:vAlign w:val="center"/>
          </w:tcPr>
          <w:p>
            <w:pPr>
              <w:spacing w:after="20"/>
            </w:pPr>
            <w:r/>
            <w:r>
              <w:rPr>
                <w:b/>
                <w:sz w:val="17"/>
              </w:rPr>
              <w:t>employee_tools.py</w:t>
            </w:r>
          </w:p>
        </w:tc>
        <w:tc>
          <w:tcPr>
            <w:tcW w:type="dxa" w:w="5040"/>
            <w:vAlign w:val="center"/>
          </w:tcPr>
          <w:p>
            <w:pPr>
              <w:spacing w:after="20"/>
            </w:pPr>
            <w:r/>
            <w:r>
              <w:rPr>
                <w:b w:val="0"/>
                <w:sz w:val="17"/>
              </w:rPr>
              <w:t>Data loading, validation, and deterministic calculations</w:t>
            </w:r>
          </w:p>
        </w:tc>
      </w:tr>
      <w:tr>
        <w:tc>
          <w:tcPr>
            <w:tcW w:type="dxa" w:w="5040"/>
            <w:vAlign w:val="center"/>
          </w:tcPr>
          <w:p>
            <w:pPr>
              <w:spacing w:after="20"/>
            </w:pPr>
            <w:r/>
            <w:r>
              <w:rPr>
                <w:b/>
                <w:sz w:val="17"/>
              </w:rPr>
              <w:t>streamlit_app.py</w:t>
            </w:r>
          </w:p>
        </w:tc>
        <w:tc>
          <w:tcPr>
            <w:tcW w:type="dxa" w:w="5040"/>
            <w:vAlign w:val="center"/>
          </w:tcPr>
          <w:p>
            <w:pPr>
              <w:spacing w:after="20"/>
            </w:pPr>
            <w:r/>
            <w:r>
              <w:rPr>
                <w:b w:val="0"/>
                <w:sz w:val="17"/>
              </w:rPr>
              <w:t>Browser-based interface</w:t>
            </w:r>
          </w:p>
        </w:tc>
      </w:tr>
      <w:tr>
        <w:tc>
          <w:tcPr>
            <w:tcW w:type="dxa" w:w="5040"/>
            <w:vAlign w:val="center"/>
          </w:tcPr>
          <w:p>
            <w:pPr>
              <w:spacing w:after="20"/>
            </w:pPr>
            <w:r/>
            <w:r>
              <w:rPr>
                <w:b/>
                <w:sz w:val="17"/>
              </w:rPr>
              <w:t>data/employees.csv</w:t>
            </w:r>
          </w:p>
        </w:tc>
        <w:tc>
          <w:tcPr>
            <w:tcW w:type="dxa" w:w="5040"/>
            <w:vAlign w:val="center"/>
          </w:tcPr>
          <w:p>
            <w:pPr>
              <w:spacing w:after="20"/>
            </w:pPr>
            <w:r/>
            <w:r>
              <w:rPr>
                <w:b w:val="0"/>
                <w:sz w:val="17"/>
              </w:rPr>
              <w:t>Employee dataset</w:t>
            </w:r>
          </w:p>
        </w:tc>
      </w:tr>
      <w:tr>
        <w:tc>
          <w:tcPr>
            <w:tcW w:type="dxa" w:w="5040"/>
            <w:vAlign w:val="center"/>
          </w:tcPr>
          <w:p>
            <w:pPr>
              <w:spacing w:after="20"/>
            </w:pPr>
            <w:r/>
            <w:r>
              <w:rPr>
                <w:b/>
                <w:sz w:val="17"/>
              </w:rPr>
              <w:t>tests/test_agent.py</w:t>
            </w:r>
          </w:p>
        </w:tc>
        <w:tc>
          <w:tcPr>
            <w:tcW w:type="dxa" w:w="5040"/>
            <w:vAlign w:val="center"/>
          </w:tcPr>
          <w:p>
            <w:pPr>
              <w:spacing w:after="20"/>
            </w:pPr>
            <w:r/>
            <w:r>
              <w:rPr>
                <w:b w:val="0"/>
                <w:sz w:val="17"/>
              </w:rPr>
              <w:t>Offline automated tests</w:t>
            </w:r>
          </w:p>
        </w:tc>
      </w:tr>
      <w:tr>
        <w:tc>
          <w:tcPr>
            <w:tcW w:type="dxa" w:w="5040"/>
            <w:vAlign w:val="center"/>
          </w:tcPr>
          <w:p>
            <w:pPr>
              <w:spacing w:after="20"/>
            </w:pPr>
            <w:r/>
            <w:r>
              <w:rPr>
                <w:b/>
                <w:sz w:val="17"/>
              </w:rPr>
              <w:t>requirements.txt</w:t>
            </w:r>
          </w:p>
        </w:tc>
        <w:tc>
          <w:tcPr>
            <w:tcW w:type="dxa" w:w="5040"/>
            <w:vAlign w:val="center"/>
          </w:tcPr>
          <w:p>
            <w:pPr>
              <w:spacing w:after="20"/>
            </w:pPr>
            <w:r/>
            <w:r>
              <w:rPr>
                <w:b w:val="0"/>
                <w:sz w:val="17"/>
              </w:rPr>
              <w:t>External dependencies</w:t>
            </w:r>
          </w:p>
        </w:tc>
      </w:tr>
      <w:tr>
        <w:tc>
          <w:tcPr>
            <w:tcW w:type="dxa" w:w="5040"/>
            <w:vAlign w:val="center"/>
          </w:tcPr>
          <w:p>
            <w:pPr>
              <w:spacing w:after="20"/>
            </w:pPr>
            <w:r/>
            <w:r>
              <w:rPr>
                <w:b/>
                <w:sz w:val="17"/>
              </w:rPr>
              <w:t>README.md</w:t>
            </w:r>
          </w:p>
        </w:tc>
        <w:tc>
          <w:tcPr>
            <w:tcW w:type="dxa" w:w="5040"/>
            <w:vAlign w:val="center"/>
          </w:tcPr>
          <w:p>
            <w:pPr>
              <w:spacing w:after="20"/>
            </w:pPr>
            <w:r/>
            <w:r>
              <w:rPr>
                <w:b w:val="0"/>
                <w:sz w:val="17"/>
              </w:rPr>
              <w:t>Setup, operation, assumptions, and troubleshooting</w:t>
            </w:r>
          </w:p>
        </w:tc>
      </w:tr>
    </w:tbl>
    <w:p>
      <w:pPr>
        <w:pStyle w:val="Heading2"/>
      </w:pPr>
      <w:r>
        <w:t>6.2 Tool capabilities and request processing</w:t>
      </w:r>
    </w:p>
    <w:p>
      <w:pPr>
        <w:pStyle w:val="ListBullet"/>
      </w:pPr>
      <w:r>
        <w:t>Count employee records by department.</w:t>
      </w:r>
    </w:p>
    <w:p>
      <w:pPr>
        <w:pStyle w:val="ListBullet"/>
      </w:pPr>
      <w:r>
        <w:t>Calculate average salary and identify the highest-paid employee using valid salary values.</w:t>
      </w:r>
    </w:p>
    <w:p>
      <w:pPr>
        <w:pStyle w:val="ListBullet"/>
      </w:pPr>
      <w:r>
        <w:t>Calculate proposed percentage increases without modifying source data.</w:t>
      </w:r>
    </w:p>
    <w:p>
      <w:pPr>
        <w:pStyle w:val="ListBullet"/>
      </w:pPr>
      <w:r>
        <w:t>Validate department names and percentage values; handle unsupported requests.</w:t>
      </w:r>
    </w:p>
    <w:p>
      <w:r>
        <w:t>In Gemini mode, the LLM maps a natural-language request to a constrained intent. The application validates that intent and dispatches it to a Python function. Python performs the numeric calculation; the LLM is not the source of numeric results. The offline parser supports limited phrasings for deterministic testing but does not replace the required LLM path.</w:t>
      </w:r>
    </w:p>
    <w:p>
      <w:pPr>
        <w:pStyle w:val="Heading2"/>
      </w:pPr>
      <w:r>
        <w:t>6.3 Dependencies and execution</w:t>
      </w:r>
    </w:p>
    <w:tbl>
      <w:tblPr>
        <w:tblStyle w:val="TableGrid"/>
        <w:tblW w:type="auto" w:w="0"/>
        <w:tblLook w:firstColumn="1" w:firstRow="1" w:lastColumn="0" w:lastRow="0" w:noHBand="0" w:noVBand="1" w:val="04A0"/>
      </w:tblPr>
      <w:tblGrid>
        <w:gridCol w:w="5040"/>
        <w:gridCol w:w="5040"/>
      </w:tblGrid>
      <w:tr>
        <w:tc>
          <w:tcPr>
            <w:tcW w:type="dxa" w:w="5040"/>
            <w:vAlign w:val="center"/>
            <w:shd w:fill="1F4E79"/>
          </w:tcPr>
          <w:p>
            <w:pPr>
              <w:spacing w:after="20"/>
            </w:pPr>
            <w:r/>
            <w:r>
              <w:rPr>
                <w:b/>
                <w:color w:val="FFFFFF"/>
                <w:sz w:val="17"/>
              </w:rPr>
              <w:t>Dependency</w:t>
            </w:r>
          </w:p>
        </w:tc>
        <w:tc>
          <w:tcPr>
            <w:tcW w:type="dxa" w:w="5040"/>
            <w:vAlign w:val="center"/>
            <w:shd w:fill="1F4E79"/>
          </w:tcPr>
          <w:p>
            <w:pPr>
              <w:spacing w:after="20"/>
            </w:pPr>
            <w:r/>
            <w:r>
              <w:rPr>
                <w:b/>
                <w:color w:val="FFFFFF"/>
                <w:sz w:val="17"/>
              </w:rPr>
              <w:t>Purpose</w:t>
            </w:r>
          </w:p>
        </w:tc>
      </w:tr>
      <w:tr>
        <w:tc>
          <w:tcPr>
            <w:tcW w:type="dxa" w:w="5040"/>
            <w:vAlign w:val="center"/>
          </w:tcPr>
          <w:p>
            <w:pPr>
              <w:spacing w:after="20"/>
            </w:pPr>
            <w:r/>
            <w:r>
              <w:rPr>
                <w:b/>
                <w:sz w:val="17"/>
              </w:rPr>
              <w:t>Pandas</w:t>
            </w:r>
          </w:p>
        </w:tc>
        <w:tc>
          <w:tcPr>
            <w:tcW w:type="dxa" w:w="5040"/>
            <w:vAlign w:val="center"/>
          </w:tcPr>
          <w:p>
            <w:pPr>
              <w:spacing w:after="20"/>
            </w:pPr>
            <w:r/>
            <w:r>
              <w:rPr>
                <w:b w:val="0"/>
                <w:sz w:val="17"/>
              </w:rPr>
              <w:t>Employee-data loading and calculations</w:t>
            </w:r>
          </w:p>
        </w:tc>
      </w:tr>
      <w:tr>
        <w:tc>
          <w:tcPr>
            <w:tcW w:type="dxa" w:w="5040"/>
            <w:vAlign w:val="center"/>
          </w:tcPr>
          <w:p>
            <w:pPr>
              <w:spacing w:after="20"/>
            </w:pPr>
            <w:r/>
            <w:r>
              <w:rPr>
                <w:b/>
                <w:sz w:val="17"/>
              </w:rPr>
              <w:t>google-genai</w:t>
            </w:r>
          </w:p>
        </w:tc>
        <w:tc>
          <w:tcPr>
            <w:tcW w:type="dxa" w:w="5040"/>
            <w:vAlign w:val="center"/>
          </w:tcPr>
          <w:p>
            <w:pPr>
              <w:spacing w:after="20"/>
            </w:pPr>
            <w:r/>
            <w:r>
              <w:rPr>
                <w:b w:val="0"/>
                <w:sz w:val="17"/>
              </w:rPr>
              <w:t>Gemini API integration</w:t>
            </w:r>
          </w:p>
        </w:tc>
      </w:tr>
      <w:tr>
        <w:tc>
          <w:tcPr>
            <w:tcW w:type="dxa" w:w="5040"/>
            <w:vAlign w:val="center"/>
          </w:tcPr>
          <w:p>
            <w:pPr>
              <w:spacing w:after="20"/>
            </w:pPr>
            <w:r/>
            <w:r>
              <w:rPr>
                <w:b/>
                <w:sz w:val="17"/>
              </w:rPr>
              <w:t>Streamlit</w:t>
            </w:r>
          </w:p>
        </w:tc>
        <w:tc>
          <w:tcPr>
            <w:tcW w:type="dxa" w:w="5040"/>
            <w:vAlign w:val="center"/>
          </w:tcPr>
          <w:p>
            <w:pPr>
              <w:spacing w:after="20"/>
            </w:pPr>
            <w:r/>
            <w:r>
              <w:rPr>
                <w:b w:val="0"/>
                <w:sz w:val="17"/>
              </w:rPr>
              <w:t>Browser-based interface</w:t>
            </w:r>
          </w:p>
        </w:tc>
      </w:tr>
      <w:tr>
        <w:tc>
          <w:tcPr>
            <w:tcW w:type="dxa" w:w="5040"/>
            <w:vAlign w:val="center"/>
          </w:tcPr>
          <w:p>
            <w:pPr>
              <w:spacing w:after="20"/>
            </w:pPr>
            <w:r/>
            <w:r>
              <w:rPr>
                <w:b/>
                <w:sz w:val="17"/>
              </w:rPr>
              <w:t>python-dotenv</w:t>
            </w:r>
          </w:p>
        </w:tc>
        <w:tc>
          <w:tcPr>
            <w:tcW w:type="dxa" w:w="5040"/>
            <w:vAlign w:val="center"/>
          </w:tcPr>
          <w:p>
            <w:pPr>
              <w:spacing w:after="20"/>
            </w:pPr>
            <w:r/>
            <w:r>
              <w:rPr>
                <w:b w:val="0"/>
                <w:sz w:val="17"/>
              </w:rPr>
              <w:t>Local environment-variable loading</w:t>
            </w:r>
          </w:p>
        </w:tc>
      </w:tr>
      <w:tr>
        <w:tc>
          <w:tcPr>
            <w:tcW w:type="dxa" w:w="5040"/>
            <w:vAlign w:val="center"/>
          </w:tcPr>
          <w:p>
            <w:pPr>
              <w:spacing w:after="20"/>
            </w:pPr>
            <w:r/>
            <w:r>
              <w:rPr>
                <w:b/>
                <w:sz w:val="17"/>
              </w:rPr>
              <w:t>Python standard library</w:t>
            </w:r>
          </w:p>
        </w:tc>
        <w:tc>
          <w:tcPr>
            <w:tcW w:type="dxa" w:w="5040"/>
            <w:vAlign w:val="center"/>
          </w:tcPr>
          <w:p>
            <w:pPr>
              <w:spacing w:after="20"/>
            </w:pPr>
            <w:r/>
            <w:r>
              <w:rPr>
                <w:b w:val="0"/>
                <w:sz w:val="17"/>
              </w:rPr>
              <w:t>CLI, validation, JSON handling, and unittest</w:t>
            </w:r>
          </w:p>
        </w:tc>
      </w:tr>
    </w:tbl>
    <w:p>
      <w:r>
        <w:t>From `Task4/`, install requirements in a virtual environment and run:</w:t>
      </w:r>
    </w:p>
    <w:p>
      <w:r>
        <w:t>python agent.py --offline</w:t>
      </w:r>
    </w:p>
    <w:p>
      <w:r>
        <w:t>streamlit run streamlit_app.py</w:t>
      </w:r>
    </w:p>
    <w:p>
      <w:r>
        <w:t>python -m unittest discover -s tests -v</w:t>
      </w:r>
    </w:p>
    <w:p>
      <w:r>
        <w:t>The submitted offline suite contains 17 tests and passed in the review run. These tests do not call Gemini; run a separate end-to-end test with a valid key and an available model.</w:t>
      </w:r>
    </w:p>
    <w:p>
      <w:pPr>
        <w:pStyle w:val="Heading2"/>
      </w:pPr>
      <w:r>
        <w:t>6.4 Security finding — action required</w:t>
      </w:r>
    </w:p>
    <w:p>
      <w:r>
        <w:rPr>
          <w:b/>
          <w:color w:val="9C0006"/>
        </w:rPr>
        <w:t>The reviewed archive includes `Task4/.env`, and the source appears to contain a hard-coded API credential. Do not distribute the archive in this state. Remove `.env` and the hard-coded secret, load the key from an environment variable or Streamlit secrets, keep only placeholders in `.env.example`, add `.env` to `.gitignore`, and rotate the credential if it is real. Do not expose secrets in logs, screenshots, or documentation.</w:t>
      </w:r>
    </w:p>
    <w:p>
      <w:r>
        <w:t>Limitations: Gemini mode depends on network access, API permissions, quota, and an available model. The offline parser supports limited phrasings.</w:t>
      </w:r>
    </w:p>
    <w:p>
      <w:pPr>
        <w:pStyle w:val="Heading1"/>
      </w:pPr>
      <w:r>
        <w:t>7. Cross-Task Technical Summary</w:t>
      </w:r>
    </w:p>
    <w:tbl>
      <w:tblPr>
        <w:tblStyle w:val="TableGrid"/>
        <w:tblW w:type="auto" w:w="0"/>
        <w:tblLook w:firstColumn="1" w:firstRow="1" w:lastColumn="0" w:lastRow="0" w:noHBand="0" w:noVBand="1" w:val="04A0"/>
      </w:tblPr>
      <w:tblGrid>
        <w:gridCol w:w="2520"/>
        <w:gridCol w:w="2520"/>
        <w:gridCol w:w="2520"/>
        <w:gridCol w:w="2520"/>
      </w:tblGrid>
      <w:tr>
        <w:tc>
          <w:tcPr>
            <w:tcW w:type="dxa" w:w="2520"/>
            <w:vAlign w:val="center"/>
            <w:shd w:fill="1F4E79"/>
          </w:tcPr>
          <w:p>
            <w:pPr>
              <w:spacing w:after="20"/>
            </w:pPr>
            <w:r/>
            <w:r>
              <w:rPr>
                <w:b/>
                <w:color w:val="FFFFFF"/>
                <w:sz w:val="17"/>
              </w:rPr>
              <w:t>Task</w:t>
            </w:r>
          </w:p>
        </w:tc>
        <w:tc>
          <w:tcPr>
            <w:tcW w:type="dxa" w:w="2520"/>
            <w:vAlign w:val="center"/>
            <w:shd w:fill="1F4E79"/>
          </w:tcPr>
          <w:p>
            <w:pPr>
              <w:spacing w:after="20"/>
            </w:pPr>
            <w:r/>
            <w:r>
              <w:rPr>
                <w:b/>
                <w:color w:val="FFFFFF"/>
                <w:sz w:val="17"/>
              </w:rPr>
              <w:t>Technologies</w:t>
            </w:r>
          </w:p>
        </w:tc>
        <w:tc>
          <w:tcPr>
            <w:tcW w:type="dxa" w:w="2520"/>
            <w:vAlign w:val="center"/>
            <w:shd w:fill="1F4E79"/>
          </w:tcPr>
          <w:p>
            <w:pPr>
              <w:spacing w:after="20"/>
            </w:pPr>
            <w:r/>
            <w:r>
              <w:rPr>
                <w:b/>
                <w:color w:val="FFFFFF"/>
                <w:sz w:val="17"/>
              </w:rPr>
              <w:t>Verification evidence</w:t>
            </w:r>
          </w:p>
        </w:tc>
        <w:tc>
          <w:tcPr>
            <w:tcW w:type="dxa" w:w="2520"/>
            <w:vAlign w:val="center"/>
            <w:shd w:fill="1F4E79"/>
          </w:tcPr>
          <w:p>
            <w:pPr>
              <w:spacing w:after="20"/>
            </w:pPr>
            <w:r/>
            <w:r>
              <w:rPr>
                <w:b/>
                <w:color w:val="FFFFFF"/>
                <w:sz w:val="17"/>
              </w:rPr>
              <w:t>Main follow-up</w:t>
            </w:r>
          </w:p>
        </w:tc>
      </w:tr>
      <w:tr>
        <w:tc>
          <w:tcPr>
            <w:tcW w:type="dxa" w:w="2520"/>
            <w:vAlign w:val="center"/>
          </w:tcPr>
          <w:p>
            <w:pPr>
              <w:spacing w:after="20"/>
            </w:pPr>
            <w:r/>
            <w:r>
              <w:rPr>
                <w:b w:val="0"/>
                <w:sz w:val="17"/>
              </w:rPr>
              <w:t>1</w:t>
            </w:r>
          </w:p>
        </w:tc>
        <w:tc>
          <w:tcPr>
            <w:tcW w:type="dxa" w:w="2520"/>
            <w:vAlign w:val="center"/>
          </w:tcPr>
          <w:p>
            <w:pPr>
              <w:spacing w:after="20"/>
            </w:pPr>
            <w:r/>
            <w:r>
              <w:rPr>
                <w:b w:val="0"/>
                <w:sz w:val="17"/>
              </w:rPr>
              <w:t>Python, unittest</w:t>
            </w:r>
          </w:p>
        </w:tc>
        <w:tc>
          <w:tcPr>
            <w:tcW w:type="dxa" w:w="2520"/>
            <w:vAlign w:val="center"/>
          </w:tcPr>
          <w:p>
            <w:pPr>
              <w:spacing w:after="20"/>
            </w:pPr>
            <w:r/>
            <w:r>
              <w:rPr>
                <w:b w:val="0"/>
                <w:sz w:val="17"/>
              </w:rPr>
              <w:t>6 tests passed in review</w:t>
            </w:r>
          </w:p>
        </w:tc>
        <w:tc>
          <w:tcPr>
            <w:tcW w:type="dxa" w:w="2520"/>
            <w:vAlign w:val="center"/>
          </w:tcPr>
          <w:p>
            <w:pPr>
              <w:spacing w:after="20"/>
            </w:pPr>
            <w:r/>
            <w:r>
              <w:rPr>
                <w:b w:val="0"/>
                <w:sz w:val="17"/>
              </w:rPr>
              <w:t>Optional single-item and all-duplicates tests</w:t>
            </w:r>
          </w:p>
        </w:tc>
      </w:tr>
      <w:tr>
        <w:tc>
          <w:tcPr>
            <w:tcW w:type="dxa" w:w="2520"/>
            <w:vAlign w:val="center"/>
          </w:tcPr>
          <w:p>
            <w:pPr>
              <w:spacing w:after="20"/>
            </w:pPr>
            <w:r/>
            <w:r>
              <w:rPr>
                <w:b w:val="0"/>
                <w:sz w:val="17"/>
              </w:rPr>
              <w:t>2</w:t>
            </w:r>
          </w:p>
        </w:tc>
        <w:tc>
          <w:tcPr>
            <w:tcW w:type="dxa" w:w="2520"/>
            <w:vAlign w:val="center"/>
          </w:tcPr>
          <w:p>
            <w:pPr>
              <w:spacing w:after="20"/>
            </w:pPr>
            <w:r/>
            <w:r>
              <w:rPr>
                <w:b w:val="0"/>
                <w:sz w:val="17"/>
              </w:rPr>
              <w:t>Pandas, SQLite, Jupyter/Colab</w:t>
            </w:r>
          </w:p>
        </w:tc>
        <w:tc>
          <w:tcPr>
            <w:tcW w:type="dxa" w:w="2520"/>
            <w:vAlign w:val="center"/>
          </w:tcPr>
          <w:p>
            <w:pPr>
              <w:spacing w:after="20"/>
            </w:pPr>
            <w:r/>
            <w:r>
              <w:rPr>
                <w:b w:val="0"/>
                <w:sz w:val="17"/>
              </w:rPr>
              <w:t>Notebook checks and assertions</w:t>
            </w:r>
          </w:p>
        </w:tc>
        <w:tc>
          <w:tcPr>
            <w:tcW w:type="dxa" w:w="2520"/>
            <w:vAlign w:val="center"/>
          </w:tcPr>
          <w:p>
            <w:pPr>
              <w:spacing w:after="20"/>
            </w:pPr>
            <w:r/>
            <w:r>
              <w:rPr>
                <w:b w:val="0"/>
                <w:sz w:val="17"/>
              </w:rPr>
              <w:t>Normalize salary filters; verify duplicate findings</w:t>
            </w:r>
          </w:p>
        </w:tc>
      </w:tr>
      <w:tr>
        <w:tc>
          <w:tcPr>
            <w:tcW w:type="dxa" w:w="2520"/>
            <w:vAlign w:val="center"/>
          </w:tcPr>
          <w:p>
            <w:pPr>
              <w:spacing w:after="20"/>
            </w:pPr>
            <w:r/>
            <w:r>
              <w:rPr>
                <w:b w:val="0"/>
                <w:sz w:val="17"/>
              </w:rPr>
              <w:t>3</w:t>
            </w:r>
          </w:p>
        </w:tc>
        <w:tc>
          <w:tcPr>
            <w:tcW w:type="dxa" w:w="2520"/>
            <w:vAlign w:val="center"/>
          </w:tcPr>
          <w:p>
            <w:pPr>
              <w:spacing w:after="20"/>
            </w:pPr>
            <w:r/>
            <w:r>
              <w:rPr>
                <w:b w:val="0"/>
                <w:sz w:val="17"/>
              </w:rPr>
              <w:t>Technical written analysis</w:t>
            </w:r>
          </w:p>
        </w:tc>
        <w:tc>
          <w:tcPr>
            <w:tcW w:type="dxa" w:w="2520"/>
            <w:vAlign w:val="center"/>
          </w:tcPr>
          <w:p>
            <w:pPr>
              <w:spacing w:after="20"/>
            </w:pPr>
            <w:r/>
            <w:r>
              <w:rPr>
                <w:b w:val="0"/>
                <w:sz w:val="17"/>
              </w:rPr>
              <w:t>Five scenarios documented</w:t>
            </w:r>
          </w:p>
        </w:tc>
        <w:tc>
          <w:tcPr>
            <w:tcW w:type="dxa" w:w="2520"/>
            <w:vAlign w:val="center"/>
          </w:tcPr>
          <w:p>
            <w:pPr>
              <w:spacing w:after="20"/>
            </w:pPr>
            <w:r/>
            <w:r>
              <w:rPr>
                <w:b w:val="0"/>
                <w:sz w:val="17"/>
              </w:rPr>
              <w:t>Prepare concise oral explanations</w:t>
            </w:r>
          </w:p>
        </w:tc>
      </w:tr>
      <w:tr>
        <w:tc>
          <w:tcPr>
            <w:tcW w:type="dxa" w:w="2520"/>
            <w:vAlign w:val="center"/>
          </w:tcPr>
          <w:p>
            <w:pPr>
              <w:spacing w:after="20"/>
            </w:pPr>
            <w:r/>
            <w:r>
              <w:rPr>
                <w:b w:val="0"/>
                <w:sz w:val="17"/>
              </w:rPr>
              <w:t>4</w:t>
            </w:r>
          </w:p>
        </w:tc>
        <w:tc>
          <w:tcPr>
            <w:tcW w:type="dxa" w:w="2520"/>
            <w:vAlign w:val="center"/>
          </w:tcPr>
          <w:p>
            <w:pPr>
              <w:spacing w:after="20"/>
            </w:pPr>
            <w:r/>
            <w:r>
              <w:rPr>
                <w:b w:val="0"/>
                <w:sz w:val="17"/>
              </w:rPr>
              <w:t>Python, Pandas, Gemini, Streamlit, unittest</w:t>
            </w:r>
          </w:p>
        </w:tc>
        <w:tc>
          <w:tcPr>
            <w:tcW w:type="dxa" w:w="2520"/>
            <w:vAlign w:val="center"/>
          </w:tcPr>
          <w:p>
            <w:pPr>
              <w:spacing w:after="20"/>
            </w:pPr>
            <w:r/>
            <w:r>
              <w:rPr>
                <w:b w:val="0"/>
                <w:sz w:val="17"/>
              </w:rPr>
              <w:t>17 offline tests passed in review</w:t>
            </w:r>
          </w:p>
        </w:tc>
        <w:tc>
          <w:tcPr>
            <w:tcW w:type="dxa" w:w="2520"/>
            <w:vAlign w:val="center"/>
          </w:tcPr>
          <w:p>
            <w:pPr>
              <w:spacing w:after="20"/>
            </w:pPr>
            <w:r/>
            <w:r>
              <w:rPr>
                <w:b w:val="0"/>
                <w:sz w:val="17"/>
              </w:rPr>
              <w:t>Remove secrets; verify live Gemini integration</w:t>
            </w:r>
          </w:p>
        </w:tc>
      </w:tr>
    </w:tbl>
    <w:p>
      <w:pPr>
        <w:pStyle w:val="Heading1"/>
      </w:pPr>
      <w:r>
        <w:t>8. Risk Register and Corrective Actions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vAlign w:val="center"/>
            <w:shd w:fill="1F4E79"/>
          </w:tcPr>
          <w:p>
            <w:pPr>
              <w:spacing w:after="20"/>
            </w:pPr>
            <w:r/>
            <w:r>
              <w:rPr>
                <w:b/>
                <w:color w:val="FFFFFF"/>
                <w:sz w:val="17"/>
              </w:rPr>
              <w:t>Priority</w:t>
            </w:r>
          </w:p>
        </w:tc>
        <w:tc>
          <w:tcPr>
            <w:tcW w:type="dxa" w:w="2016"/>
            <w:vAlign w:val="center"/>
            <w:shd w:fill="1F4E79"/>
          </w:tcPr>
          <w:p>
            <w:pPr>
              <w:spacing w:after="20"/>
            </w:pPr>
            <w:r/>
            <w:r>
              <w:rPr>
                <w:b/>
                <w:color w:val="FFFFFF"/>
                <w:sz w:val="17"/>
              </w:rPr>
              <w:t>Finding</w:t>
            </w:r>
          </w:p>
        </w:tc>
        <w:tc>
          <w:tcPr>
            <w:tcW w:type="dxa" w:w="2016"/>
            <w:vAlign w:val="center"/>
            <w:shd w:fill="1F4E79"/>
          </w:tcPr>
          <w:p>
            <w:pPr>
              <w:spacing w:after="20"/>
            </w:pPr>
            <w:r/>
            <w:r>
              <w:rPr>
                <w:b/>
                <w:color w:val="FFFFFF"/>
                <w:sz w:val="17"/>
              </w:rPr>
              <w:t>Risk</w:t>
            </w:r>
          </w:p>
        </w:tc>
        <w:tc>
          <w:tcPr>
            <w:tcW w:type="dxa" w:w="2016"/>
            <w:vAlign w:val="center"/>
            <w:shd w:fill="1F4E79"/>
          </w:tcPr>
          <w:p>
            <w:pPr>
              <w:spacing w:after="20"/>
            </w:pPr>
            <w:r/>
            <w:r>
              <w:rPr>
                <w:b/>
                <w:color w:val="FFFFFF"/>
                <w:sz w:val="17"/>
              </w:rPr>
              <w:t>Action</w:t>
            </w:r>
          </w:p>
        </w:tc>
        <w:tc>
          <w:tcPr>
            <w:tcW w:type="dxa" w:w="2016"/>
            <w:vAlign w:val="center"/>
            <w:shd w:fill="1F4E79"/>
          </w:tcPr>
          <w:p>
            <w:pPr>
              <w:spacing w:after="20"/>
            </w:pPr>
            <w:r/>
            <w:r>
              <w:rPr>
                <w:b/>
                <w:color w:val="FFFFFF"/>
                <w:sz w:val="17"/>
              </w:rPr>
              <w:t>Closure evidence</w:t>
            </w:r>
          </w:p>
        </w:tc>
      </w:tr>
      <w:tr>
        <w:tc>
          <w:tcPr>
            <w:tcW w:type="dxa" w:w="2016"/>
            <w:vAlign w:val="center"/>
          </w:tcPr>
          <w:p>
            <w:pPr>
              <w:spacing w:after="20"/>
            </w:pPr>
            <w:r/>
            <w:r>
              <w:rPr>
                <w:b w:val="0"/>
                <w:sz w:val="17"/>
              </w:rPr>
              <w:t>Critical</w:t>
            </w:r>
          </w:p>
        </w:tc>
        <w:tc>
          <w:tcPr>
            <w:tcW w:type="dxa" w:w="2016"/>
            <w:vAlign w:val="center"/>
          </w:tcPr>
          <w:p>
            <w:pPr>
              <w:spacing w:after="20"/>
            </w:pPr>
            <w:r/>
            <w:r>
              <w:rPr>
                <w:b w:val="0"/>
                <w:sz w:val="17"/>
              </w:rPr>
              <w:t>Credential included in archive/source</w:t>
            </w:r>
          </w:p>
        </w:tc>
        <w:tc>
          <w:tcPr>
            <w:tcW w:type="dxa" w:w="2016"/>
            <w:vAlign w:val="center"/>
          </w:tcPr>
          <w:p>
            <w:pPr>
              <w:spacing w:after="20"/>
            </w:pPr>
            <w:r/>
            <w:r>
              <w:rPr>
                <w:b w:val="0"/>
                <w:sz w:val="17"/>
              </w:rPr>
              <w:t>Potential API credential exposure</w:t>
            </w:r>
          </w:p>
        </w:tc>
        <w:tc>
          <w:tcPr>
            <w:tcW w:type="dxa" w:w="2016"/>
            <w:vAlign w:val="center"/>
          </w:tcPr>
          <w:p>
            <w:pPr>
              <w:spacing w:after="20"/>
            </w:pPr>
            <w:r/>
            <w:r>
              <w:rPr>
                <w:b w:val="0"/>
                <w:sz w:val="17"/>
              </w:rPr>
              <w:t>Remove secret; use environment/secrets; rotate if real</w:t>
            </w:r>
          </w:p>
        </w:tc>
        <w:tc>
          <w:tcPr>
            <w:tcW w:type="dxa" w:w="2016"/>
            <w:vAlign w:val="center"/>
          </w:tcPr>
          <w:p>
            <w:pPr>
              <w:spacing w:after="20"/>
            </w:pPr>
            <w:r/>
            <w:r>
              <w:rPr>
                <w:b w:val="0"/>
                <w:sz w:val="17"/>
              </w:rPr>
              <w:t>Verify final archive/source contains no secret</w:t>
            </w:r>
          </w:p>
        </w:tc>
      </w:tr>
      <w:tr>
        <w:tc>
          <w:tcPr>
            <w:tcW w:type="dxa" w:w="2016"/>
            <w:vAlign w:val="center"/>
          </w:tcPr>
          <w:p>
            <w:pPr>
              <w:spacing w:after="20"/>
            </w:pPr>
            <w:r/>
            <w:r>
              <w:rPr>
                <w:b w:val="0"/>
                <w:sz w:val="17"/>
              </w:rPr>
              <w:t>High</w:t>
            </w:r>
          </w:p>
        </w:tc>
        <w:tc>
          <w:tcPr>
            <w:tcW w:type="dxa" w:w="2016"/>
            <w:vAlign w:val="center"/>
          </w:tcPr>
          <w:p>
            <w:pPr>
              <w:spacing w:after="20"/>
            </w:pPr>
            <w:r/>
            <w:r>
              <w:rPr>
                <w:b w:val="0"/>
                <w:sz w:val="17"/>
              </w:rPr>
              <w:t>Task 2 salary filters differ</w:t>
            </w:r>
          </w:p>
        </w:tc>
        <w:tc>
          <w:tcPr>
            <w:tcW w:type="dxa" w:w="2016"/>
            <w:vAlign w:val="center"/>
          </w:tcPr>
          <w:p>
            <w:pPr>
              <w:spacing w:after="20"/>
            </w:pPr>
            <w:r/>
            <w:r>
              <w:rPr>
                <w:b w:val="0"/>
                <w:sz w:val="17"/>
              </w:rPr>
              <w:t>Incorrect or contradictory rankings/averages</w:t>
            </w:r>
          </w:p>
        </w:tc>
        <w:tc>
          <w:tcPr>
            <w:tcW w:type="dxa" w:w="2016"/>
            <w:vAlign w:val="center"/>
          </w:tcPr>
          <w:p>
            <w:pPr>
              <w:spacing w:after="20"/>
            </w:pPr>
            <w:r/>
            <w:r>
              <w:rPr>
                <w:b w:val="0"/>
                <w:sz w:val="17"/>
              </w:rPr>
              <w:t>Apply one salary-validity rule in SQL and Pandas</w:t>
            </w:r>
          </w:p>
        </w:tc>
        <w:tc>
          <w:tcPr>
            <w:tcW w:type="dxa" w:w="2016"/>
            <w:vAlign w:val="center"/>
          </w:tcPr>
          <w:p>
            <w:pPr>
              <w:spacing w:after="20"/>
            </w:pPr>
            <w:r/>
            <w:r>
              <w:rPr>
                <w:b w:val="0"/>
                <w:sz w:val="17"/>
              </w:rPr>
              <w:t>Fresh notebook run; consistent outputs and assertions</w:t>
            </w:r>
          </w:p>
        </w:tc>
      </w:tr>
      <w:tr>
        <w:tc>
          <w:tcPr>
            <w:tcW w:type="dxa" w:w="2016"/>
            <w:vAlign w:val="center"/>
          </w:tcPr>
          <w:p>
            <w:pPr>
              <w:spacing w:after="20"/>
            </w:pPr>
            <w:r/>
            <w:r>
              <w:rPr>
                <w:b w:val="0"/>
                <w:sz w:val="17"/>
              </w:rPr>
              <w:t>Medium</w:t>
            </w:r>
          </w:p>
        </w:tc>
        <w:tc>
          <w:tcPr>
            <w:tcW w:type="dxa" w:w="2016"/>
            <w:vAlign w:val="center"/>
          </w:tcPr>
          <w:p>
            <w:pPr>
              <w:spacing w:after="20"/>
            </w:pPr>
            <w:r/>
            <w:r>
              <w:rPr>
                <w:b w:val="0"/>
                <w:sz w:val="17"/>
              </w:rPr>
              <w:t>Dataset assumptions may not match actual output</w:t>
            </w:r>
          </w:p>
        </w:tc>
        <w:tc>
          <w:tcPr>
            <w:tcW w:type="dxa" w:w="2016"/>
            <w:vAlign w:val="center"/>
          </w:tcPr>
          <w:p>
            <w:pPr>
              <w:spacing w:after="20"/>
            </w:pPr>
            <w:r/>
            <w:r>
              <w:rPr>
                <w:b w:val="0"/>
                <w:sz w:val="17"/>
              </w:rPr>
              <w:t>Incorrect reported findings</w:t>
            </w:r>
          </w:p>
        </w:tc>
        <w:tc>
          <w:tcPr>
            <w:tcW w:type="dxa" w:w="2016"/>
            <w:vAlign w:val="center"/>
          </w:tcPr>
          <w:p>
            <w:pPr>
              <w:spacing w:after="20"/>
            </w:pPr>
            <w:r/>
            <w:r>
              <w:rPr>
                <w:b w:val="0"/>
                <w:sz w:val="17"/>
              </w:rPr>
              <w:t>Re-run checks and update documentation</w:t>
            </w:r>
          </w:p>
        </w:tc>
        <w:tc>
          <w:tcPr>
            <w:tcW w:type="dxa" w:w="2016"/>
            <w:vAlign w:val="center"/>
          </w:tcPr>
          <w:p>
            <w:pPr>
              <w:spacing w:after="20"/>
            </w:pPr>
            <w:r/>
            <w:r>
              <w:rPr>
                <w:b w:val="0"/>
                <w:sz w:val="17"/>
              </w:rPr>
              <w:t>Counts, assertions, and README agree</w:t>
            </w:r>
          </w:p>
        </w:tc>
      </w:tr>
      <w:tr>
        <w:tc>
          <w:tcPr>
            <w:tcW w:type="dxa" w:w="2016"/>
            <w:vAlign w:val="center"/>
          </w:tcPr>
          <w:p>
            <w:pPr>
              <w:spacing w:after="20"/>
            </w:pPr>
            <w:r/>
            <w:r>
              <w:rPr>
                <w:b w:val="0"/>
                <w:sz w:val="17"/>
              </w:rPr>
              <w:t>Medium</w:t>
            </w:r>
          </w:p>
        </w:tc>
        <w:tc>
          <w:tcPr>
            <w:tcW w:type="dxa" w:w="2016"/>
            <w:vAlign w:val="center"/>
          </w:tcPr>
          <w:p>
            <w:pPr>
              <w:spacing w:after="20"/>
            </w:pPr>
            <w:r/>
            <w:r>
              <w:rPr>
                <w:b w:val="0"/>
                <w:sz w:val="17"/>
              </w:rPr>
              <w:t>Live LLM path not covered by offline tests</w:t>
            </w:r>
          </w:p>
        </w:tc>
        <w:tc>
          <w:tcPr>
            <w:tcW w:type="dxa" w:w="2016"/>
            <w:vAlign w:val="center"/>
          </w:tcPr>
          <w:p>
            <w:pPr>
              <w:spacing w:after="20"/>
            </w:pPr>
            <w:r/>
            <w:r>
              <w:rPr>
                <w:b w:val="0"/>
                <w:sz w:val="17"/>
              </w:rPr>
              <w:t>LLM requirement may remain unverified</w:t>
            </w:r>
          </w:p>
        </w:tc>
        <w:tc>
          <w:tcPr>
            <w:tcW w:type="dxa" w:w="2016"/>
            <w:vAlign w:val="center"/>
          </w:tcPr>
          <w:p>
            <w:pPr>
              <w:spacing w:after="20"/>
            </w:pPr>
            <w:r/>
            <w:r>
              <w:rPr>
                <w:b w:val="0"/>
                <w:sz w:val="17"/>
              </w:rPr>
              <w:t>Run Gemini end-to-end test separately</w:t>
            </w:r>
          </w:p>
        </w:tc>
        <w:tc>
          <w:tcPr>
            <w:tcW w:type="dxa" w:w="2016"/>
            <w:vAlign w:val="center"/>
          </w:tcPr>
          <w:p>
            <w:pPr>
              <w:spacing w:after="20"/>
            </w:pPr>
            <w:r/>
            <w:r>
              <w:rPr>
                <w:b w:val="0"/>
                <w:sz w:val="17"/>
              </w:rPr>
              <w:t>Demonstrate request, tool dispatch, and result</w:t>
            </w:r>
          </w:p>
        </w:tc>
      </w:tr>
      <w:tr>
        <w:tc>
          <w:tcPr>
            <w:tcW w:type="dxa" w:w="2016"/>
            <w:vAlign w:val="center"/>
          </w:tcPr>
          <w:p>
            <w:pPr>
              <w:spacing w:after="20"/>
            </w:pPr>
            <w:r/>
            <w:r>
              <w:rPr>
                <w:b w:val="0"/>
                <w:sz w:val="17"/>
              </w:rPr>
              <w:t>Low</w:t>
            </w:r>
          </w:p>
        </w:tc>
        <w:tc>
          <w:tcPr>
            <w:tcW w:type="dxa" w:w="2016"/>
            <w:vAlign w:val="center"/>
          </w:tcPr>
          <w:p>
            <w:pPr>
              <w:spacing w:after="20"/>
            </w:pPr>
            <w:r/>
            <w:r>
              <w:rPr>
                <w:b w:val="0"/>
                <w:sz w:val="17"/>
              </w:rPr>
              <w:t>Generated files included in ZIP</w:t>
            </w:r>
          </w:p>
        </w:tc>
        <w:tc>
          <w:tcPr>
            <w:tcW w:type="dxa" w:w="2016"/>
            <w:vAlign w:val="center"/>
          </w:tcPr>
          <w:p>
            <w:pPr>
              <w:spacing w:after="20"/>
            </w:pPr>
            <w:r/>
            <w:r>
              <w:rPr>
                <w:b w:val="0"/>
                <w:sz w:val="17"/>
              </w:rPr>
              <w:t>Unnecessary artifacts reduce delivery quality</w:t>
            </w:r>
          </w:p>
        </w:tc>
        <w:tc>
          <w:tcPr>
            <w:tcW w:type="dxa" w:w="2016"/>
            <w:vAlign w:val="center"/>
          </w:tcPr>
          <w:p>
            <w:pPr>
              <w:spacing w:after="20"/>
            </w:pPr>
            <w:r/>
            <w:r>
              <w:rPr>
                <w:b w:val="0"/>
                <w:sz w:val="17"/>
              </w:rPr>
              <w:t>Remove caches and unnecessary build artifacts</w:t>
            </w:r>
          </w:p>
        </w:tc>
        <w:tc>
          <w:tcPr>
            <w:tcW w:type="dxa" w:w="2016"/>
            <w:vAlign w:val="center"/>
          </w:tcPr>
          <w:p>
            <w:pPr>
              <w:spacing w:after="20"/>
            </w:pPr>
            <w:r/>
            <w:r>
              <w:rPr>
                <w:b w:val="0"/>
                <w:sz w:val="17"/>
              </w:rPr>
              <w:t>Clean final archive</w:t>
            </w:r>
          </w:p>
        </w:tc>
      </w:tr>
    </w:tbl>
    <w:p>
      <w:pPr>
        <w:pStyle w:val="Heading1"/>
      </w:pPr>
      <w:r>
        <w:t>9. Final Verification Checklist</w:t>
      </w:r>
    </w:p>
    <w:p>
      <w:pPr>
        <w:pStyle w:val="ListBullet"/>
      </w:pPr>
      <w:r>
        <w:t>☐ Run Task 1 example and all unit tests.</w:t>
      </w:r>
    </w:p>
    <w:p>
      <w:pPr>
        <w:pStyle w:val="ListBullet"/>
      </w:pPr>
      <w:r>
        <w:t>☐ Apply consistent salary filters to Task 2 SQL and Pandas calculations.</w:t>
      </w:r>
    </w:p>
    <w:p>
      <w:pPr>
        <w:pStyle w:val="ListBullet"/>
      </w:pPr>
      <w:r>
        <w:t>☐ Run the full Task 2 notebook from a fresh runtime and reconcile duplicate/missing-value findings.</w:t>
      </w:r>
    </w:p>
    <w:p>
      <w:pPr>
        <w:pStyle w:val="ListBullet"/>
      </w:pPr>
      <w:r>
        <w:t>☐ Rehearse Task 3 symptom, cause, diagnostic, and mitigation for all five scenarios.</w:t>
      </w:r>
    </w:p>
    <w:p>
      <w:pPr>
        <w:pStyle w:val="ListBullet"/>
      </w:pPr>
      <w:r>
        <w:t>☐ Remove Task 4 .env and hard-coded credentials; rotate if real.</w:t>
      </w:r>
    </w:p>
    <w:p>
      <w:pPr>
        <w:pStyle w:val="ListBullet"/>
      </w:pPr>
      <w:r>
        <w:t>☐ Run Task 4 offline unit tests and test Gemini integration separately.</w:t>
      </w:r>
    </w:p>
    <w:p>
      <w:pPr>
        <w:pStyle w:val="ListBullet"/>
      </w:pPr>
      <w:r>
        <w:t>☐ Confirm salary proposals do not modify the source data.</w:t>
      </w:r>
    </w:p>
    <w:p>
      <w:pPr>
        <w:pStyle w:val="ListBullet"/>
      </w:pPr>
      <w:r>
        <w:t>☐ Remove __pycache__ directories and unnecessary .dist artifacts.</w:t>
      </w:r>
    </w:p>
    <w:p>
      <w:pPr>
        <w:pStyle w:val="ListBullet"/>
      </w:pPr>
      <w:r>
        <w:t>☐ Test README commands against the final package.</w:t>
      </w:r>
    </w:p>
    <w:p>
      <w:pPr>
        <w:pStyle w:val="ListBullet"/>
      </w:pPr>
      <w:r>
        <w:t>☐ Accurately disclose AI assistance and prepare to explain and modify the code.</w:t>
      </w:r>
    </w:p>
    <w:p>
      <w:pPr>
        <w:pStyle w:val="Heading1"/>
      </w:pPr>
      <w:r>
        <w:t>10. AI Assistance Disclosure</w:t>
      </w:r>
    </w:p>
    <w:p>
      <w:r>
        <w:t>AI coding assistance was used to help draft and review parts of the code and documentation. This statement should be adjusted if necessary to accurately reflect the assistance actually used. The submitter remains responsible for validating the final artifacts and should be able to explain, debug, and modify the implementation independently.</w:t>
      </w:r>
    </w:p>
    <w:p>
      <w:pPr>
        <w:pStyle w:val="Heading1"/>
      </w:pPr>
      <w:r>
        <w:t>Appendix A — Scope Note</w:t>
      </w:r>
    </w:p>
    <w:p>
      <w:r>
        <w:t>This report describes the submitted project structure and review findings. It supplements the task-specific READMEs and does not claim that flagged issues have already been corrected. Update final findings after corrective actions and verification are complete.</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Technical Report • Tasks 1–4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ORNET TECHNOLOGIES PVT. LTD.  |  AI DEVELOPER PRACTICAL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E549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