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Incident Response Runbook</w:t>
      </w:r>
    </w:p>
    <w:p>
      <w:r>
        <w:t>[PLACEHOLDER DEMO DOCUMENT — CATEGORY: engineering — FICTIONAL CONTENT]</w:t>
        <w:br/>
        <w:t>Atlantic Fictus Corp — Production Incident Response Runbook (Demo v1.0, fictional)</w:t>
      </w:r>
    </w:p>
    <w:p>
      <w:r>
        <w:t>This runbook describes the fictional on-call process for the CloudWidget Suite platform.</w:t>
        <w:br/>
        <w:t>Severity levels range from SEV-1 (full outage, customer-facing) to SEV-4 (cosmetic, no</w:t>
        <w:br/>
        <w:t>customer impact). Any SEV-1 or SEV-2 incident must be acknowledged by the on-call engineer</w:t>
        <w:br/>
        <w:t>within five (5) minutes of the PagerDuty (fictional) alert firing, or it automatically</w:t>
        <w:br/>
        <w:t>escalates to the fictional secondary on-call rotation.</w:t>
      </w:r>
    </w:p>
    <w:p>
      <w:r>
        <w:t>The standard triage sequence is: (1) acknowledge the page, (2) post an initial status update</w:t>
        <w:br/>
        <w:t>in the #incidents channel within ten minutes, (3) identify whether the issue is isolated to</w:t>
        <w:br/>
        <w:t>the Northfield or Lakeside fictional data center, (4) engage the CloudWidget service owner if</w:t>
        <w:br/>
        <w:t>the root cause is not immediately obvious. Rolling back the most recent deploy is the default</w:t>
        <w:br/>
        <w:t>first mitigation for any SEV-1 that started within thirty minutes of a release window.</w:t>
      </w:r>
    </w:p>
    <w:p>
      <w:r>
        <w:t>Post-incident, a blameless retrospective must be scheduled within three fictional business</w:t>
        <w:br/>
        <w:t>days for any SEV-1 or SEV-2. The retrospective document should capture: timeline, customer</w:t>
        <w:br/>
        <w:t>impact in fictional affected-account-count, root cause, and at least one concrete follow-up</w:t>
        <w:br/>
        <w:t>action with an owner and due date. Retrospectives are stored in the fictional Engineering</w:t>
        <w:br/>
        <w:t>Wiki under the "Incidents" space and are visible to the whole engineering organization.</w:t>
      </w:r>
    </w:p>
    <w:p>
      <w:r>
        <w:t>Database migrations affecting the fictional primary CloudWidget datastore require a second</w:t>
        <w:br/>
        <w:t>engineer's sign-off and must be run during the designated low-traffic window of 02:00-04:00</w:t>
        <w:br/>
        <w:t>in the Northfield data center's local time zone, except for emergency hotfixes.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