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Atlantic Fictus Corp — Remote Work Policy</w:t>
      </w:r>
    </w:p>
    <w:p>
      <w:r>
        <w:t>[PLACEHOLDER DEMO DOCUMENT — CATEGORY: general — FICTIONAL CONTENT]</w:t>
      </w:r>
    </w:p>
    <w:p>
      <w:pPr>
        <w:pStyle w:val="Heading2"/>
      </w:pPr>
      <w:r>
        <w:t>Eligibility</w:t>
      </w:r>
    </w:p>
    <w:p>
      <w:r>
        <w:t>All employees of Atlantic Fictus Corp are eligible to work remotely up to four days per week, subject to manager approval and team coverage requirements. Employees who choose to work remotely must be reachable during core collaboration hours of 10:00 AM to 3:00 PM in their local time zone, and must attend any meeting flagged as "in-person required" at one of the company's three fictional regional hubs: Rivergate Tower, Northfield Campus, or the Lakeside Annex.</w:t>
      </w:r>
    </w:p>
    <w:p>
      <w:pPr>
        <w:pStyle w:val="Heading2"/>
      </w:pPr>
      <w:r>
        <w:t>Equipment Stipend</w:t>
      </w:r>
    </w:p>
    <w:p>
      <w:r>
        <w:t>Employees are provided a one-time home-office stipend of $500 (fictional currency figure for demo purposes only) to cover the cost of a desk, chair, or monitor. Equipment purchased with this stipend remains the property of Atlantic Fictus Corp and must be returned upon termination of employment.</w:t>
      </w:r>
    </w:p>
    <w:p>
      <w:pPr>
        <w:pStyle w:val="Heading2"/>
      </w:pPr>
      <w:r>
        <w:t>Manager Responsibilities</w:t>
      </w:r>
    </w:p>
    <w:p>
      <w:r>
        <w:t>Managers are responsible for ensuring their teams maintain at least two overlapping in-office days per month for team-building activities. Requests for full-time remote work (five days per week) must be submitted through the HR exception process and are reviewed on a quarterly basis by the fictional People Operations Committee.</w:t>
      </w:r>
    </w:p>
    <w:tbl>
      <w:tblPr>
        <w:tblStyle w:val="LightGrid-Accent1"/>
        <w:tblW w:type="auto" w:w="0"/>
        <w:tblLook w:firstColumn="1" w:firstRow="1" w:lastColumn="0" w:lastRow="0" w:noHBand="0" w:noVBand="1" w:val="04A0"/>
      </w:tblPr>
      <w:tblGrid>
        <w:gridCol w:w="4320"/>
        <w:gridCol w:w="4320"/>
      </w:tblGrid>
      <w:tr>
        <w:tc>
          <w:tcPr>
            <w:tcW w:type="dxa" w:w="4320"/>
          </w:tcPr>
          <w:p>
            <w:r>
              <w:t>Remote days per week</w:t>
            </w:r>
          </w:p>
        </w:tc>
        <w:tc>
          <w:tcPr>
            <w:tcW w:type="dxa" w:w="4320"/>
          </w:tcPr>
          <w:p>
            <w:r>
              <w:t>Approval required</w:t>
            </w:r>
          </w:p>
        </w:tc>
      </w:tr>
      <w:tr>
        <w:tc>
          <w:tcPr>
            <w:tcW w:type="dxa" w:w="4320"/>
          </w:tcPr>
          <w:p>
            <w:r>
              <w:t>1-4</w:t>
            </w:r>
          </w:p>
        </w:tc>
        <w:tc>
          <w:tcPr>
            <w:tcW w:type="dxa" w:w="4320"/>
          </w:tcPr>
          <w:p>
            <w:r>
              <w:t>Manager sign-off</w:t>
            </w:r>
          </w:p>
        </w:tc>
      </w:tr>
      <w:tr>
        <w:tc>
          <w:tcPr>
            <w:tcW w:type="dxa" w:w="4320"/>
          </w:tcPr>
          <w:p>
            <w:r>
              <w:t>5 (full-time)</w:t>
            </w:r>
          </w:p>
        </w:tc>
        <w:tc>
          <w:tcPr>
            <w:tcW w:type="dxa" w:w="4320"/>
          </w:tcPr>
          <w:p>
            <w:r>
              <w:t>HR exception process + quarterly review</w:t>
            </w:r>
          </w:p>
        </w:tc>
      </w:tr>
    </w:tbl>
    <w:p/>
    <w:p>
      <w:r>
        <w:t>This document is a synthetic placeholder generated for demonstration and testing of the atQor UC1 AI Enterprise Knowledge Assistant ingestion pipeline. It does not describe any real company, policy, or legal obligation.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