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&amp; Confidentiality Policy</w:t>
      </w:r>
    </w:p>
    <w:p>
      <w:r>
        <w:t>[PLACEHOLDER DEMO DOCUMENT — CATEGORY: legal — FICTIONAL CONTENT]</w:t>
        <w:br/>
        <w:t>Atlantic Fictus Corp — Data Retention &amp; Confidentiality Policy (Demo v1.0, fictional)</w:t>
      </w:r>
    </w:p>
    <w:p>
      <w:r>
        <w:t>This policy governs how Atlantic Fictus Corp classifies, retains, and discloses confidential</w:t>
        <w:br/>
        <w:t>information across all fictional business units. "Confidential Information" includes client</w:t>
        <w:br/>
        <w:t>proposals, unexecuted contracts, and any document marked "Privileged &amp; Confidential" in its</w:t>
        <w:br/>
        <w:t>header, regardless of storage medium.</w:t>
      </w:r>
    </w:p>
    <w:p>
      <w:r>
        <w:t>Client engagement records must be retained for a minimum of seven (7) fictional years from</w:t>
        <w:br/>
        <w:t>the date of matter closure, after which they may be securely destroyed unless subject to a</w:t>
        <w:br/>
        <w:t>litigation hold. Litigation holds are issued by the fictional Office of General Counsel and</w:t>
        <w:br/>
        <w:t>override any standard retention schedule until formally lifted in writing.</w:t>
      </w:r>
    </w:p>
    <w:p>
      <w:r>
        <w:t>Any employee who suspects a confidentiality breach — including misdirected email, an</w:t>
        <w:br/>
        <w:t>unlocked workstation displaying client data, or a lost storage device — must report the</w:t>
        <w:br/>
        <w:t>incident to legal-compliance@fictus.example within twenty-four (24) hours of discovery. Late</w:t>
        <w:br/>
        <w:t>reporting of a known breach is itself treated as a policy violation under Section 4.2 of the</w:t>
        <w:br/>
        <w:t>fictional Employee Conduct Code.</w:t>
      </w:r>
    </w:p>
    <w:p>
      <w:r>
        <w:t>Non-disclosure agreements executed with third parties default to a five (5) fictional year</w:t>
        <w:br/>
        <w:t>confidentiality term unless the matter involves trade secrets, in which case the obligation</w:t>
        <w:br/>
        <w:t>survives indefinitely. Questions about a specific NDA's term should be directed to the</w:t>
        <w:br/>
        <w:t>fictional Contracts Desk, not inferred from this general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