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e2a3cbb70194f27" /><Relationship Type="http://schemas.openxmlformats.org/package/2006/relationships/metadata/core-properties" Target="/docProps/core.xml" Id="R4a802f93eeb34700" /><Relationship Type="http://schemas.openxmlformats.org/officeDocument/2006/relationships/extended-properties" Target="/docProps/app.xml" Id="Re26f4bd586f4463f" /><Relationship Type="http://schemas.openxmlformats.org/officeDocument/2006/relationships/custom-properties" Target="/docProps/custom.xml" Id="Rad75875d535641f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TELCO CUSTOMER CHURN PREDICTION AND BEHAVIOR ANALYTICS</w:t>
      </w:r>
    </w:p>
    <w:p w14:paraId="00100002" w14:textId="00100003">
      <w:pPr>
        <w:pStyle w:val="Normal"/>
        <w:spacing w:after="160"/>
        <w:jc w:val="center"/>
      </w:pPr>
      <w:r>
        <w:rPr>
          <w:b w:val="false"/>
          <w:sz w:val="32"/>
        </w:rPr>
        <w:t xml:space="preserve">Final Project Report</w:t>
      </w:r>
    </w:p>
    <w:p w14:paraId="00100004" w14:textId="00100005">
      <w:pPr>
        <w:pStyle w:val="Normal"/>
        <w:spacing w:after="120"/>
        <w:jc w:val="center"/>
      </w:pPr>
      <w:r>
        <w:rPr>
          <w:sz w:val="26"/>
        </w:rPr>
        <w:t xml:space="preserve">Candidate: Vedant</w:t>
      </w:r>
    </w:p>
    <w:p w14:paraId="00100006" w14:textId="00100007">
      <w:pPr>
        <w:pStyle w:val="Normal"/>
        <w:spacing w:after="120"/>
        <w:jc w:val="center"/>
      </w:pPr>
      <w:r>
        <w:rPr>
          <w:sz w:val="26"/>
        </w:rPr>
        <w:t xml:space="preserve">Program: IBM SkillsBuild Data Analytics with AI Academic Internship</w:t>
      </w:r>
    </w:p>
    <w:p w14:paraId="00100008" w14:textId="00100009">
      <w:pPr>
        <w:pStyle w:val="Normal"/>
        <w:spacing w:after="120"/>
        <w:jc w:val="center"/>
      </w:pPr>
      <w:r>
        <w:rPr>
          <w:sz w:val="26"/>
        </w:rPr>
        <w:t xml:space="preserve">Partner Organization: BharatCares in association with AICTE</w:t>
      </w:r>
    </w:p>
    <w:p w14:paraId="0010000A" w14:textId="0010000B">
      <w:pPr>
        <w:pStyle w:val="Normal"/>
        <w:spacing w:after="480"/>
        <w:jc w:val="center"/>
      </w:pPr>
      <w:r>
        <w:rPr>
          <w:sz w:val="24"/>
        </w:rPr>
        <w:t xml:space="preserve">Dataset: IBM Telco Customer Churn (WA_Fn-UseC_-Telco-Customer-Churn.csv)</w:t>
      </w:r>
    </w:p>
    <w:p w14:paraId="0010000C" w14:textId="0010000D">
      <w:pPr>
        <w:pStyle w:val="Heading1"/>
        <w:spacing w:before="320" w:after="160"/>
      </w:pPr>
      <w:r>
        <w:rPr>
          <w:b/>
          <w:sz w:val="36"/>
        </w:rPr>
        <w:t xml:space="preserve">1. Abstract / Executive Summary</w:t>
      </w:r>
    </w:p>
    <w:p w14:paraId="0010000E" w14:textId="0010000F">
      <w:pPr>
        <w:pStyle w:val="Normal"/>
        <w:spacing w:after="160"/>
      </w:pPr>
      <w:r>
        <w:rPr>
          <w:sz w:val="24"/>
        </w:rPr>
        <w:t xml:space="preserve">Customer churn — the voluntary discontinuation of a subscription service — represents one of the most financially significant and operationally actionable challenges confronting modern telecommunications providers. Industry research consistently demonstrates that retaining an existing customer is five to seven times less costly than acquiring a new one, making accurate churn prediction a strategic imperative rather than a purely academic exercise.</w:t>
      </w:r>
    </w:p>
    <w:p w14:paraId="00100010" w14:textId="00100011">
      <w:pPr>
        <w:pStyle w:val="Normal"/>
        <w:spacing w:after="160"/>
      </w:pPr>
      <w:r>
        <w:rPr>
          <w:sz w:val="24"/>
        </w:rPr>
        <w:t xml:space="preserve">This project develops a complete, end-to-end supervised machine learning pipeline to predict customer churn using the IBM Telco Customer Churn dataset, which comprises 7,043 customer records across 21 demographic, account, and service features. The analytical workflow encompasses data ingestion, quality remediation (specifically the resolution of a known whitespace anomaly in the TotalCharges column), five-component exploratory data analysis, multi-strategy categorical encoding, standard scaling, stratified train-test partitioning, and the training and evaluation of two classification models: a Logistic Regression baseline and a Random Forest Classifier advanced model.</w:t>
      </w:r>
    </w:p>
    <w:p w14:paraId="00100012" w14:textId="00100013">
      <w:pPr>
        <w:pStyle w:val="Normal"/>
        <w:spacing w:after="160"/>
      </w:pPr>
      <w:r>
        <w:rPr>
          <w:sz w:val="24"/>
        </w:rPr>
        <w:t xml:space="preserve">Core findings indicate that customer tenure, monthly charge magnitude, contract type, and the absence of value-added services (TechSupport, OnlineSecurity) are the dominant predictors of churn. The Random Forest model achieves a Recall of approximately 74% and an F1-Score of approximately 68%, making it the preferred production candidate for early churn identification. Strategic recommendations derived from feature importance analysis include early-tenure intervention programs, contract conversion incentives, monthly charge threshold alerts, and targeted bundle promotions for at-risk segments.</w:t>
      </w:r>
    </w:p>
    <w:p w14:paraId="00100014" w14:textId="00100015">
      <w:pPr>
        <w:pStyle w:val="Heading1"/>
        <w:spacing w:before="320" w:after="160"/>
      </w:pPr>
      <w:r>
        <w:rPr>
          <w:b/>
          <w:sz w:val="36"/>
        </w:rPr>
        <w:t xml:space="preserve">2. Problem Statement and Objectives</w:t>
      </w:r>
    </w:p>
    <w:p w14:paraId="00100016" w14:textId="00100017">
      <w:pPr>
        <w:pStyle w:val="Heading2"/>
        <w:spacing w:before="240" w:after="120"/>
      </w:pPr>
      <w:r>
        <w:rPr>
          <w:b/>
          <w:sz w:val="28"/>
        </w:rPr>
        <w:t xml:space="preserve">2.1 Business Problem Context</w:t>
      </w:r>
    </w:p>
    <w:p w14:paraId="00100018" w14:textId="00100019">
      <w:pPr>
        <w:pStyle w:val="Normal"/>
        <w:spacing w:after="160"/>
      </w:pPr>
      <w:r>
        <w:rPr>
          <w:sz w:val="24"/>
        </w:rPr>
        <w:t xml:space="preserve">Telecommunications companies operate in a highly competitive, near-saturated market where subscriber acquisition costs are substantial and contractual lock-in is limited. The average annual churn rate in the telecommunications sector ranges from 20% to 40%, with each percentage point representing millions of dollars in lost recurring revenue. The IBM Telco dataset, with a churn rate of approximately 26.5%, closely mirrors real-world industry conditions.</w:t>
      </w:r>
    </w:p>
    <w:p w14:paraId="0010001A" w14:textId="0010001B">
      <w:pPr>
        <w:pStyle w:val="Normal"/>
        <w:spacing w:after="160"/>
      </w:pPr>
      <w:r>
        <w:rPr>
          <w:sz w:val="24"/>
        </w:rPr>
        <w:t xml:space="preserve">The fundamental challenge is one of asymmetric information: the provider does not observe a customer's intent to cancel until after the cancellation occurs. Predictive churn modeling inverts this asymmetry by identifying customers whose behavioral and contractual profile most closely resembles those who have previously churned, thereby enabling pre-emptive retention intervention.</w:t>
      </w:r>
    </w:p>
    <w:p w14:paraId="0010001C" w14:textId="0010001D">
      <w:pPr>
        <w:pStyle w:val="Heading2"/>
        <w:spacing w:before="240" w:after="120"/>
      </w:pPr>
      <w:r>
        <w:rPr>
          <w:b/>
          <w:sz w:val="28"/>
        </w:rPr>
        <w:t xml:space="preserve">2.2 Primary Technical Objectives</w:t>
      </w:r>
    </w:p>
    <w:p w14:paraId="0010001E" w14:textId="0010001F">
      <w:pPr>
        <w:pStyle w:val="Normal"/>
        <w:spacing w:after="120"/>
      </w:pPr>
      <w:r>
        <w:rPr>
          <w:sz w:val="24"/>
        </w:rPr>
        <w:t xml:space="preserve">(i) To construct a reproducible, production-grade data preprocessing pipeline capable of handling real-world data quality defects, class imbalance, mixed data types, and high-cardinality categorical features.</w:t>
      </w:r>
    </w:p>
    <w:p w14:paraId="00100020" w14:textId="00100021">
      <w:pPr>
        <w:pStyle w:val="Normal"/>
        <w:spacing w:after="120"/>
      </w:pPr>
      <w:r>
        <w:rPr>
          <w:sz w:val="24"/>
        </w:rPr>
        <w:t xml:space="preserve">(ii) To train, tune, and evaluate a Logistic Regression classifier as a transparent, interpretable baseline model with well-understood decision boundaries.</w:t>
      </w:r>
    </w:p>
    <w:p w14:paraId="00100022" w14:textId="00100023">
      <w:pPr>
        <w:pStyle w:val="Normal"/>
        <w:spacing w:after="120"/>
      </w:pPr>
      <w:r>
        <w:rPr>
          <w:sz w:val="24"/>
        </w:rPr>
        <w:t xml:space="preserve">(iii) To train and evaluate a Random Forest Classifier as an advanced ensemble model capable of capturing non-linear feature interactions and providing robust Gini impurity-based feature importances.</w:t>
      </w:r>
    </w:p>
    <w:p w14:paraId="00100024" w14:textId="00100025">
      <w:pPr>
        <w:pStyle w:val="Normal"/>
        <w:spacing w:after="120"/>
      </w:pPr>
      <w:r>
        <w:rPr>
          <w:sz w:val="24"/>
        </w:rPr>
        <w:t xml:space="preserve">(iv) To perform a rigorous side-by-side model comparison using Accuracy, Precision, Recall, F1-Score, ROC-AUC, and Confusion Matrix analysis, with particular emphasis on Recall as the primary business-relevant metric.</w:t>
      </w:r>
    </w:p>
    <w:p w14:paraId="00100026" w14:textId="00100027">
      <w:pPr>
        <w:pStyle w:val="Heading2"/>
        <w:spacing w:before="240" w:after="120"/>
      </w:pPr>
      <w:r>
        <w:rPr>
          <w:b/>
          <w:sz w:val="28"/>
        </w:rPr>
        <w:t xml:space="preserve">2.3 Secondary Analytical Objectives</w:t>
      </w:r>
    </w:p>
    <w:p w14:paraId="00100028" w14:textId="00100029">
      <w:pPr>
        <w:pStyle w:val="Normal"/>
        <w:spacing w:after="160"/>
      </w:pPr>
      <w:r>
        <w:rPr>
          <w:sz w:val="24"/>
        </w:rPr>
        <w:t xml:space="preserve">(i) To conduct a multi-dimensional exploratory data analysis that surfaces the distributional and relational characteristics of churn-relevant features. (ii) To extract and rank feature importances from both models, thereby generating actionable business intelligence. (iii) To translate analytical findings into concrete, operationalizable retention strategies suitable for presentation to business stakeholders.</w:t>
      </w:r>
    </w:p>
    <w:p w14:paraId="0010002A" w14:textId="0010002B">
      <w:pPr>
        <w:pStyle w:val="Heading1"/>
        <w:spacing w:before="320" w:after="160"/>
      </w:pPr>
      <w:r>
        <w:rPr>
          <w:b/>
          <w:sz w:val="36"/>
        </w:rPr>
        <w:t xml:space="preserve">3. Literature Review and Background Study</w:t>
      </w:r>
    </w:p>
    <w:p w14:paraId="0010002C" w14:textId="0010002D">
      <w:pPr>
        <w:pStyle w:val="Heading2"/>
        <w:spacing w:before="240" w:after="120"/>
      </w:pPr>
      <w:r>
        <w:rPr>
          <w:b/>
          <w:sz w:val="28"/>
        </w:rPr>
        <w:t xml:space="preserve">3.1 Machine Learning in Customer Retention</w:t>
      </w:r>
    </w:p>
    <w:p w14:paraId="0010002E" w14:textId="0010002F">
      <w:pPr>
        <w:pStyle w:val="Normal"/>
        <w:spacing w:after="160"/>
      </w:pPr>
      <w:r>
        <w:rPr>
          <w:sz w:val="24"/>
        </w:rPr>
        <w:t xml:space="preserve">The application of machine learning to customer churn prediction has been an active area of research since the early 2000s, driven initially by the telecommunications and banking sectors. Seminal work by Verbeke et al. (2012) demonstrated that ensemble methods consistently outperform single classifiers in churn prediction tasks, particularly on imbalanced datasets, due to their ability to model complex non-linear interactions among behavioral features. This finding directly motivates the use of Random Forest in the present study.</w:t>
      </w:r>
    </w:p>
    <w:p w14:paraId="00100030" w14:textId="00100031">
      <w:pPr>
        <w:pStyle w:val="Normal"/>
        <w:spacing w:after="160"/>
      </w:pPr>
      <w:r>
        <w:rPr>
          <w:sz w:val="24"/>
        </w:rPr>
        <w:t xml:space="preserve">Logistic Regression, despite its relative simplicity, remains a cornerstone baseline in churn analytics owing to its direct probabilistic interpretation, linear decision boundary, and computational efficiency. Its coefficient magnitudes, when applied to standardized features, provide an intuitive ranking of feature influence — a property that serves both model transparency and regulatory compliance requirements in commercial deployments.</w:t>
      </w:r>
    </w:p>
    <w:p w14:paraId="00100032" w14:textId="00100033">
      <w:pPr>
        <w:pStyle w:val="Heading2"/>
        <w:spacing w:before="240" w:after="120"/>
      </w:pPr>
      <w:r>
        <w:rPr>
          <w:b/>
          <w:sz w:val="28"/>
        </w:rPr>
        <w:t xml:space="preserve">3.2 Class Imbalance in Churn Prediction</w:t>
      </w:r>
    </w:p>
    <w:p w14:paraId="00100034" w14:textId="00100035">
      <w:pPr>
        <w:pStyle w:val="Normal"/>
        <w:spacing w:after="160"/>
      </w:pPr>
      <w:r>
        <w:rPr>
          <w:sz w:val="24"/>
        </w:rPr>
        <w:t xml:space="preserve">A persistent challenge in churn prediction is the inherent class imbalance between retained and churned customers. In most real-world datasets, churners constitute 20–30% of the population. Standard classifiers trained on imbalanced data tend to optimize for majority class accuracy, systematically under-predicting the minority churn class and producing unacceptably low recall. Two principal remediation strategies exist: synthetic oversampling (e.g., SMOTE — Synthetic Minority Oversampling Technique) and cost-sensitive learning via class weighting.</w:t>
      </w:r>
    </w:p>
    <w:p w14:paraId="00100036" w14:textId="00100037">
      <w:pPr>
        <w:pStyle w:val="Normal"/>
        <w:spacing w:after="160"/>
      </w:pPr>
      <w:r>
        <w:rPr>
          <w:sz w:val="24"/>
        </w:rPr>
        <w:t xml:space="preserve">This project employs the class_weight='balanced' parameter available natively in Scikit-Learn's LogisticRegression and RandomForestClassifier implementations. This approach computes weights inversely proportional to class frequencies, effectively penalizing misclassification of the minority churn class more heavily without generating synthetic data points. This choice avoids the distributional assumptions and potential overfitting risks associated with SMOTE, making it the preferred approach for production pipelines operating on tabular data of moderate size.</w:t>
      </w:r>
    </w:p>
    <w:p w14:paraId="00100038" w14:textId="00100039">
      <w:pPr>
        <w:pStyle w:val="Heading2"/>
        <w:spacing w:before="240" w:after="120"/>
      </w:pPr>
      <w:r>
        <w:rPr>
          <w:b/>
          <w:sz w:val="28"/>
        </w:rPr>
        <w:t xml:space="preserve">3.3 Feature Importance and Interpretability</w:t>
      </w:r>
    </w:p>
    <w:p w14:paraId="0010003A" w14:textId="0010003B">
      <w:pPr>
        <w:pStyle w:val="Normal"/>
        <w:spacing w:after="160"/>
      </w:pPr>
      <w:r>
        <w:rPr>
          <w:sz w:val="24"/>
        </w:rPr>
        <w:t xml:space="preserve">The interpretability of predictive models is increasingly recognized as a prerequisite for business adoption. Gini impurity-based feature importances from Random Forest provide a global, model-level ranking of feature contributions, while Logistic Regression coefficient magnitudes offer a complementary linear perspective. Both approaches are employed in this study to produce a robust, consensus view of the primary churn drivers, consistent with recommendations in the emerging field of Explainable Artificial Intelligence (XAI).</w:t>
      </w:r>
    </w:p>
    <w:p w14:paraId="0010003C" w14:textId="0010003D">
      <w:pPr>
        <w:pStyle w:val="Heading1"/>
        <w:spacing w:before="320" w:after="160"/>
      </w:pPr>
      <w:r>
        <w:rPr>
          <w:b/>
          <w:sz w:val="36"/>
        </w:rPr>
        <w:t xml:space="preserve">4. Methodology and Data Architecture</w:t>
      </w:r>
    </w:p>
    <w:p w14:paraId="0010003E" w14:textId="0010003F">
      <w:pPr>
        <w:pStyle w:val="Heading2"/>
        <w:spacing w:before="240" w:after="120"/>
      </w:pPr>
      <w:r>
        <w:rPr>
          <w:b/>
          <w:sz w:val="28"/>
        </w:rPr>
        <w:t xml:space="preserve">4.1 Dataset Description</w:t>
      </w:r>
    </w:p>
    <w:p w14:paraId="00100040" w14:textId="00100041">
      <w:pPr>
        <w:pStyle w:val="Normal"/>
        <w:spacing w:after="160"/>
      </w:pPr>
      <w:r>
        <w:rPr>
          <w:sz w:val="24"/>
        </w:rPr>
        <w:t xml:space="preserve">The IBM Telco Customer Churn dataset contains 7,043 rows and 21 columns sourced from a fictitious telecommunications company based in California. The dataset includes demographic features (gender, SeniorCitizen, Partner, Dependents), account-level features (tenure in months, Contract type, PaperlessBilling, PaymentMethod), service subscription features (PhoneService, MultipleLines, InternetService, OnlineSecurity, OnlineBackup, DeviceProtection, TechSupport, StreamingTV, StreamingMovies), billing features (MonthlyCharges, TotalCharges), and the binary target variable Churn. The dataset exhibits a churn rate of approximately 26.5%, indicating a meaningful but manageable class imbalance.</w:t>
      </w:r>
    </w:p>
    <w:p w14:paraId="00100042" w14:textId="00100043">
      <w:pPr>
        <w:pStyle w:val="Heading2"/>
        <w:spacing w:before="240" w:after="120"/>
      </w:pPr>
      <w:r>
        <w:rPr>
          <w:b/>
          <w:sz w:val="28"/>
        </w:rPr>
        <w:t xml:space="preserve">4.2 Data Quality Remediation</w:t>
      </w:r>
    </w:p>
    <w:p w14:paraId="00100044" w14:textId="00100045">
      <w:pPr>
        <w:pStyle w:val="Normal"/>
        <w:spacing w:after="160"/>
      </w:pPr>
      <w:r>
        <w:rPr>
          <w:sz w:val="24"/>
        </w:rPr>
        <w:t xml:space="preserve">A well-documented anomaly in this dataset is the presence of whitespace string values (' ') in the TotalCharges column for customers with tenure equal to zero. These records represent new customers who have not yet been billed and therefore have no accumulated total charges. Because Pandas reads the CSV with TotalCharges as an object (string) dtype due to these whitespace entries, a type coercion step is mandatory before any numerical analysis.</w:t>
      </w:r>
    </w:p>
    <w:p w14:paraId="00100046" w14:textId="00100047">
      <w:pPr>
        <w:pStyle w:val="Normal"/>
        <w:spacing w:after="160"/>
      </w:pPr>
      <w:r>
        <w:rPr>
          <w:sz w:val="24"/>
        </w:rPr>
        <w:t xml:space="preserve">The remediation procedure applied in Cell 2 of the notebook is: (i) apply pd.to_numeric(df['TotalCharges'], errors='coerce'), which converts valid numeric strings to float64 and maps the whitespace strings to NaN; (ii) impute the resulting NaN values with the column median. Median imputation is preferred over mean imputation because TotalCharges exhibits a right-skewed distribution influenced by high-tenure, high-spend customers. Eleven rows were affected by this correction, representing approximately 0.16% of the dataset.</w:t>
      </w:r>
    </w:p>
    <w:p w14:paraId="00100048" w14:textId="00100049">
      <w:pPr>
        <w:pStyle w:val="Heading2"/>
        <w:spacing w:before="240" w:after="120"/>
      </w:pPr>
      <w:r>
        <w:rPr>
          <w:b/>
          <w:sz w:val="28"/>
        </w:rPr>
        <w:t xml:space="preserve">4.3 Feature Encoding Strategy</w:t>
      </w:r>
    </w:p>
    <w:p w14:paraId="0010004A" w14:textId="0010004B">
      <w:pPr>
        <w:pStyle w:val="Normal"/>
        <w:spacing w:after="160"/>
      </w:pPr>
      <w:r>
        <w:rPr>
          <w:sz w:val="24"/>
        </w:rPr>
        <w:t xml:space="preserve">Categorical feature encoding follows a two-tier strategy determined by cardinality. Binary columns — those with exactly two unique values (e.g., gender, Partner, Dependents, PhoneService, PaperlessBilling, Churn) — are encoded using Scikit-Learn's LabelEncoder, which maps each class to a single integer (0 or 1). This preserves dimensional economy for features that are inherently ordinal in their binary form.</w:t>
      </w:r>
    </w:p>
    <w:p w14:paraId="0010004C" w14:textId="0010004D">
      <w:pPr>
        <w:pStyle w:val="Normal"/>
        <w:spacing w:after="160"/>
      </w:pPr>
      <w:r>
        <w:rPr>
          <w:sz w:val="24"/>
        </w:rPr>
        <w:t xml:space="preserve">Multi-class categorical columns — those with more than two unique values (e.g., InternetService with classes DSL, Fiber optic, No; Contract with classes Month-to-month, One year, Two year; PaymentMethod with four distinct classes) — are encoded using Pandas' pd.get_dummies with drop_first=True to avoid perfect multicollinearity (the dummy variable trap). This produces a set of k-1 indicator columns for each k-class feature, yielding a final encoded feature matrix of 30 columns from the original 19 predictors.</w:t>
      </w:r>
    </w:p>
    <w:p w14:paraId="0010004E" w14:textId="0010004F">
      <w:pPr>
        <w:pStyle w:val="Heading2"/>
        <w:spacing w:before="240" w:after="120"/>
      </w:pPr>
      <w:r>
        <w:rPr>
          <w:b/>
          <w:sz w:val="28"/>
        </w:rPr>
        <w:t xml:space="preserve">4.4 Feature Scaling</w:t>
      </w:r>
    </w:p>
    <w:p w14:paraId="00100050" w14:textId="00100051">
      <w:pPr>
        <w:pStyle w:val="Normal"/>
        <w:spacing w:after="160"/>
      </w:pPr>
      <w:r>
        <w:rPr>
          <w:sz w:val="24"/>
        </w:rPr>
        <w:t xml:space="preserve">The three continuous numerical features — tenure (range 0–72), MonthlyCharges (range ~18–118), and TotalCharges (range ~0–8684) — differ substantially in scale. Logistic Regression is sensitive to feature scale because gradient descent convergence and coefficient interpretability both depend on features occupying a comparable numerical range. StandardScaler is applied to these three columns, transforming each to zero mean and unit variance. The scaler is fit exclusively on the training set and applied to both training and test sets to prevent data leakage. Random Forest is theoretically scale-invariant; however, applying scaling uniformly simplifies the pipeline and has no adverse effect on tree-based models.</w:t>
      </w:r>
    </w:p>
    <w:p w14:paraId="00100052" w14:textId="00100053">
      <w:pPr>
        <w:pStyle w:val="Heading2"/>
        <w:spacing w:before="240" w:after="120"/>
      </w:pPr>
      <w:r>
        <w:rPr>
          <w:b/>
          <w:sz w:val="28"/>
        </w:rPr>
        <w:t xml:space="preserve">4.5 Train-Test Partitioning</w:t>
      </w:r>
    </w:p>
    <w:p w14:paraId="00100054" w14:textId="00100055">
      <w:pPr>
        <w:pStyle w:val="Normal"/>
        <w:spacing w:after="160"/>
      </w:pPr>
      <w:r>
        <w:rPr>
          <w:sz w:val="24"/>
        </w:rPr>
        <w:t xml:space="preserve">The processed dataset is partitioned into an 80% training set (5,634 samples) and a 20% test set (1,409 samples) using Scikit-Learn's train_test_split with stratify=y and random_state=42. The stratify parameter ensures that the ~26.5% churn prevalence observed in the full dataset is preserved identically in both the training and test partitions, preventing evaluation bias caused by an unrepresentative test set. The random_state parameter ensures full reproducibility across execution environments.</w:t>
      </w:r>
    </w:p>
    <w:p w14:paraId="00100056" w14:textId="00100057">
      <w:pPr>
        <w:pStyle w:val="Heading1"/>
        <w:spacing w:before="320" w:after="160"/>
      </w:pPr>
      <w:r>
        <w:rPr>
          <w:b/>
          <w:sz w:val="36"/>
        </w:rPr>
        <w:t xml:space="preserve">5. Exploratory Data Analysis Highlights</w:t>
      </w:r>
    </w:p>
    <w:p w14:paraId="00100058" w14:textId="00100059">
      <w:pPr>
        <w:pStyle w:val="Normal"/>
        <w:spacing w:after="160"/>
      </w:pPr>
      <w:r>
        <w:rPr>
          <w:sz w:val="24"/>
        </w:rPr>
        <w:t xml:space="preserve">The EDA phase (Cell 3 of the notebook) generates five targeted visualizations that collectively characterize the dataset's distributional properties and the relationship between individual features and the churn outcome.</w:t>
      </w:r>
    </w:p>
    <w:p w14:paraId="0010005A" w14:textId="0010005B">
      <w:pPr>
        <w:pStyle w:val="Heading2"/>
        <w:spacing w:before="240" w:after="120"/>
      </w:pPr>
      <w:r>
        <w:rPr>
          <w:b/>
          <w:sz w:val="28"/>
        </w:rPr>
        <w:t xml:space="preserve">5.1 Churn Distribution (Count and Proportion)</w:t>
      </w:r>
    </w:p>
    <w:p w14:paraId="0010005C" w14:textId="0010005D">
      <w:pPr>
        <w:pStyle w:val="Normal"/>
        <w:spacing w:after="160"/>
      </w:pPr>
      <w:r>
        <w:rPr>
          <w:sz w:val="24"/>
        </w:rPr>
        <w:t xml:space="preserve">A side-by-side bar chart and pie chart reveal that 5,174 customers (73.5%) did not churn while 1,869 customers (26.5%) did churn. This 3:1 ratio confirms the class imbalance that necessitates the class_weight='balanced' strategy in model training. The imbalance is non-trivial but moderate enough that cost-sensitive learning is effective without requiring synthetic oversampling.</w:t>
      </w:r>
    </w:p>
    <w:p w14:paraId="0010005E" w14:textId="0010005F">
      <w:pPr>
        <w:pStyle w:val="Heading2"/>
        <w:spacing w:before="240" w:after="120"/>
      </w:pPr>
      <w:r>
        <w:rPr>
          <w:b/>
          <w:sz w:val="28"/>
        </w:rPr>
        <w:t xml:space="preserve">5.2 Tenure Distribution by Churn Status</w:t>
      </w:r>
    </w:p>
    <w:p w14:paraId="00100060" w14:textId="00100061">
      <w:pPr>
        <w:pStyle w:val="Normal"/>
        <w:spacing w:after="160"/>
      </w:pPr>
      <w:r>
        <w:rPr>
          <w:sz w:val="24"/>
        </w:rPr>
        <w:t xml:space="preserve">A kernel density estimate (KDE) histogram overlay contrasting churned and retained customers reveals a pronounced bimodal pattern. Churned customers exhibit a sharp density peak at very low tenures (0–12 months), while retained customers show a relatively flat distribution extending across the full range up to 72 months. This finding provides the strongest visual evidence that early-tenure intervention is the single highest-leverage retention strategy available to the business.</w:t>
      </w:r>
    </w:p>
    <w:p w14:paraId="00100062" w14:textId="00100063">
      <w:pPr>
        <w:pStyle w:val="Heading2"/>
        <w:spacing w:before="240" w:after="120"/>
      </w:pPr>
      <w:r>
        <w:rPr>
          <w:b/>
          <w:sz w:val="28"/>
        </w:rPr>
        <w:t xml:space="preserve">5.3 Monthly Charges Impact</w:t>
      </w:r>
    </w:p>
    <w:p w14:paraId="00100064" w14:textId="00100065">
      <w:pPr>
        <w:pStyle w:val="Normal"/>
        <w:spacing w:after="160"/>
      </w:pPr>
      <w:r>
        <w:rPr>
          <w:sz w:val="24"/>
        </w:rPr>
        <w:t xml:space="preserve">A box-and-strip plot comparing MonthlyCharges across churn groups demonstrates that churned customers have a substantially higher median monthly charge (approximately $79) compared to retained customers (approximately $61). The interquartile ranges overlap but the upper distribution of churners is concentrated at higher charge levels, indicating that price sensitivity above a threshold of approximately $65 per month is a measurable churn accelerant. This finding has direct implications for pricing strategy and discount targeting.</w:t>
      </w:r>
    </w:p>
    <w:p w14:paraId="00100066" w14:textId="00100067">
      <w:pPr>
        <w:pStyle w:val="Heading2"/>
        <w:spacing w:before="240" w:after="120"/>
      </w:pPr>
      <w:r>
        <w:rPr>
          <w:b/>
          <w:sz w:val="28"/>
        </w:rPr>
        <w:t xml:space="preserve">5.4 Contract Type vs Churn Rate</w:t>
      </w:r>
    </w:p>
    <w:p w14:paraId="00100068" w14:textId="00100069">
      <w:pPr>
        <w:pStyle w:val="Normal"/>
        <w:spacing w:after="160"/>
      </w:pPr>
      <w:r>
        <w:rPr>
          <w:sz w:val="24"/>
        </w:rPr>
        <w:t xml:space="preserve">A bar chart of churn rate segmented by contract type reveals one of the most striking differentials in the dataset. Month-to-month contract customers exhibit a churn rate of approximately 43%, compared to only 11% for one-year contract customers and just 3% for two-year contract customers. This exponential protective effect of long-term contracts is the most actionable single finding in the analysis, as contract conversion is a directly controllable lever available to the business.</w:t>
      </w:r>
    </w:p>
    <w:p w14:paraId="0010006A" w14:textId="0010006B">
      <w:pPr>
        <w:pStyle w:val="Heading2"/>
        <w:spacing w:before="240" w:after="120"/>
      </w:pPr>
      <w:r>
        <w:rPr>
          <w:b/>
          <w:sz w:val="28"/>
        </w:rPr>
        <w:t xml:space="preserve">5.5 Numeric Correlation Heatmap</w:t>
      </w:r>
    </w:p>
    <w:p w14:paraId="0010006C" w14:textId="0010006D">
      <w:pPr>
        <w:pStyle w:val="Normal"/>
        <w:spacing w:after="160"/>
      </w:pPr>
      <w:r>
        <w:rPr>
          <w:sz w:val="24"/>
        </w:rPr>
        <w:t xml:space="preserve">A Pearson correlation heatmap of the numeric features (tenure, MonthlyCharges, TotalCharges, and the binary-encoded Churn) reveals three noteworthy relationships: (i) tenure and TotalCharges are strongly positively correlated (r ≈ 0.83), confirming that TotalCharges is largely a proxy for tenure; (ii) MonthlyCharges is positively correlated with Churn (r ≈ 0.19); and (iii) tenure is negatively correlated with Churn (r ≈ -0.35), the single strongest linear relationship with the target among numeric features.</w:t>
      </w:r>
    </w:p>
    <w:p w14:paraId="0010006E" w14:textId="0010006F">
      <w:pPr>
        <w:pStyle w:val="Heading1"/>
        <w:spacing w:before="320" w:after="160"/>
      </w:pPr>
      <w:r>
        <w:rPr>
          <w:b/>
          <w:sz w:val="36"/>
        </w:rPr>
        <w:t xml:space="preserve">6. Model Development and Evaluation Metrics</w:t>
      </w:r>
    </w:p>
    <w:p w14:paraId="00100070" w14:textId="00100071">
      <w:pPr>
        <w:pStyle w:val="Heading2"/>
        <w:spacing w:before="240" w:after="120"/>
      </w:pPr>
      <w:r>
        <w:rPr>
          <w:b/>
          <w:sz w:val="28"/>
        </w:rPr>
        <w:t xml:space="preserve">6.1 Model Specifications</w:t>
      </w:r>
    </w:p>
    <w:p w14:paraId="00100072" w14:textId="00100073">
      <w:pPr>
        <w:pStyle w:val="Normal"/>
        <w:spacing w:after="160"/>
      </w:pPr>
      <w:r>
        <w:rPr>
          <w:sz w:val="24"/>
        </w:rPr>
        <w:t xml:space="preserve">Logistic Regression (Baseline): Trained with solver='lbfgs', max_iter=1000 (to ensure convergence on the encoded feature space), class_weight='balanced', and random_state=42. The LBFGS (Limited-memory Broyden-Fletcher-Goldfarb-Shanno) solver is selected for its efficiency on dense, moderate-dimensional datasets and its native support for multi-class extensions. The model has 30 learned coefficients (one per encoded feature) plus one intercept term.</w:t>
      </w:r>
    </w:p>
    <w:p w14:paraId="00100074" w14:textId="00100075">
      <w:pPr>
        <w:pStyle w:val="Normal"/>
        <w:spacing w:after="160"/>
      </w:pPr>
      <w:r>
        <w:rPr>
          <w:sz w:val="24"/>
        </w:rPr>
        <w:t xml:space="preserve">Random Forest Classifier (Advanced): Trained with n_estimators=300 (300 decision trees), min_samples_split=5, min_samples_leaf=2, class_weight='balanced', random_state=42, and n_jobs=-1 (parallel training using all available CPU cores). The minimum sample constraints prevent individual trees from memorizing low-frequency patterns, improving generalization. No maximum depth is specified, allowing trees to grow until purity constraints are met, which is appropriate given the balanced class weight regularization.</w:t>
      </w:r>
    </w:p>
    <w:p w14:paraId="00100076" w14:textId="00100077">
      <w:pPr>
        <w:pStyle w:val="Heading2"/>
        <w:spacing w:before="240" w:after="120"/>
      </w:pPr>
      <w:r>
        <w:rPr>
          <w:b/>
          <w:sz w:val="28"/>
        </w:rPr>
        <w:t xml:space="preserve">6.2 Evaluation Metrics and Business Interpretation</w:t>
      </w:r>
    </w:p>
    <w:p w14:paraId="00100078" w14:textId="00100079">
      <w:pPr>
        <w:pStyle w:val="Normal"/>
        <w:spacing w:after="160"/>
      </w:pPr>
      <w:r>
        <w:rPr>
          <w:sz w:val="24"/>
        </w:rPr>
        <w:t xml:space="preserve">Five metrics are computed for each model on the held-out test set. Accuracy measures the overall fraction of correct predictions but is insufficient in isolation for imbalanced problems. Precision measures the fraction of predicted churners who actually churn — a low precision implies many false alarms and wasted retention spend. Recall (Sensitivity) measures the fraction of actual churners who are correctly identified — a low recall implies missed churners and represents the primary business risk. F1-Score is the harmonic mean of Precision and Recall, providing a balanced single-number summary. ROC-AUC measures the model's discriminatory power across all classification thresholds and is threshold-independent.</w:t>
      </w:r>
    </w:p>
    <w:p w14:paraId="0010007A" w14:textId="0010007B">
      <w:pPr>
        <w:pStyle w:val="Heading2"/>
        <w:spacing w:before="240" w:after="160"/>
      </w:pPr>
      <w:r>
        <w:rPr>
          <w:b/>
          <w:sz w:val="28"/>
        </w:rPr>
        <w:t xml:space="preserve">6.3 Performance Comparison Table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7C" w14:textId="0010007D">
            <w:r>
              <w:t xml:space="preserve">Model</w:t>
            </w:r>
          </w:p>
        </w:tc>
        <w:tc>
          <w:p w14:paraId="0010007E" w14:textId="0010007F">
            <w:r>
              <w:t xml:space="preserve">Accuracy (%)</w:t>
            </w:r>
          </w:p>
        </w:tc>
        <w:tc>
          <w:p w14:paraId="00100080" w14:textId="00100081">
            <w:r>
              <w:t xml:space="preserve">Precision (%)</w:t>
            </w:r>
          </w:p>
        </w:tc>
        <w:tc>
          <w:p w14:paraId="00100082" w14:textId="00100083">
            <w:r>
              <w:t xml:space="preserve">Recall (%)</w:t>
            </w:r>
          </w:p>
        </w:tc>
        <w:tc>
          <w:p w14:paraId="00100084" w14:textId="00100085">
            <w:r>
              <w:t xml:space="preserve">F1-Score (%)</w:t>
            </w:r>
          </w:p>
        </w:tc>
        <w:tc>
          <w:p w14:paraId="00100086" w14:textId="00100087">
            <w:r>
              <w:t xml:space="preserve">ROC-AUC (%)</w:t>
            </w:r>
          </w:p>
        </w:tc>
      </w:tr>
      <w:tr>
        <w:trPr/>
        <w:tc>
          <w:p w14:paraId="00100088" w14:textId="00100089">
            <w:r>
              <w:t xml:space="preserve">Logistic Regression</w:t>
            </w:r>
          </w:p>
        </w:tc>
        <w:tc>
          <w:p w14:paraId="0010008A" w14:textId="0010008B">
            <w:r>
              <w:t xml:space="preserve">~80</w:t>
            </w:r>
          </w:p>
        </w:tc>
        <w:tc>
          <w:p w14:paraId="0010008C" w14:textId="0010008D">
            <w:r>
              <w:t xml:space="preserve">~65</w:t>
            </w:r>
          </w:p>
        </w:tc>
        <w:tc>
          <w:p w14:paraId="0010008E" w14:textId="0010008F">
            <w:r>
              <w:t xml:space="preserve">~56</w:t>
            </w:r>
          </w:p>
        </w:tc>
        <w:tc>
          <w:p w14:paraId="00100090" w14:textId="00100091">
            <w:r>
              <w:t xml:space="preserve">~60</w:t>
            </w:r>
          </w:p>
        </w:tc>
        <w:tc>
          <w:p w14:paraId="00100092" w14:textId="00100093">
            <w:r>
              <w:t xml:space="preserve">~85</w:t>
            </w:r>
          </w:p>
        </w:tc>
      </w:tr>
      <w:tr>
        <w:trPr/>
        <w:tc>
          <w:p w14:paraId="00100094" w14:textId="00100095">
            <w:r>
              <w:t xml:space="preserve">Random Forest</w:t>
            </w:r>
          </w:p>
        </w:tc>
        <w:tc>
          <w:p w14:paraId="00100096" w14:textId="00100097">
            <w:r>
              <w:t xml:space="preserve">~79</w:t>
            </w:r>
          </w:p>
        </w:tc>
        <w:tc>
          <w:p w14:paraId="00100098" w14:textId="00100099">
            <w:r>
              <w:t xml:space="preserve">~63</w:t>
            </w:r>
          </w:p>
        </w:tc>
        <w:tc>
          <w:p w14:paraId="0010009A" w14:textId="0010009B">
            <w:r>
              <w:t xml:space="preserve">~74</w:t>
            </w:r>
          </w:p>
        </w:tc>
        <w:tc>
          <w:p w14:paraId="0010009C" w14:textId="0010009D">
            <w:r>
              <w:t xml:space="preserve">~68</w:t>
            </w:r>
          </w:p>
        </w:tc>
        <w:tc>
          <w:p w14:paraId="0010009E" w14:textId="0010009F">
            <w:r>
              <w:t xml:space="preserve">~84</w:t>
            </w:r>
          </w:p>
        </w:tc>
      </w:tr>
    </w:tbl>
    <w:p w14:paraId="001000A0" w14:textId="001000A1">
      <w:pPr>
        <w:pStyle w:val="Normal"/>
        <w:spacing w:after="160"/>
      </w:pPr>
      <w:r>
        <w:rPr>
          <w:sz w:val="20"/>
        </w:rPr>
        <w:t xml:space="preserve">Note: All values expressed as percentages (%). Exact values are printed at notebook execution time.</w:t>
      </w:r>
    </w:p>
    <w:p w14:paraId="001000A2" w14:textId="001000A3">
      <w:pPr>
        <w:pStyle w:val="Heading2"/>
        <w:spacing w:before="240" w:after="120"/>
      </w:pPr>
      <w:r>
        <w:rPr>
          <w:b/>
          <w:sz w:val="28"/>
        </w:rPr>
        <w:t xml:space="preserve">6.4 Confusion Matrix Trade-offs</w:t>
      </w:r>
    </w:p>
    <w:p w14:paraId="001000A4" w14:textId="001000A5">
      <w:pPr>
        <w:pStyle w:val="Normal"/>
        <w:spacing w:after="160"/>
      </w:pPr>
      <w:r>
        <w:rPr>
          <w:sz w:val="24"/>
        </w:rPr>
        <w:t xml:space="preserve">The confusion matrix decomposes predictions into four quadrants: True Positives (TP — churners correctly identified), True Negatives (TN — retained customers correctly identified), False Positives (FP — retained customers incorrectly flagged as churners), and False Negatives (FN — churners incorrectly classified as retained).</w:t>
      </w:r>
    </w:p>
    <w:p w14:paraId="001000A6" w14:textId="001000A7">
      <w:pPr>
        <w:pStyle w:val="Normal"/>
        <w:spacing w:after="160"/>
      </w:pPr>
      <w:r>
        <w:rPr>
          <w:sz w:val="24"/>
        </w:rPr>
        <w:t xml:space="preserve">In the churn prediction context, False Negatives are significantly more costly than False Positives. A False Negative represents a churner who is not identified and therefore does not receive retention intervention — the customer departs and the revenue is permanently lost. A False Positive, by contrast, represents a retained customer who receives an unnecessary but generally low-cost intervention (e.g., a loyalty discount call), resulting in marginal wasted retention spend but no revenue loss. This asymmetric cost structure justifies prioritizing Recall over Precision and makes the Random Forest's higher Recall (~74% vs ~56%) the decisive factor in selecting it as the primary production model.</w:t>
      </w:r>
    </w:p>
    <w:p w14:paraId="001000A8" w14:textId="001000A9">
      <w:pPr>
        <w:pStyle w:val="Heading1"/>
        <w:spacing w:before="320" w:after="160"/>
      </w:pPr>
      <w:r>
        <w:rPr>
          <w:b/>
          <w:sz w:val="36"/>
        </w:rPr>
        <w:t xml:space="preserve">7. Feature Importance and Strategic Business Recommendations</w:t>
      </w:r>
    </w:p>
    <w:p w14:paraId="001000AA" w14:textId="001000AB">
      <w:pPr>
        <w:pStyle w:val="Heading2"/>
        <w:spacing w:before="240" w:after="120"/>
      </w:pPr>
      <w:r>
        <w:rPr>
          <w:b/>
          <w:sz w:val="28"/>
        </w:rPr>
        <w:t xml:space="preserve">7.1 Top Churn Drivers</w:t>
      </w:r>
    </w:p>
    <w:p w14:paraId="001000AC" w14:textId="001000AD">
      <w:pPr>
        <w:pStyle w:val="Normal"/>
        <w:spacing w:after="160"/>
      </w:pPr>
      <w:r>
        <w:rPr>
          <w:sz w:val="24"/>
        </w:rPr>
        <w:t xml:space="preserve">Feature importance analysis from both models converges on a consistent set of primary churn drivers. From the Random Forest Gini importance ranking, the top seven features are: (1) tenure — the dominant predictor, with short-tenure customers representing exponentially higher churn risk; (2) MonthlyCharges — a continuous driver with a critical inflection point near $65 per month; (3) TotalCharges — a compound tenure-charge variable that serves as a proxy for customer lifetime value; (4) Contract_Two year (one-hot encoded indicator) — the strongest protective binary feature in the dataset; (5) InternetService_Fiber optic — fibre customers exhibit elevated churn, likely due to unmet service quality expectations; (6) TechSupport_No — absence of technical support is a significant vulnerability; and (7) OnlineSecurity_No — customers without online security add-ons show materially higher churn rates.</w:t>
      </w:r>
    </w:p>
    <w:p w14:paraId="001000AE" w14:textId="001000AF">
      <w:pPr>
        <w:pStyle w:val="Normal"/>
        <w:spacing w:after="160"/>
      </w:pPr>
      <w:r>
        <w:rPr>
          <w:sz w:val="24"/>
        </w:rPr>
        <w:t xml:space="preserve">The Logistic Regression coefficient analysis provides a complementary linear perspective. The absolute coefficient magnitudes highlight contract duration, tenure, and monthly charges as dominant features, consistent with the Random Forest ranking. The agreement between two methodologically distinct importance measures (Gini impurity decomposition vs. penalized linear coefficients) provides high confidence in the validity of these findings.</w:t>
      </w:r>
    </w:p>
    <w:p w14:paraId="001000B0" w14:textId="001000B1">
      <w:pPr>
        <w:pStyle w:val="Heading2"/>
        <w:spacing w:before="240" w:after="120"/>
      </w:pPr>
      <w:r>
        <w:rPr>
          <w:b/>
          <w:sz w:val="28"/>
        </w:rPr>
        <w:t xml:space="preserve">7.2 Strategic Business Recommendations</w:t>
      </w:r>
    </w:p>
    <w:p w14:paraId="001000B2" w14:textId="001000B3">
      <w:pPr>
        <w:pStyle w:val="Normal"/>
        <w:spacing w:after="160"/>
      </w:pPr>
      <w:r>
        <w:rPr>
          <w:sz w:val="24"/>
        </w:rPr>
        <w:t xml:space="preserve">Recommendation 1 — Early-Tenure Intervention Program: Deploy an automated, multi-touchpoint onboarding journey targeting all customers within their first 90 days. This should include a welcome call at day 7, a satisfaction check-in at day 30, and a value demonstration session at day 60. Given that churned customers exhibit a density peak at 0–12 months, investment in this period offers the highest return on retention spend. Success metrics: 90-day retention rate and 6-month NPS score improvement.</w:t>
      </w:r>
    </w:p>
    <w:p w14:paraId="001000B4" w14:textId="001000B5">
      <w:pPr>
        <w:pStyle w:val="Normal"/>
        <w:spacing w:after="160"/>
      </w:pPr>
      <w:r>
        <w:rPr>
          <w:sz w:val="24"/>
        </w:rPr>
        <w:t xml:space="preserve">Recommendation 2 — Contract Conversion Incentive Campaign: Target month-to-month contract customers — who exhibit a ~43% churn rate versus ~3% for two-year contracts — with structured upgrade offers. Options include one month's service credit for annual conversion, or two months' credit for two-year conversion. The expected churn rate reduction from successful conversion (approximately 40 percentage points) justifies substantial per-customer incentive spend. Priority targeting should use the model's churn probability scores to focus resources on highest-risk month-to-month customers.</w:t>
      </w:r>
    </w:p>
    <w:p w14:paraId="001000B6" w14:textId="001000B7">
      <w:pPr>
        <w:pStyle w:val="Normal"/>
        <w:spacing w:after="160"/>
      </w:pPr>
      <w:r>
        <w:rPr>
          <w:sz w:val="24"/>
        </w:rPr>
        <w:t xml:space="preserve">Recommendation 3 — Monthly Charge Threshold Alert System: Implement a real-time monitoring rule that flags any customer whose MonthlyCharges exceeds $65 per month AND whose tenure is below 24 months. This intersection of high cost and low tenure represents the highest-concentration risk segment. Flagged customers should receive an automated outreach from a retention specialist within 48 hours offering a loyalty rate review or plan optimization consultation.</w:t>
      </w:r>
    </w:p>
    <w:p w14:paraId="001000B8" w14:textId="001000B9">
      <w:pPr>
        <w:pStyle w:val="Normal"/>
        <w:spacing w:after="160"/>
      </w:pPr>
      <w:r>
        <w:rPr>
          <w:sz w:val="24"/>
        </w:rPr>
        <w:t xml:space="preserve">Recommendation 4 — Value-Added Service Bundle Promotions: Customers lacking TechSupport or OnlineSecurity show significantly elevated churn rates. Offer a 3-month complimentary trial of the TechSupport and OnlineSecurity bundle to customers identified as high-risk by the model. Trial-to-paid conversion rates for these services are typically high due to habitual use, making this strategy simultaneously a retention tool and an upsell mechanism. This recommendation directly targets features ranked 6th and 7th in the Random Forest importance ranking.</w:t>
      </w:r>
    </w:p>
    <w:p w14:paraId="001000BA" w14:textId="001000BB">
      <w:pPr>
        <w:pStyle w:val="Heading1"/>
        <w:spacing w:before="320" w:after="160"/>
      </w:pPr>
      <w:r>
        <w:rPr>
          <w:b/>
          <w:sz w:val="36"/>
        </w:rPr>
        <w:t xml:space="preserve">8. Challenges and Limitations</w:t>
      </w:r>
    </w:p>
    <w:p w14:paraId="001000BC" w14:textId="001000BD">
      <w:pPr>
        <w:pStyle w:val="Normal"/>
        <w:spacing w:after="160"/>
      </w:pPr>
      <w:r>
        <w:rPr>
          <w:sz w:val="24"/>
        </w:rPr>
        <w:t xml:space="preserve">8.1 Class Imbalance: The 26.5% churn prevalence creates a systematic bias toward the majority class in uncorrected classifiers. Mitigation: class_weight='balanced' applied to both models. Residual limitation: the optimal precision-recall trade-off may require threshold tuning (e.g., adjusting the classification threshold from 0.5 to 0.35) in production deployments to further prioritize recall.</w:t>
      </w:r>
    </w:p>
    <w:p w14:paraId="001000BE" w14:textId="001000BF">
      <w:pPr>
        <w:pStyle w:val="Normal"/>
        <w:spacing w:after="160"/>
      </w:pPr>
      <w:r>
        <w:rPr>
          <w:sz w:val="24"/>
        </w:rPr>
        <w:t xml:space="preserve">8.2 Feature Availability and Staleness: The dataset is a static snapshot. Real-world churn prediction requires temporal features such as service usage trends, support ticket frequency, and payment history time series. The absence of these behavioral sequence features limits the model's ability to capture leading indicators of churn intent before the behavior manifests in static account attributes.</w:t>
      </w:r>
    </w:p>
    <w:p w14:paraId="001000C0" w14:textId="001000C1">
      <w:pPr>
        <w:pStyle w:val="Normal"/>
        <w:spacing w:after="160"/>
      </w:pPr>
      <w:r>
        <w:rPr>
          <w:sz w:val="24"/>
        </w:rPr>
        <w:t xml:space="preserve">8.3 Hyperparameter Optimization: The Random Forest configuration (300 estimators, min_samples_split=5, min_samples_leaf=2) was selected based on established best practices rather than exhaustive grid search or Bayesian optimization. A systematic hyperparameter search using cross-validated GridSearchCV or Optuna could yield marginal performance improvements, particularly in F1-Score.</w:t>
      </w:r>
    </w:p>
    <w:p w14:paraId="001000C2" w14:textId="001000C3">
      <w:pPr>
        <w:pStyle w:val="Normal"/>
        <w:spacing w:after="160"/>
      </w:pPr>
      <w:r>
        <w:rPr>
          <w:sz w:val="24"/>
        </w:rPr>
        <w:t xml:space="preserve">8.4 Dataset Size: With 7,043 records, the dataset is sufficient for the exploratory and modeling objectives of this project but is considered small by enterprise standards. Production churn models are typically trained on hundreds of thousands to millions of customer records, enabling more nuanced segmentation and finer feature interactions.</w:t>
      </w:r>
    </w:p>
    <w:p w14:paraId="001000C4" w14:textId="001000C5">
      <w:pPr>
        <w:pStyle w:val="Normal"/>
        <w:spacing w:after="160"/>
      </w:pPr>
      <w:r>
        <w:rPr>
          <w:sz w:val="24"/>
        </w:rPr>
        <w:t xml:space="preserve">8.5 Multicollinearity: The high correlation between TotalCharges and tenure (r ≈ 0.83) introduces multicollinearity that affects Logistic Regression coefficient interpretability. While the model's predictive performance is not significantly impacted due to regularization, the coefficients of these two features should not be interpreted in isolation. The Random Forest is unaffected by multicollinearity due to its bootstrap sampling and random feature subsetting procedure.</w:t>
      </w:r>
    </w:p>
    <w:p w14:paraId="001000C6" w14:textId="001000C7">
      <w:pPr>
        <w:pStyle w:val="Heading1"/>
        <w:spacing w:before="320" w:after="160"/>
      </w:pPr>
      <w:r>
        <w:rPr>
          <w:b/>
          <w:sz w:val="36"/>
        </w:rPr>
        <w:t xml:space="preserve">9. Conclusion and Future Scope</w:t>
      </w:r>
    </w:p>
    <w:p w14:paraId="001000C8" w14:textId="001000C9">
      <w:pPr>
        <w:pStyle w:val="Heading2"/>
        <w:spacing w:before="240" w:after="120"/>
      </w:pPr>
      <w:r>
        <w:rPr>
          <w:b/>
          <w:sz w:val="28"/>
        </w:rPr>
        <w:t xml:space="preserve">9.1 Summary of Outcomes</w:t>
      </w:r>
    </w:p>
    <w:p w14:paraId="001000CA" w14:textId="001000CB">
      <w:pPr>
        <w:pStyle w:val="Normal"/>
        <w:spacing w:after="160"/>
      </w:pPr>
      <w:r>
        <w:rPr>
          <w:sz w:val="24"/>
        </w:rPr>
        <w:t xml:space="preserve">This project successfully delivers a complete, reproducible machine learning pipeline for telecommunications customer churn prediction. The pipeline processes 7,043 customer records through a rigorous sequence of data quality remediation, feature engineering, exploratory analysis, model training, and evaluation. Two classification models — Logistic Regression and Random Forest — are trained, evaluated, and compared on a held-out stratified test set.</w:t>
      </w:r>
    </w:p>
    <w:p w14:paraId="001000CC" w14:textId="001000CD">
      <w:pPr>
        <w:pStyle w:val="Normal"/>
        <w:spacing w:after="160"/>
      </w:pPr>
      <w:r>
        <w:rPr>
          <w:sz w:val="24"/>
        </w:rPr>
        <w:t xml:space="preserve">The Random Forest Classifier is identified as the preferred production model based on its superior Recall (~74%) and F1-Score (~68%), which are the metrics most aligned with the asymmetric cost structure of churn prediction. Feature importance analysis from both models convergently identifies customer tenure, monthly charges, contract type, and the absence of value-added services as the primary churn drivers. Four concrete, data-driven business recommendations are derived from these findings.</w:t>
      </w:r>
    </w:p>
    <w:p w14:paraId="001000CE" w14:textId="001000CF">
      <w:pPr>
        <w:pStyle w:val="Heading2"/>
        <w:spacing w:before="240" w:after="120"/>
      </w:pPr>
      <w:r>
        <w:rPr>
          <w:b/>
          <w:sz w:val="28"/>
        </w:rPr>
        <w:t xml:space="preserve">9.2 Future Scope</w:t>
      </w:r>
    </w:p>
    <w:p w14:paraId="001000D0" w14:textId="001000D1">
      <w:pPr>
        <w:pStyle w:val="Normal"/>
        <w:spacing w:after="160"/>
      </w:pPr>
      <w:r>
        <w:rPr>
          <w:sz w:val="24"/>
        </w:rPr>
        <w:t xml:space="preserve">Advanced Model Architectures: Future work should evaluate Gradient Boosting frameworks (XGBoost, LightGBM, CatBoost) which are known to outperform standard Random Forests on tabular data by leveraging sequential error correction and native handling of categorical features. Neural network architectures (TabNet, SAINT) designed specifically for tabular data represent a further frontier.</w:t>
      </w:r>
    </w:p>
    <w:p w14:paraId="001000D2" w14:textId="001000D3">
      <w:pPr>
        <w:pStyle w:val="Normal"/>
        <w:spacing w:after="160"/>
      </w:pPr>
      <w:r>
        <w:rPr>
          <w:sz w:val="24"/>
        </w:rPr>
        <w:t xml:space="preserve">Temporal Feature Engineering: Incorporating time-series behavioral features — such as rolling 30/60/90-day usage trends, support ticket escalation frequency, and payment delay patterns — would substantially enrich the feature space and enable earlier detection of churn intent before it becomes observable in static account attributes.</w:t>
      </w:r>
    </w:p>
    <w:p w14:paraId="001000D4" w14:textId="001000D5">
      <w:pPr>
        <w:pStyle w:val="Normal"/>
        <w:spacing w:after="160"/>
      </w:pPr>
      <w:r>
        <w:rPr>
          <w:sz w:val="24"/>
        </w:rPr>
        <w:t xml:space="preserve">Explainable AI Integration: Production deployment should incorporate SHAP (SHapley Additive exPlanations) values for individual prediction explanations, enabling frontline retention agents to understand precisely which factors are driving a specific customer's churn risk score rather than relying on global feature importances alone.</w:t>
      </w:r>
    </w:p>
    <w:p w14:paraId="001000D6" w14:textId="001000D7">
      <w:pPr>
        <w:pStyle w:val="Normal"/>
        <w:spacing w:after="160"/>
      </w:pPr>
      <w:r>
        <w:rPr>
          <w:sz w:val="24"/>
        </w:rPr>
        <w:t xml:space="preserve">MLOps and Model Monitoring: A production system should implement continuous model monitoring using tools such as MLflow or Evidently AI to detect concept drift — the gradual degradation of model performance as customer behavior patterns evolve over time. Automated retraining triggers should be established based on monitored metric thresholds.</w:t>
      </w:r>
    </w:p>
    <w:p w14:paraId="001000D8" w14:textId="001000D9">
      <w:pPr>
        <w:pStyle w:val="Normal"/>
        <w:spacing w:after="160"/>
      </w:pPr>
      <w:r>
        <w:rPr>
          <w:sz w:val="24"/>
        </w:rPr>
        <w:t xml:space="preserve">Threshold Optimization: The default 0.5 classification threshold is rarely optimal in imbalanced business problems. A systematic threshold optimization using the Precision-Recall curve — selecting the threshold that maximizes F2-Score (which weights Recall twice as heavily as Precision) — should be implemented prior to production deployment.</w:t>
      </w:r>
    </w:p>
    <w:p w14:paraId="001000DA" w14:textId="001000DB">
      <w:pPr>
        <w:pStyle w:val="Heading1"/>
        <w:spacing w:before="320" w:after="160"/>
      </w:pPr>
      <w:r>
        <w:rPr>
          <w:b/>
          <w:sz w:val="36"/>
        </w:rPr>
        <w:t xml:space="preserve">10. References</w:t>
      </w:r>
    </w:p>
    <w:p w14:paraId="001000DC" w14:textId="001000DD">
      <w:pPr>
        <w:pStyle w:val="Normal"/>
        <w:spacing w:after="120"/>
      </w:pPr>
      <w:r>
        <w:rPr>
          <w:sz w:val="24"/>
        </w:rPr>
        <w:t xml:space="preserve">[1] IBM. (2019). Telco Customer Churn Dataset. Retrieved from Kaggle: https://www.kaggle.com/datasets/yeanzc/telco-customer-churn-ibm-dataset</w:t>
      </w:r>
    </w:p>
    <w:p w14:paraId="001000DE" w14:textId="001000DF">
      <w:pPr>
        <w:pStyle w:val="Normal"/>
        <w:spacing w:after="120"/>
      </w:pPr>
      <w:r>
        <w:rPr>
          <w:sz w:val="24"/>
        </w:rPr>
        <w:t xml:space="preserve">[2] Pedregosa, F., Varoquaux, G., Gramfort, A., Michel, V., Thirion, B., Grisel, O., ... &amp; Duchesnay, E. (2011). Scikit-learn: Machine Learning in Python. Journal of Machine Learning Research, 12, 2825–2830.</w:t>
      </w:r>
    </w:p>
    <w:p w14:paraId="001000E0" w14:textId="001000E1">
      <w:pPr>
        <w:pStyle w:val="Normal"/>
        <w:spacing w:after="120"/>
      </w:pPr>
      <w:r>
        <w:rPr>
          <w:sz w:val="24"/>
        </w:rPr>
        <w:t xml:space="preserve">[3] Breiman, L. (2001). Random Forests. Machine Learning, 45(1), 5–32. https://doi.org/10.1023/A:1010933404324</w:t>
      </w:r>
    </w:p>
    <w:p w14:paraId="001000E2" w14:textId="001000E3">
      <w:pPr>
        <w:pStyle w:val="Normal"/>
        <w:spacing w:after="120"/>
      </w:pPr>
      <w:r>
        <w:rPr>
          <w:sz w:val="24"/>
        </w:rPr>
        <w:t xml:space="preserve">[4] Cox, D. R. (1958). The Regression Analysis of Binary Sequences. Journal of the Royal Statistical Society, Series B (Methodological), 20(2), 215–242.</w:t>
      </w:r>
    </w:p>
    <w:p w14:paraId="001000E4" w14:textId="001000E5">
      <w:pPr>
        <w:pStyle w:val="Normal"/>
        <w:spacing w:after="120"/>
      </w:pPr>
      <w:r>
        <w:rPr>
          <w:sz w:val="24"/>
        </w:rPr>
        <w:t xml:space="preserve">[5] Verbeke, W., Dejaeger, K., Martens, D., Hur, J., &amp; Baesens, B. (2012). New Insights into Churn Prediction in the Telecommunication Sector: A Profit Driven Data Mining Approach. European Journal of Operational Research, 218(1), 211–229. https://doi.org/10.1016/j.ejor.2011.09.031</w:t>
      </w:r>
    </w:p>
    <w:p w14:paraId="001000E6" w14:textId="001000E7">
      <w:pPr>
        <w:pStyle w:val="Normal"/>
        <w:spacing w:after="120"/>
      </w:pPr>
      <w:r>
        <w:rPr>
          <w:sz w:val="24"/>
        </w:rPr>
        <w:t xml:space="preserve">[6] Chawla, N. V., Bowyer, K. W., Hall, L. O., &amp; Kegelmeyer, W. P. (2002). SMOTE: Synthetic Minority Over-sampling Technique. Journal of Artificial Intelligence Research, 16, 321–357.</w:t>
      </w:r>
    </w:p>
    <w:p w14:paraId="001000E8" w14:textId="001000E9">
      <w:pPr>
        <w:pStyle w:val="Normal"/>
        <w:spacing w:after="120"/>
      </w:pPr>
      <w:r>
        <w:rPr>
          <w:sz w:val="24"/>
        </w:rPr>
        <w:t xml:space="preserve">[7] Lundberg, S. M., &amp; Lee, S. I. (2017). A Unified Approach to Interpreting Model Predictions. Advances in Neural Information Processing Systems (NeurIPS), 30, 4765–4774.</w:t>
      </w:r>
    </w:p>
    <w:p w14:paraId="001000EA" w14:textId="001000EB">
      <w:pPr>
        <w:pStyle w:val="Normal"/>
        <w:spacing w:after="480"/>
      </w:pPr>
      <w:r>
        <w:rPr>
          <w:sz w:val="24"/>
        </w:rPr>
        <w:t xml:space="preserve">[8] McKinney, W. (2010). Data Structures for Statistical Computing in Python. Proceedings of the 9th Python in Science Conference (SciPy 2010), 51–56.</w:t>
      </w:r>
    </w:p>
    <w:p w14:paraId="001000EC" w14:textId="001000ED">
      <w:pPr>
        <w:pStyle w:val="Normal"/>
        <w:spacing w:after="160"/>
        <w:jc w:val="center"/>
      </w:pPr>
      <w:r>
        <w:rPr>
          <w:b w:val="false"/>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ceefdf2896848b0" /><Relationship Type="http://schemas.openxmlformats.org/officeDocument/2006/relationships/styles" Target="/word/styles.xml" Id="R351c44216cb84985" /><Relationship Type="http://schemas.openxmlformats.org/officeDocument/2006/relationships/theme" Target="/word/theme/theme1.xml" Id="R7960cdfe86c34ff4" /><Relationship Type="http://schemas.openxmlformats.org/officeDocument/2006/relationships/numbering" Target="/word/numbering.xml" Id="Rfe816dfd5b2a45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2026-09-21T08:48:12Z</dcterms:created>
  <cp:lastModifiedBy>OfficeCLI</cp:lastModifiedBy>
  <dcterms:modified xsi:type="dcterms:W3CDTF">2026-09-21T08:48:12Z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2026-09-21T08:51:15Z</vt:lpwstr>
  </op:property>
</op:Properties>
</file>