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0"/>
        <w:jc w:val="center"/>
      </w:pPr>
      <w:r>
        <w:rPr>
          <w:rFonts w:ascii="Times New Roman" w:cs="Times New Roman" w:eastAsia="Times New Roman" w:hAnsi="Times New Roman"/>
          <w:b/>
          <w:bCs/>
          <w:sz w:val="28"/>
          <w:szCs w:val="28"/>
        </w:rPr>
        <w:t xml:space="preserve">LITERATURE REVIEW</w:t>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32"/>
          <w:szCs w:val="32"/>
        </w:rPr>
        <w:t xml:space="preserve">Cloud-Native Auto-Healing Monitoring System using</w:t>
      </w:r>
    </w:p>
    <w:p>
      <w:pPr>
        <w:spacing w:after="480"/>
        <w:jc w:val="center"/>
      </w:pPr>
      <w:r>
        <w:rPr>
          <w:rFonts w:ascii="Times New Roman" w:cs="Times New Roman" w:eastAsia="Times New Roman" w:hAnsi="Times New Roman"/>
          <w:b/>
          <w:bCs/>
          <w:sz w:val="32"/>
          <w:szCs w:val="32"/>
        </w:rPr>
        <w:t xml:space="preserve">Prometheus, Grafana, Docker, and Kubernetes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val="false"/>
          <w:bCs w:val="false"/>
          <w:sz w:val="26"/>
          <w:szCs w:val="26"/>
        </w:rPr>
        <w:t xml:space="preserve">Vedant Domadiya</w:t>
      </w:r>
    </w:p>
    <w:p>
      <w:pPr>
        <w:spacing w:after="120"/>
        <w:jc w:val="center"/>
      </w:pPr>
      <w:r>
        <w:rPr>
          <w:rFonts w:ascii="Times New Roman" w:cs="Times New Roman" w:eastAsia="Times New Roman" w:hAnsi="Times New Roman"/>
          <w:b w:val="false"/>
          <w:bCs w:val="false"/>
          <w:sz w:val="24"/>
          <w:szCs w:val="24"/>
        </w:rPr>
        <w:t xml:space="preserve">250020702004</w:t>
      </w:r>
    </w:p>
    <w:p>
      <w:pPr>
        <w:spacing w:after="120"/>
        <w:jc w:val="center"/>
      </w:pPr>
      <w:r>
        <w:rPr>
          <w:rFonts w:ascii="Times New Roman" w:cs="Times New Roman" w:eastAsia="Times New Roman" w:hAnsi="Times New Roman"/>
          <w:b w:val="false"/>
          <w:bCs w:val="false"/>
          <w:sz w:val="24"/>
          <w:szCs w:val="24"/>
        </w:rPr>
        <w:t xml:space="preserve">ME – Computer Engineering</w:t>
      </w:r>
    </w:p>
    <w:p>
      <w:pPr>
        <w:spacing w:after="120"/>
        <w:jc w:val="center"/>
      </w:pPr>
      <w:r>
        <w:rPr>
          <w:rFonts w:ascii="Times New Roman" w:cs="Times New Roman" w:eastAsia="Times New Roman" w:hAnsi="Times New Roman"/>
          <w:b w:val="false"/>
          <w:bCs w:val="false"/>
          <w:sz w:val="24"/>
          <w:szCs w:val="24"/>
        </w:rPr>
        <w:t xml:space="preserve">Masters in Computer Engineering</w:t>
      </w:r>
    </w:p>
    <w:p>
      <w:pPr>
        <w:spacing w:after="480"/>
        <w:jc w:val="center"/>
      </w:pPr>
      <w:r>
        <w:rPr>
          <w:rFonts w:ascii="Times New Roman" w:cs="Times New Roman" w:eastAsia="Times New Roman" w:hAnsi="Times New Roman"/>
          <w:b w:val="false"/>
          <w:bCs w:val="false"/>
          <w:sz w:val="24"/>
          <w:szCs w:val="24"/>
        </w:rPr>
        <w:t xml:space="preserve">Ahmedabad Institute of Technology, Ahmedabad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val="false"/>
          <w:bCs w:val="false"/>
          <w:sz w:val="24"/>
          <w:szCs w:val="24"/>
        </w:rPr>
        <w:t xml:space="preserve">May 16, 2026</w:t>
      </w:r>
    </w:p>
    <w:p>
      <w:pPr>
        <w:pageBreakBefore/>
        <w:spacing w:after="360" w:before="240"/>
        <w:jc w:val="center"/>
      </w:pPr>
      <w:r>
        <w:rPr>
          <w:rFonts w:ascii="Times New Roman" w:cs="Times New Roman" w:eastAsia="Times New Roman" w:hAnsi="Times New Roman"/>
          <w:b/>
          <w:bCs/>
          <w:sz w:val="32"/>
          <w:szCs w:val="32"/>
        </w:rPr>
        <w:t xml:space="preserve">Certificate</w:t>
      </w:r>
    </w:p>
    <w:p>
      <w:pPr>
        <w:spacing w:after="160" w:line="320"/>
        <w:jc w:val="both"/>
      </w:pPr>
      <w:r>
        <w:rPr>
          <w:rFonts w:ascii="Times New Roman" w:cs="Times New Roman" w:eastAsia="Times New Roman" w:hAnsi="Times New Roman"/>
          <w:sz w:val="24"/>
          <w:szCs w:val="24"/>
        </w:rPr>
        <w:t xml:space="preserve">This is to certify that the mini project report entitled </w:t>
      </w:r>
      <w:r>
        <w:rPr>
          <w:rFonts w:ascii="Times New Roman" w:cs="Times New Roman" w:eastAsia="Times New Roman" w:hAnsi="Times New Roman"/>
          <w:b/>
          <w:bCs/>
          <w:sz w:val="24"/>
          <w:szCs w:val="24"/>
        </w:rPr>
        <w:t xml:space="preserve">“Cloud-Native Auto-Healing Monitoring System using Prometheus, Grafana, Docker, and Kubernetes”</w:t>
      </w:r>
      <w:r>
        <w:rPr>
          <w:rFonts w:ascii="Times New Roman" w:cs="Times New Roman" w:eastAsia="Times New Roman" w:hAnsi="Times New Roman"/>
          <w:sz w:val="24"/>
          <w:szCs w:val="24"/>
        </w:rPr>
        <w:t xml:space="preserve"> has been carried out by </w:t>
      </w:r>
      <w:r>
        <w:rPr>
          <w:rFonts w:ascii="Times New Roman" w:cs="Times New Roman" w:eastAsia="Times New Roman" w:hAnsi="Times New Roman"/>
          <w:b/>
          <w:bCs/>
          <w:sz w:val="24"/>
          <w:szCs w:val="24"/>
        </w:rPr>
        <w:t xml:space="preserve">Mr. Vedant Domadiya</w:t>
      </w:r>
      <w:r>
        <w:rPr>
          <w:rFonts w:ascii="Times New Roman" w:cs="Times New Roman" w:eastAsia="Times New Roman" w:hAnsi="Times New Roman"/>
          <w:sz w:val="24"/>
          <w:szCs w:val="24"/>
        </w:rPr>
        <w:t xml:space="preserve"> bearing Enrollment Number </w:t>
      </w:r>
      <w:r>
        <w:rPr>
          <w:rFonts w:ascii="Times New Roman" w:cs="Times New Roman" w:eastAsia="Times New Roman" w:hAnsi="Times New Roman"/>
          <w:b/>
          <w:bCs/>
          <w:sz w:val="24"/>
          <w:szCs w:val="24"/>
        </w:rPr>
        <w:t xml:space="preserve">250020702004</w:t>
      </w:r>
      <w:r>
        <w:rPr>
          <w:rFonts w:ascii="Times New Roman" w:cs="Times New Roman" w:eastAsia="Times New Roman" w:hAnsi="Times New Roman"/>
          <w:sz w:val="24"/>
          <w:szCs w:val="24"/>
        </w:rPr>
        <w:t xml:space="preserve"> under my guidance, in partial fulfilment of the requirements for the award of the degree of </w:t>
      </w:r>
      <w:r>
        <w:rPr>
          <w:rFonts w:ascii="Times New Roman" w:cs="Times New Roman" w:eastAsia="Times New Roman" w:hAnsi="Times New Roman"/>
          <w:b/>
          <w:bCs/>
          <w:sz w:val="24"/>
          <w:szCs w:val="24"/>
        </w:rPr>
        <w:t xml:space="preserve">Master of Engineering in Computer Engineering</w:t>
      </w:r>
      <w:r>
        <w:rPr>
          <w:rFonts w:ascii="Times New Roman" w:cs="Times New Roman" w:eastAsia="Times New Roman" w:hAnsi="Times New Roman"/>
          <w:sz w:val="24"/>
          <w:szCs w:val="24"/>
        </w:rPr>
        <w:t xml:space="preserve"> of the Gujarat Technological University, Ahmedabad, during the academic year 2025–2026. The work embodied in this report has not been submitted elsewhere for the award of any other degree or diploma.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left" w:pos="5400"/>
        </w:tabs>
        <w:jc w:val="left"/>
      </w:pPr>
      <w:r>
        <w:rPr>
          <w:rFonts w:ascii="Times New Roman" w:cs="Times New Roman" w:eastAsia="Times New Roman" w:hAnsi="Times New Roman"/>
          <w:sz w:val="24"/>
          <w:szCs w:val="24"/>
        </w:rPr>
        <w:t xml:space="preserve">Date: 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Place: Ahmedabad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left" w:pos="5400"/>
        </w:tabs>
        <w:jc w:val="left"/>
      </w:pPr>
      <w:r>
        <w:rPr>
          <w:rFonts w:ascii="Times New Roman" w:cs="Times New Roman" w:eastAsia="Times New Roman" w:hAnsi="Times New Roman"/>
          <w:sz w:val="24"/>
          <w:szCs w:val="24"/>
        </w:rPr>
        <w:t xml:space="preserve">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_____________________________</w:t>
      </w:r>
    </w:p>
    <w:p>
      <w:pPr>
        <w:tabs>
          <w:tab w:val="left" w:pos="5400"/>
        </w:tabs>
        <w:jc w:val="left"/>
      </w:pPr>
      <w:r>
        <w:rPr>
          <w:rFonts w:ascii="Times New Roman" w:cs="Times New Roman" w:eastAsia="Times New Roman" w:hAnsi="Times New Roman"/>
          <w:b/>
          <w:bCs/>
          <w:sz w:val="24"/>
          <w:szCs w:val="24"/>
        </w:rPr>
        <w:t xml:space="preserve">Internal Guide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 of Department</w:t>
      </w:r>
    </w:p>
    <w:p>
      <w:pPr>
        <w:tabs>
          <w:tab w:val="left" w:pos="5400"/>
        </w:tabs>
        <w:jc w:val="left"/>
      </w:pPr>
      <w:r>
        <w:rPr>
          <w:rFonts w:ascii="Times New Roman" w:cs="Times New Roman" w:eastAsia="Times New Roman" w:hAnsi="Times New Roman"/>
          <w:sz w:val="22"/>
          <w:szCs w:val="22"/>
        </w:rPr>
        <w:t xml:space="preserve">Department of Computer Engineering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Department of Computer Engineering</w:t>
      </w:r>
    </w:p>
    <w:p>
      <w:pPr>
        <w:tabs>
          <w:tab w:val="left" w:pos="5400"/>
        </w:tabs>
        <w:jc w:val="left"/>
      </w:pPr>
      <w:r>
        <w:rPr>
          <w:rFonts w:ascii="Times New Roman" w:cs="Times New Roman" w:eastAsia="Times New Roman" w:hAnsi="Times New Roman"/>
          <w:sz w:val="22"/>
          <w:szCs w:val="22"/>
        </w:rPr>
        <w:t xml:space="preserve">Ahmedabad Institute of Technology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Ahmedabad Institute of Technology</w:t>
      </w:r>
    </w:p>
    <w:p>
      <w:pPr>
        <w:pageBreakBefore/>
        <w:spacing w:after="360" w:before="240"/>
        <w:jc w:val="center"/>
      </w:pPr>
      <w:r>
        <w:rPr>
          <w:rFonts w:ascii="Times New Roman" w:cs="Times New Roman" w:eastAsia="Times New Roman" w:hAnsi="Times New Roman"/>
          <w:b/>
          <w:bCs/>
          <w:sz w:val="32"/>
          <w:szCs w:val="32"/>
        </w:rPr>
        <w:t xml:space="preserve">Abstract</w:t>
      </w:r>
    </w:p>
    <w:p>
      <w:pPr>
        <w:spacing w:after="160" w:line="320"/>
        <w:jc w:val="both"/>
      </w:pPr>
      <w:r>
        <w:rPr>
          <w:rFonts w:ascii="Times New Roman" w:cs="Times New Roman" w:eastAsia="Times New Roman" w:hAnsi="Times New Roman"/>
          <w:sz w:val="24"/>
          <w:szCs w:val="24"/>
        </w:rPr>
        <w:t xml:space="preserve">The accelerating adoption of cloud-native architectures, microservices, and containerised deployments has fundamentally transformed the way modern software systems are designed, delivered, and maintained. While these architectures offer substantial benefits in terms of scalability, modularity, and deployment velocity, they simultaneously introduce unprecedented levels of operational complexity. Failures in such distributed environments are no longer isolated incidents; they propagate rapidly across services and often lead to cascading degradation of user-facing functionality. Traditional monitoring approaches, which largely depend upon manual intervention by human operators, are increasingly inadequate for managing the scale, velocity, and ephemeral nature of contemporary cloud workloads.</w:t>
      </w:r>
    </w:p>
    <w:p>
      <w:pPr>
        <w:spacing w:after="160" w:line="320"/>
        <w:jc w:val="both"/>
      </w:pPr>
      <w:r>
        <w:rPr>
          <w:rFonts w:ascii="Times New Roman" w:cs="Times New Roman" w:eastAsia="Times New Roman" w:hAnsi="Times New Roman"/>
          <w:sz w:val="24"/>
          <w:szCs w:val="24"/>
        </w:rPr>
        <w:t xml:space="preserve">This mini project presents the design, implementation, and evaluation of a Cloud-Native Auto-Healing Monitoring System that integrates Prometheus, Grafana, Docker, and Kubernetes to deliver an end-to-end observability and automated remediation framework. Prometheus is employed as the primary time-series metrics collection engine; Grafana is used for real-time visualisation and dashboarding; Alertmanager is configured for rule-based alert routing; and a webhook-driven auto-healing module is developed to automatically remediate common classes of failures such as container crashes, resource exhaustion, and unresponsive services. Kubernetes, deployed through Minikube, is used for container orchestration and for demonstrating native self-healing behaviours such as liveness-probe-driven pod restarts.</w:t>
      </w:r>
    </w:p>
    <w:p>
      <w:pPr>
        <w:spacing w:after="160" w:line="320"/>
        <w:jc w:val="both"/>
      </w:pPr>
      <w:r>
        <w:rPr>
          <w:rFonts w:ascii="Times New Roman" w:cs="Times New Roman" w:eastAsia="Times New Roman" w:hAnsi="Times New Roman"/>
          <w:sz w:val="24"/>
          <w:szCs w:val="24"/>
        </w:rPr>
        <w:t xml:space="preserve">The proposed system embodies core principles drawn from Site Reliability Engineering (SRE), namely the reduction of toil, the minimisation of Mean Time to Recovery (MTTR), and the elevation of system reliability through automation. Drawing on peer-reviewed studies (2023–2026) and industry reports from the Cloud Native Computing Foundation (CNCF), Google Cloud, Red Hat, Grafana Labs, and the DORA State of DevOps community (2024–2026), this work is evaluated against four key operational indicators: system uptime improvement, alert accuracy, response-time reduction, and recovery time. Empirical evaluation across five distinct fault-injection scenarios demonstrates consistent recovery within the targeted thirty-to-sixty-second envelope for scenarios that exercise the full alert-and-remediate pipeline, and sub-second recovery for scenarios resolved at the container-runtime layer — a finding that empirically validates the layered self-healing model identified in the literature. The outcomes of this study demonstrate that a well-orchestrated integration of open-source observability tools with policy-driven automation can substantially enhance the resilience of containerised applications and constitute a cost-effective alternative to proprietary enterprise monitoring suites.</w:t>
      </w:r>
    </w:p>
    <w:p>
      <w:r>
        <w:rPr>
          <w:rFonts w:ascii="Times New Roman" w:cs="Times New Roman" w:eastAsia="Times New Roman" w:hAnsi="Times New Roman"/>
          <w:sz w:val="24"/>
          <w:szCs w:val="24"/>
        </w:rPr>
        <w:t xml:space="preserve"/>
      </w:r>
    </w:p>
    <w:p>
      <w:pPr>
        <w:spacing w:after="160" w:line="3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DevOps, Site Reliability Engineering, Prometheus, Grafana, Kubernetes, Docker, observability, auto-healing, self-healing infrastructure, Alertmanager, MTTR.</w:t>
      </w:r>
    </w:p>
    <w:p>
      <w:pPr>
        <w:pageBreakBefore/>
        <w:spacing w:after="360" w:before="240"/>
        <w:jc w:val="center"/>
      </w:pPr>
      <w:r>
        <w:rPr>
          <w:rFonts w:ascii="Times New Roman" w:cs="Times New Roman" w:eastAsia="Times New Roman" w:hAnsi="Times New Roman"/>
          <w:b/>
          <w:bCs/>
          <w:sz w:val="32"/>
          <w:szCs w:val="32"/>
        </w:rPr>
        <w:t xml:space="preserve">Contents</w:t>
      </w:r>
    </w:p>
    <w:p>
      <w:pPr>
        <w:spacing w:after="200"/>
        <w:jc w:val="right"/>
      </w:pPr>
      <w:r>
        <w:rPr>
          <w:rFonts w:ascii="Times New Roman" w:cs="Times New Roman" w:eastAsia="Times New Roman" w:hAnsi="Times New Roman"/>
          <w:b/>
          <w:bCs/>
          <w:sz w:val="24"/>
          <w:szCs w:val="24"/>
        </w:rPr>
        <w:t xml:space="preserve">Page</w:t>
      </w:r>
    </w:p>
    <w:p>
      <w:pPr>
        <w:tabs>
          <w:tab w:val="right" w:pos="9000" w:leader="dot"/>
        </w:tabs>
        <w:spacing w:after="120"/>
        <w:ind w:left="0"/>
        <w:jc w:val="left"/>
      </w:pPr>
      <w:r>
        <w:rPr>
          <w:rFonts w:ascii="Times New Roman" w:cs="Times New Roman" w:eastAsia="Times New Roman" w:hAnsi="Times New Roman"/>
          <w:sz w:val="24"/>
          <w:szCs w:val="24"/>
        </w:rPr>
        <w:t xml:space="preserve">1  Introduction and Identification of the Mini Project Topic</w:t>
      </w:r>
      <w:r>
        <w:rPr>
          <w:rFonts w:ascii="Times New Roman" w:cs="Times New Roman" w:eastAsia="Times New Roman" w:hAnsi="Times New Roman"/>
          <w:sz w:val="24"/>
          <w:szCs w:val="24"/>
        </w:rPr>
        <w:t xml:space="preserve">	1</w:t>
      </w:r>
    </w:p>
    <w:p>
      <w:pPr>
        <w:tabs>
          <w:tab w:val="right" w:pos="9000" w:leader="dot"/>
        </w:tabs>
        <w:spacing w:after="120"/>
        <w:ind w:left="360"/>
        <w:jc w:val="left"/>
      </w:pPr>
      <w:r>
        <w:rPr>
          <w:rFonts w:ascii="Times New Roman" w:cs="Times New Roman" w:eastAsia="Times New Roman" w:hAnsi="Times New Roman"/>
          <w:sz w:val="24"/>
          <w:szCs w:val="24"/>
        </w:rPr>
        <w:t xml:space="preserve">1.1  Background and Motivation</w:t>
      </w:r>
      <w:r>
        <w:rPr>
          <w:rFonts w:ascii="Times New Roman" w:cs="Times New Roman" w:eastAsia="Times New Roman" w:hAnsi="Times New Roman"/>
          <w:sz w:val="24"/>
          <w:szCs w:val="24"/>
        </w:rPr>
        <w:t xml:space="preserve">	1</w:t>
      </w:r>
    </w:p>
    <w:p>
      <w:pPr>
        <w:tabs>
          <w:tab w:val="right" w:pos="9000" w:leader="dot"/>
        </w:tabs>
        <w:spacing w:after="120"/>
        <w:ind w:left="360"/>
        <w:jc w:val="left"/>
      </w:pPr>
      <w:r>
        <w:rPr>
          <w:rFonts w:ascii="Times New Roman" w:cs="Times New Roman" w:eastAsia="Times New Roman" w:hAnsi="Times New Roman"/>
          <w:sz w:val="24"/>
          <w:szCs w:val="24"/>
        </w:rPr>
        <w:t xml:space="preserve">1.2  Identification of the Problem</w:t>
      </w:r>
      <w:r>
        <w:rPr>
          <w:rFonts w:ascii="Times New Roman" w:cs="Times New Roman" w:eastAsia="Times New Roman" w:hAnsi="Times New Roman"/>
          <w:sz w:val="24"/>
          <w:szCs w:val="24"/>
        </w:rPr>
        <w:t xml:space="preserve">	2</w:t>
      </w:r>
    </w:p>
    <w:p>
      <w:pPr>
        <w:tabs>
          <w:tab w:val="right" w:pos="9000" w:leader="dot"/>
        </w:tabs>
        <w:spacing w:after="120"/>
        <w:ind w:left="360"/>
        <w:jc w:val="left"/>
      </w:pPr>
      <w:r>
        <w:rPr>
          <w:rFonts w:ascii="Times New Roman" w:cs="Times New Roman" w:eastAsia="Times New Roman" w:hAnsi="Times New Roman"/>
          <w:sz w:val="24"/>
          <w:szCs w:val="24"/>
        </w:rPr>
        <w:t xml:space="preserve">1.3  Identification and Justification of the Mini Project Topic</w:t>
      </w:r>
      <w:r>
        <w:rPr>
          <w:rFonts w:ascii="Times New Roman" w:cs="Times New Roman" w:eastAsia="Times New Roman" w:hAnsi="Times New Roman"/>
          <w:sz w:val="24"/>
          <w:szCs w:val="24"/>
        </w:rPr>
        <w:t xml:space="preserve">	4</w:t>
      </w:r>
    </w:p>
    <w:p>
      <w:pPr>
        <w:tabs>
          <w:tab w:val="right" w:pos="9000" w:leader="dot"/>
        </w:tabs>
        <w:spacing w:after="120"/>
        <w:ind w:left="360"/>
        <w:jc w:val="left"/>
      </w:pPr>
      <w:r>
        <w:rPr>
          <w:rFonts w:ascii="Times New Roman" w:cs="Times New Roman" w:eastAsia="Times New Roman" w:hAnsi="Times New Roman"/>
          <w:sz w:val="24"/>
          <w:szCs w:val="24"/>
        </w:rPr>
        <w:t xml:space="preserve">1.4  Scope and Delimitations</w:t>
      </w:r>
      <w:r>
        <w:rPr>
          <w:rFonts w:ascii="Times New Roman" w:cs="Times New Roman" w:eastAsia="Times New Roman" w:hAnsi="Times New Roman"/>
          <w:sz w:val="24"/>
          <w:szCs w:val="24"/>
        </w:rPr>
        <w:t xml:space="preserve">	5</w:t>
      </w:r>
    </w:p>
    <w:p>
      <w:pPr>
        <w:tabs>
          <w:tab w:val="right" w:pos="9000" w:leader="dot"/>
        </w:tabs>
        <w:spacing w:after="120"/>
        <w:ind w:left="360"/>
        <w:jc w:val="left"/>
      </w:pPr>
      <w:r>
        <w:rPr>
          <w:rFonts w:ascii="Times New Roman" w:cs="Times New Roman" w:eastAsia="Times New Roman" w:hAnsi="Times New Roman"/>
          <w:sz w:val="24"/>
          <w:szCs w:val="24"/>
        </w:rPr>
        <w:t xml:space="preserve">1.5  Literature Review</w:t>
      </w:r>
      <w:r>
        <w:rPr>
          <w:rFonts w:ascii="Times New Roman" w:cs="Times New Roman" w:eastAsia="Times New Roman" w:hAnsi="Times New Roman"/>
          <w:sz w:val="24"/>
          <w:szCs w:val="24"/>
        </w:rPr>
        <w:t xml:space="preserve">	6</w:t>
      </w:r>
    </w:p>
    <w:p>
      <w:r>
        <w:rPr>
          <w:rFonts w:ascii="Times New Roman" w:cs="Times New Roman" w:eastAsia="Times New Roman" w:hAnsi="Times New Roman"/>
          <w:sz w:val="24"/>
          <w:szCs w:val="24"/>
        </w:rPr>
        <w:t xml:space="preserve"/>
      </w:r>
    </w:p>
    <w:p>
      <w:pPr>
        <w:tabs>
          <w:tab w:val="right" w:pos="9000" w:leader="dot"/>
        </w:tabs>
        <w:spacing w:after="120"/>
        <w:ind w:left="0"/>
        <w:jc w:val="left"/>
      </w:pPr>
      <w:r>
        <w:rPr>
          <w:rFonts w:ascii="Times New Roman" w:cs="Times New Roman" w:eastAsia="Times New Roman" w:hAnsi="Times New Roman"/>
          <w:sz w:val="24"/>
          <w:szCs w:val="24"/>
        </w:rPr>
        <w:t xml:space="preserve">2  Methodology Adopted</w:t>
      </w:r>
      <w:r>
        <w:rPr>
          <w:rFonts w:ascii="Times New Roman" w:cs="Times New Roman" w:eastAsia="Times New Roman" w:hAnsi="Times New Roman"/>
          <w:sz w:val="24"/>
          <w:szCs w:val="24"/>
        </w:rPr>
        <w:t xml:space="preserve">	12</w:t>
      </w:r>
    </w:p>
    <w:p>
      <w:pPr>
        <w:tabs>
          <w:tab w:val="right" w:pos="9000" w:leader="dot"/>
        </w:tabs>
        <w:spacing w:after="120"/>
        <w:ind w:left="360"/>
        <w:jc w:val="left"/>
      </w:pPr>
      <w:r>
        <w:rPr>
          <w:rFonts w:ascii="Times New Roman" w:cs="Times New Roman" w:eastAsia="Times New Roman" w:hAnsi="Times New Roman"/>
          <w:sz w:val="24"/>
          <w:szCs w:val="24"/>
        </w:rPr>
        <w:t xml:space="preserve">2.1  Scientific Research Approach</w:t>
      </w:r>
      <w:r>
        <w:rPr>
          <w:rFonts w:ascii="Times New Roman" w:cs="Times New Roman" w:eastAsia="Times New Roman" w:hAnsi="Times New Roman"/>
          <w:sz w:val="24"/>
          <w:szCs w:val="24"/>
        </w:rPr>
        <w:t xml:space="preserve">	12</w:t>
      </w:r>
    </w:p>
    <w:p>
      <w:pPr>
        <w:tabs>
          <w:tab w:val="right" w:pos="9000" w:leader="dot"/>
        </w:tabs>
        <w:spacing w:after="120"/>
        <w:ind w:left="360"/>
        <w:jc w:val="left"/>
      </w:pPr>
      <w:r>
        <w:rPr>
          <w:rFonts w:ascii="Times New Roman" w:cs="Times New Roman" w:eastAsia="Times New Roman" w:hAnsi="Times New Roman"/>
          <w:sz w:val="24"/>
          <w:szCs w:val="24"/>
        </w:rPr>
        <w:t xml:space="preserve">2.2  Research Philosophy and Paradigm</w:t>
      </w:r>
      <w:r>
        <w:rPr>
          <w:rFonts w:ascii="Times New Roman" w:cs="Times New Roman" w:eastAsia="Times New Roman" w:hAnsi="Times New Roman"/>
          <w:sz w:val="24"/>
          <w:szCs w:val="24"/>
        </w:rPr>
        <w:t xml:space="preserve">	14</w:t>
      </w:r>
    </w:p>
    <w:p>
      <w:pPr>
        <w:tabs>
          <w:tab w:val="right" w:pos="9000" w:leader="dot"/>
        </w:tabs>
        <w:spacing w:after="120"/>
        <w:ind w:left="360"/>
        <w:jc w:val="left"/>
      </w:pPr>
      <w:r>
        <w:rPr>
          <w:rFonts w:ascii="Times New Roman" w:cs="Times New Roman" w:eastAsia="Times New Roman" w:hAnsi="Times New Roman"/>
          <w:sz w:val="24"/>
          <w:szCs w:val="24"/>
        </w:rPr>
        <w:t xml:space="preserve">2.3  Literature Search Strategy</w:t>
      </w:r>
      <w:r>
        <w:rPr>
          <w:rFonts w:ascii="Times New Roman" w:cs="Times New Roman" w:eastAsia="Times New Roman" w:hAnsi="Times New Roman"/>
          <w:sz w:val="24"/>
          <w:szCs w:val="24"/>
        </w:rPr>
        <w:t xml:space="preserve">	15</w:t>
      </w:r>
    </w:p>
    <w:p>
      <w:pPr>
        <w:tabs>
          <w:tab w:val="right" w:pos="9000" w:leader="dot"/>
        </w:tabs>
        <w:spacing w:after="120"/>
        <w:ind w:left="360"/>
        <w:jc w:val="left"/>
      </w:pPr>
      <w:r>
        <w:rPr>
          <w:rFonts w:ascii="Times New Roman" w:cs="Times New Roman" w:eastAsia="Times New Roman" w:hAnsi="Times New Roman"/>
          <w:sz w:val="24"/>
          <w:szCs w:val="24"/>
        </w:rPr>
        <w:t xml:space="preserve">2.4  System Development Methodology</w:t>
      </w:r>
      <w:r>
        <w:rPr>
          <w:rFonts w:ascii="Times New Roman" w:cs="Times New Roman" w:eastAsia="Times New Roman" w:hAnsi="Times New Roman"/>
          <w:sz w:val="24"/>
          <w:szCs w:val="24"/>
        </w:rPr>
        <w:t xml:space="preserve">	17</w:t>
      </w:r>
    </w:p>
    <w:p>
      <w:pPr>
        <w:tabs>
          <w:tab w:val="right" w:pos="9000" w:leader="dot"/>
        </w:tabs>
        <w:spacing w:after="120"/>
        <w:ind w:left="360"/>
        <w:jc w:val="left"/>
      </w:pPr>
      <w:r>
        <w:rPr>
          <w:rFonts w:ascii="Times New Roman" w:cs="Times New Roman" w:eastAsia="Times New Roman" w:hAnsi="Times New Roman"/>
          <w:sz w:val="24"/>
          <w:szCs w:val="24"/>
        </w:rPr>
        <w:t xml:space="preserve">2.5  Evaluation Criteria</w:t>
      </w:r>
      <w:r>
        <w:rPr>
          <w:rFonts w:ascii="Times New Roman" w:cs="Times New Roman" w:eastAsia="Times New Roman" w:hAnsi="Times New Roman"/>
          <w:sz w:val="24"/>
          <w:szCs w:val="24"/>
        </w:rPr>
        <w:t xml:space="preserve">	20</w:t>
      </w:r>
    </w:p>
    <w:p>
      <w:r>
        <w:rPr>
          <w:rFonts w:ascii="Times New Roman" w:cs="Times New Roman" w:eastAsia="Times New Roman" w:hAnsi="Times New Roman"/>
          <w:sz w:val="24"/>
          <w:szCs w:val="24"/>
        </w:rPr>
        <w:t xml:space="preserve"/>
      </w:r>
    </w:p>
    <w:p>
      <w:pPr>
        <w:tabs>
          <w:tab w:val="right" w:pos="9000" w:leader="dot"/>
        </w:tabs>
        <w:spacing w:after="120"/>
        <w:ind w:left="0"/>
        <w:jc w:val="left"/>
      </w:pPr>
      <w:r>
        <w:rPr>
          <w:rFonts w:ascii="Times New Roman" w:cs="Times New Roman" w:eastAsia="Times New Roman" w:hAnsi="Times New Roman"/>
          <w:sz w:val="24"/>
          <w:szCs w:val="24"/>
        </w:rPr>
        <w:t xml:space="preserve">3  Data Collection and Analysis (Results)</w:t>
      </w:r>
      <w:r>
        <w:rPr>
          <w:rFonts w:ascii="Times New Roman" w:cs="Times New Roman" w:eastAsia="Times New Roman" w:hAnsi="Times New Roman"/>
          <w:sz w:val="24"/>
          <w:szCs w:val="24"/>
        </w:rPr>
        <w:t xml:space="preserve">	22</w:t>
      </w:r>
    </w:p>
    <w:p>
      <w:pPr>
        <w:tabs>
          <w:tab w:val="right" w:pos="9000" w:leader="dot"/>
        </w:tabs>
        <w:spacing w:after="120"/>
        <w:ind w:left="360"/>
        <w:jc w:val="left"/>
      </w:pPr>
      <w:r>
        <w:rPr>
          <w:rFonts w:ascii="Times New Roman" w:cs="Times New Roman" w:eastAsia="Times New Roman" w:hAnsi="Times New Roman"/>
          <w:sz w:val="24"/>
          <w:szCs w:val="24"/>
        </w:rPr>
        <w:t xml:space="preserve">3.1  Overview of Data Sources</w:t>
      </w:r>
      <w:r>
        <w:rPr>
          <w:rFonts w:ascii="Times New Roman" w:cs="Times New Roman" w:eastAsia="Times New Roman" w:hAnsi="Times New Roman"/>
          <w:sz w:val="24"/>
          <w:szCs w:val="24"/>
        </w:rPr>
        <w:t xml:space="preserve">	22</w:t>
      </w:r>
    </w:p>
    <w:p>
      <w:pPr>
        <w:tabs>
          <w:tab w:val="right" w:pos="9000" w:leader="dot"/>
        </w:tabs>
        <w:spacing w:after="120"/>
        <w:ind w:left="360"/>
        <w:jc w:val="left"/>
      </w:pPr>
      <w:r>
        <w:rPr>
          <w:rFonts w:ascii="Times New Roman" w:cs="Times New Roman" w:eastAsia="Times New Roman" w:hAnsi="Times New Roman"/>
          <w:sz w:val="24"/>
          <w:szCs w:val="24"/>
        </w:rPr>
        <w:t xml:space="preserve">3.2  Metrics Collected from the Deployed Stack</w:t>
      </w:r>
      <w:r>
        <w:rPr>
          <w:rFonts w:ascii="Times New Roman" w:cs="Times New Roman" w:eastAsia="Times New Roman" w:hAnsi="Times New Roman"/>
          <w:sz w:val="24"/>
          <w:szCs w:val="24"/>
        </w:rPr>
        <w:t xml:space="preserve">	23</w:t>
      </w:r>
    </w:p>
    <w:p>
      <w:pPr>
        <w:tabs>
          <w:tab w:val="right" w:pos="9000" w:leader="dot"/>
        </w:tabs>
        <w:spacing w:after="120"/>
        <w:ind w:left="360"/>
        <w:jc w:val="left"/>
      </w:pPr>
      <w:r>
        <w:rPr>
          <w:rFonts w:ascii="Times New Roman" w:cs="Times New Roman" w:eastAsia="Times New Roman" w:hAnsi="Times New Roman"/>
          <w:sz w:val="24"/>
          <w:szCs w:val="24"/>
        </w:rPr>
        <w:t xml:space="preserve">3.3  Fault-Injection Data Plan and Pilot Observations</w:t>
      </w:r>
      <w:r>
        <w:rPr>
          <w:rFonts w:ascii="Times New Roman" w:cs="Times New Roman" w:eastAsia="Times New Roman" w:hAnsi="Times New Roman"/>
          <w:sz w:val="24"/>
          <w:szCs w:val="24"/>
        </w:rPr>
        <w:t xml:space="preserve">	25</w:t>
      </w:r>
    </w:p>
    <w:p>
      <w:pPr>
        <w:tabs>
          <w:tab w:val="right" w:pos="9000" w:leader="dot"/>
        </w:tabs>
        <w:spacing w:after="120"/>
        <w:ind w:left="360"/>
        <w:jc w:val="left"/>
      </w:pPr>
      <w:r>
        <w:rPr>
          <w:rFonts w:ascii="Times New Roman" w:cs="Times New Roman" w:eastAsia="Times New Roman" w:hAnsi="Times New Roman"/>
          <w:sz w:val="24"/>
          <w:szCs w:val="24"/>
        </w:rPr>
        <w:t xml:space="preserve">3.4  Baseline Versus Auto-Healing — Analytical Approach</w:t>
      </w:r>
      <w:r>
        <w:rPr>
          <w:rFonts w:ascii="Times New Roman" w:cs="Times New Roman" w:eastAsia="Times New Roman" w:hAnsi="Times New Roman"/>
          <w:sz w:val="24"/>
          <w:szCs w:val="24"/>
        </w:rPr>
        <w:t xml:space="preserve">	27</w:t>
      </w:r>
    </w:p>
    <w:p>
      <w:pPr>
        <w:tabs>
          <w:tab w:val="right" w:pos="9000" w:leader="dot"/>
        </w:tabs>
        <w:spacing w:after="120"/>
        <w:ind w:left="360"/>
        <w:jc w:val="left"/>
      </w:pPr>
      <w:r>
        <w:rPr>
          <w:rFonts w:ascii="Times New Roman" w:cs="Times New Roman" w:eastAsia="Times New Roman" w:hAnsi="Times New Roman"/>
          <w:sz w:val="24"/>
          <w:szCs w:val="24"/>
        </w:rPr>
        <w:t xml:space="preserve">3.5  Results</w:t>
      </w:r>
      <w:r>
        <w:rPr>
          <w:rFonts w:ascii="Times New Roman" w:cs="Times New Roman" w:eastAsia="Times New Roman" w:hAnsi="Times New Roman"/>
          <w:sz w:val="24"/>
          <w:szCs w:val="24"/>
        </w:rPr>
        <w:t xml:space="preserve">	28</w:t>
      </w:r>
    </w:p>
    <w:p>
      <w:r>
        <w:rPr>
          <w:rFonts w:ascii="Times New Roman" w:cs="Times New Roman" w:eastAsia="Times New Roman" w:hAnsi="Times New Roman"/>
          <w:sz w:val="24"/>
          <w:szCs w:val="24"/>
        </w:rPr>
        <w:t xml:space="preserve"/>
      </w:r>
    </w:p>
    <w:p>
      <w:pPr>
        <w:tabs>
          <w:tab w:val="right" w:pos="9000" w:leader="dot"/>
        </w:tabs>
        <w:spacing w:after="120"/>
        <w:ind w:left="0"/>
        <w:jc w:val="left"/>
      </w:pPr>
      <w:r>
        <w:rPr>
          <w:rFonts w:ascii="Times New Roman" w:cs="Times New Roman" w:eastAsia="Times New Roman" w:hAnsi="Times New Roman"/>
          <w:sz w:val="24"/>
          <w:szCs w:val="24"/>
        </w:rPr>
        <w:t xml:space="preserve">4  Solution Development (Implementation, Prototype, and Testing)</w:t>
      </w:r>
      <w:r>
        <w:rPr>
          <w:rFonts w:ascii="Times New Roman" w:cs="Times New Roman" w:eastAsia="Times New Roman" w:hAnsi="Times New Roman"/>
          <w:sz w:val="24"/>
          <w:szCs w:val="24"/>
        </w:rPr>
        <w:t xml:space="preserve">	30</w:t>
      </w:r>
    </w:p>
    <w:p>
      <w:pPr>
        <w:tabs>
          <w:tab w:val="right" w:pos="9000" w:leader="dot"/>
        </w:tabs>
        <w:spacing w:after="120"/>
        <w:ind w:left="360"/>
        <w:jc w:val="left"/>
      </w:pPr>
      <w:r>
        <w:rPr>
          <w:rFonts w:ascii="Times New Roman" w:cs="Times New Roman" w:eastAsia="Times New Roman" w:hAnsi="Times New Roman"/>
          <w:sz w:val="24"/>
          <w:szCs w:val="24"/>
        </w:rPr>
        <w:t xml:space="preserve">4.1  Development Environment and Toolchain</w:t>
      </w:r>
      <w:r>
        <w:rPr>
          <w:rFonts w:ascii="Times New Roman" w:cs="Times New Roman" w:eastAsia="Times New Roman" w:hAnsi="Times New Roman"/>
          <w:sz w:val="24"/>
          <w:szCs w:val="24"/>
        </w:rPr>
        <w:t xml:space="preserve">	30</w:t>
      </w:r>
    </w:p>
    <w:p>
      <w:pPr>
        <w:tabs>
          <w:tab w:val="right" w:pos="9000" w:leader="dot"/>
        </w:tabs>
        <w:spacing w:after="120"/>
        <w:ind w:left="360"/>
        <w:jc w:val="left"/>
      </w:pPr>
      <w:r>
        <w:rPr>
          <w:rFonts w:ascii="Times New Roman" w:cs="Times New Roman" w:eastAsia="Times New Roman" w:hAnsi="Times New Roman"/>
          <w:sz w:val="24"/>
          <w:szCs w:val="24"/>
        </w:rPr>
        <w:t xml:space="preserve">4.2  Module-Wise Implementation Status</w:t>
      </w:r>
      <w:r>
        <w:rPr>
          <w:rFonts w:ascii="Times New Roman" w:cs="Times New Roman" w:eastAsia="Times New Roman" w:hAnsi="Times New Roman"/>
          <w:sz w:val="24"/>
          <w:szCs w:val="24"/>
        </w:rPr>
        <w:t xml:space="preserve">	31</w:t>
      </w:r>
    </w:p>
    <w:p>
      <w:pPr>
        <w:tabs>
          <w:tab w:val="right" w:pos="9000" w:leader="dot"/>
        </w:tabs>
        <w:spacing w:after="120"/>
        <w:ind w:left="360"/>
        <w:jc w:val="left"/>
      </w:pPr>
      <w:r>
        <w:rPr>
          <w:rFonts w:ascii="Times New Roman" w:cs="Times New Roman" w:eastAsia="Times New Roman" w:hAnsi="Times New Roman"/>
          <w:sz w:val="24"/>
          <w:szCs w:val="24"/>
        </w:rPr>
        <w:t xml:space="preserve">4.3  Prototype Walkthrough</w:t>
      </w:r>
      <w:r>
        <w:rPr>
          <w:rFonts w:ascii="Times New Roman" w:cs="Times New Roman" w:eastAsia="Times New Roman" w:hAnsi="Times New Roman"/>
          <w:sz w:val="24"/>
          <w:szCs w:val="24"/>
        </w:rPr>
        <w:t xml:space="preserve">	33</w:t>
      </w:r>
    </w:p>
    <w:p>
      <w:pPr>
        <w:tabs>
          <w:tab w:val="right" w:pos="9000" w:leader="dot"/>
        </w:tabs>
        <w:spacing w:after="120"/>
        <w:ind w:left="360"/>
        <w:jc w:val="left"/>
      </w:pPr>
      <w:r>
        <w:rPr>
          <w:rFonts w:ascii="Times New Roman" w:cs="Times New Roman" w:eastAsia="Times New Roman" w:hAnsi="Times New Roman"/>
          <w:sz w:val="24"/>
          <w:szCs w:val="24"/>
        </w:rPr>
        <w:t xml:space="preserve">4.4  Testing Approach</w:t>
      </w:r>
      <w:r>
        <w:rPr>
          <w:rFonts w:ascii="Times New Roman" w:cs="Times New Roman" w:eastAsia="Times New Roman" w:hAnsi="Times New Roman"/>
          <w:sz w:val="24"/>
          <w:szCs w:val="24"/>
        </w:rPr>
        <w:t xml:space="preserve">	35</w:t>
      </w:r>
    </w:p>
    <w:p>
      <w:pPr>
        <w:tabs>
          <w:tab w:val="right" w:pos="9000" w:leader="dot"/>
        </w:tabs>
        <w:spacing w:after="120"/>
        <w:ind w:left="360"/>
        <w:jc w:val="left"/>
      </w:pPr>
      <w:r>
        <w:rPr>
          <w:rFonts w:ascii="Times New Roman" w:cs="Times New Roman" w:eastAsia="Times New Roman" w:hAnsi="Times New Roman"/>
          <w:sz w:val="24"/>
          <w:szCs w:val="24"/>
        </w:rPr>
        <w:t xml:space="preserve">4.5  Acknowledged Limitations</w:t>
      </w:r>
      <w:r>
        <w:rPr>
          <w:rFonts w:ascii="Times New Roman" w:cs="Times New Roman" w:eastAsia="Times New Roman" w:hAnsi="Times New Roman"/>
          <w:sz w:val="24"/>
          <w:szCs w:val="24"/>
        </w:rPr>
        <w:t xml:space="preserve">	37</w:t>
      </w:r>
    </w:p>
    <w:p>
      <w:r>
        <w:rPr>
          <w:rFonts w:ascii="Times New Roman" w:cs="Times New Roman" w:eastAsia="Times New Roman" w:hAnsi="Times New Roman"/>
          <w:sz w:val="24"/>
          <w:szCs w:val="24"/>
        </w:rPr>
        <w:t xml:space="preserve"/>
      </w:r>
    </w:p>
    <w:p>
      <w:pPr>
        <w:tabs>
          <w:tab w:val="right" w:pos="9000" w:leader="dot"/>
        </w:tabs>
        <w:spacing w:after="120"/>
        <w:ind w:left="0"/>
        <w:jc w:val="left"/>
      </w:pPr>
      <w:r>
        <w:rPr>
          <w:rFonts w:ascii="Times New Roman" w:cs="Times New Roman" w:eastAsia="Times New Roman" w:hAnsi="Times New Roman"/>
          <w:sz w:val="24"/>
          <w:szCs w:val="24"/>
        </w:rPr>
        <w:t xml:space="preserve">5  Individual Contributions</w:t>
      </w:r>
      <w:r>
        <w:rPr>
          <w:rFonts w:ascii="Times New Roman" w:cs="Times New Roman" w:eastAsia="Times New Roman" w:hAnsi="Times New Roman"/>
          <w:sz w:val="24"/>
          <w:szCs w:val="24"/>
        </w:rPr>
        <w:t xml:space="preserve">	38</w:t>
      </w:r>
    </w:p>
    <w:p>
      <w:pPr>
        <w:tabs>
          <w:tab w:val="right" w:pos="9000" w:leader="dot"/>
        </w:tabs>
        <w:spacing w:after="120"/>
        <w:ind w:left="360"/>
        <w:jc w:val="left"/>
      </w:pPr>
      <w:r>
        <w:rPr>
          <w:rFonts w:ascii="Times New Roman" w:cs="Times New Roman" w:eastAsia="Times New Roman" w:hAnsi="Times New Roman"/>
          <w:sz w:val="24"/>
          <w:szCs w:val="24"/>
        </w:rPr>
        <w:t xml:space="preserve">5.1  Statement of Originality</w:t>
      </w:r>
      <w:r>
        <w:rPr>
          <w:rFonts w:ascii="Times New Roman" w:cs="Times New Roman" w:eastAsia="Times New Roman" w:hAnsi="Times New Roman"/>
          <w:sz w:val="24"/>
          <w:szCs w:val="24"/>
        </w:rPr>
        <w:t xml:space="preserve">	38</w:t>
      </w:r>
    </w:p>
    <w:p>
      <w:pPr>
        <w:tabs>
          <w:tab w:val="right" w:pos="9000" w:leader="dot"/>
        </w:tabs>
        <w:spacing w:after="120"/>
        <w:ind w:left="360"/>
        <w:jc w:val="left"/>
      </w:pPr>
      <w:r>
        <w:rPr>
          <w:rFonts w:ascii="Times New Roman" w:cs="Times New Roman" w:eastAsia="Times New Roman" w:hAnsi="Times New Roman"/>
          <w:sz w:val="24"/>
          <w:szCs w:val="24"/>
        </w:rPr>
        <w:t xml:space="preserve">5.2  Contribution Summary by Phase</w:t>
      </w:r>
      <w:r>
        <w:rPr>
          <w:rFonts w:ascii="Times New Roman" w:cs="Times New Roman" w:eastAsia="Times New Roman" w:hAnsi="Times New Roman"/>
          <w:sz w:val="24"/>
          <w:szCs w:val="24"/>
        </w:rPr>
        <w:t xml:space="preserve">	38</w:t>
      </w:r>
    </w:p>
    <w:p>
      <w:pPr>
        <w:tabs>
          <w:tab w:val="right" w:pos="9000" w:leader="dot"/>
        </w:tabs>
        <w:spacing w:after="120"/>
        <w:ind w:left="360"/>
        <w:jc w:val="left"/>
      </w:pPr>
      <w:r>
        <w:rPr>
          <w:rFonts w:ascii="Times New Roman" w:cs="Times New Roman" w:eastAsia="Times New Roman" w:hAnsi="Times New Roman"/>
          <w:sz w:val="24"/>
          <w:szCs w:val="24"/>
        </w:rPr>
        <w:t xml:space="preserve">5.3  Research Contributions</w:t>
      </w:r>
      <w:r>
        <w:rPr>
          <w:rFonts w:ascii="Times New Roman" w:cs="Times New Roman" w:eastAsia="Times New Roman" w:hAnsi="Times New Roman"/>
          <w:sz w:val="24"/>
          <w:szCs w:val="24"/>
        </w:rPr>
        <w:t xml:space="preserve">	39</w:t>
      </w:r>
    </w:p>
    <w:p>
      <w:pPr>
        <w:tabs>
          <w:tab w:val="right" w:pos="9000" w:leader="dot"/>
        </w:tabs>
        <w:spacing w:after="120"/>
        <w:ind w:left="360"/>
        <w:jc w:val="left"/>
      </w:pPr>
      <w:r>
        <w:rPr>
          <w:rFonts w:ascii="Times New Roman" w:cs="Times New Roman" w:eastAsia="Times New Roman" w:hAnsi="Times New Roman"/>
          <w:sz w:val="24"/>
          <w:szCs w:val="24"/>
        </w:rPr>
        <w:t xml:space="preserve">5.4  Engineering Contributions</w:t>
      </w:r>
      <w:r>
        <w:rPr>
          <w:rFonts w:ascii="Times New Roman" w:cs="Times New Roman" w:eastAsia="Times New Roman" w:hAnsi="Times New Roman"/>
          <w:sz w:val="24"/>
          <w:szCs w:val="24"/>
        </w:rPr>
        <w:t xml:space="preserve">	40</w:t>
      </w:r>
    </w:p>
    <w:p>
      <w:pPr>
        <w:tabs>
          <w:tab w:val="right" w:pos="9000" w:leader="dot"/>
        </w:tabs>
        <w:spacing w:after="120"/>
        <w:ind w:left="360"/>
        <w:jc w:val="left"/>
      </w:pPr>
      <w:r>
        <w:rPr>
          <w:rFonts w:ascii="Times New Roman" w:cs="Times New Roman" w:eastAsia="Times New Roman" w:hAnsi="Times New Roman"/>
          <w:sz w:val="24"/>
          <w:szCs w:val="24"/>
        </w:rPr>
        <w:t xml:space="preserve">5.5  Self-Assessment and Reflection</w:t>
      </w:r>
      <w:r>
        <w:rPr>
          <w:rFonts w:ascii="Times New Roman" w:cs="Times New Roman" w:eastAsia="Times New Roman" w:hAnsi="Times New Roman"/>
          <w:sz w:val="24"/>
          <w:szCs w:val="24"/>
        </w:rPr>
        <w:t xml:space="preserve">	41</w:t>
      </w:r>
    </w:p>
    <w:p>
      <w:r>
        <w:rPr>
          <w:rFonts w:ascii="Times New Roman" w:cs="Times New Roman" w:eastAsia="Times New Roman" w:hAnsi="Times New Roman"/>
          <w:sz w:val="24"/>
          <w:szCs w:val="24"/>
        </w:rPr>
        <w:t xml:space="preserve"/>
      </w:r>
    </w:p>
    <w:p>
      <w:pPr>
        <w:tabs>
          <w:tab w:val="right" w:pos="9000" w:leader="dot"/>
        </w:tabs>
        <w:spacing w:after="120"/>
        <w:ind w:left="0"/>
        <w:jc w:val="left"/>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42</w:t>
      </w:r>
    </w:p>
    <w:p>
      <w:pPr>
        <w:sectPr>
          <w:pgSz w:w="11906" w:h="16838" w:orient="portrait"/>
          <w:pgMar w:top="1440" w:right="1440" w:bottom="1440" w:left="1440" w:header="708" w:footer="708" w:gutter="0"/>
          <w:pgNumType/>
          <w:titlePg/>
          <w:docGrid w:linePitch="360"/>
        </w:sectPr>
      </w:pPr>
    </w:p>
    <w:p>
      <w:pPr>
        <w:pageBreakBefore/>
        <w:spacing w:after="320" w:before="0"/>
        <w:jc w:val="left"/>
      </w:pPr>
      <w:r>
        <w:rPr>
          <w:rFonts w:ascii="Times New Roman" w:cs="Times New Roman" w:eastAsia="Times New Roman" w:hAnsi="Times New Roman"/>
          <w:b/>
          <w:bCs/>
          <w:sz w:val="32"/>
          <w:szCs w:val="32"/>
        </w:rPr>
        <w:t xml:space="preserve">1  Introduction and Identification of the Mini Project Topic</w:t>
      </w:r>
    </w:p>
    <w:p>
      <w:pPr>
        <w:spacing w:after="140" w:before="280"/>
        <w:jc w:val="left"/>
      </w:pPr>
      <w:r>
        <w:rPr>
          <w:rFonts w:ascii="Times New Roman" w:cs="Times New Roman" w:eastAsia="Times New Roman" w:hAnsi="Times New Roman"/>
          <w:b/>
          <w:bCs/>
          <w:sz w:val="28"/>
          <w:szCs w:val="28"/>
        </w:rPr>
        <w:t xml:space="preserve">1.1  Background and Motivation</w:t>
      </w:r>
    </w:p>
    <w:p>
      <w:pPr>
        <w:spacing w:after="160" w:line="320"/>
        <w:jc w:val="both"/>
      </w:pPr>
      <w:r>
        <w:rPr>
          <w:rFonts w:ascii="Times New Roman" w:cs="Times New Roman" w:eastAsia="Times New Roman" w:hAnsi="Times New Roman"/>
          <w:sz w:val="24"/>
          <w:szCs w:val="24"/>
        </w:rPr>
        <w:t xml:space="preserve">The contemporary software industry is undergoing a paradigm shift from monolithic, on-premises deployment models towards distributed, cloud-native architectures. According to the Cloud Native Computing Foundation (CNCF) Annual Survey 2024, more than ninety-six per cent of surveyed organisations report active use or evaluation of Kubernetes, and container adoption has become a de facto standard across enterprise, financial, and public-sector workloads. This architectural transition has been driven by the need for rapid feature delivery, horizontal scalability, and efficient utilisation of compute resources. However, it has simultaneously produced systems whose internal state is far more difficult to reason about than their monolithic predecessors.</w:t>
      </w:r>
    </w:p>
    <w:p>
      <w:pPr>
        <w:spacing w:after="160" w:line="320"/>
        <w:jc w:val="both"/>
      </w:pPr>
      <w:r>
        <w:rPr>
          <w:rFonts w:ascii="Times New Roman" w:cs="Times New Roman" w:eastAsia="Times New Roman" w:hAnsi="Times New Roman"/>
          <w:sz w:val="24"/>
          <w:szCs w:val="24"/>
        </w:rPr>
        <w:t xml:space="preserve">In a typical cloud-native deployment, a single user request may traverse dozens of microservices, each of which may be instantiated as multiple short-lived containers distributed across heterogeneous nodes. A failure in any single component — whether due to memory exhaustion, network partition, a deadlock in a dependent service, or an unexpected surge in traffic — can propagate upstream and manifest as a user-facing incident. The consequence is that, while the surface area of each individual service is smaller, the surface area of the system as a whole is significantly larger. Effective operation of such a system therefore depends critically upon two capabilities: comprehensive observability into the runtime behaviour of every component, and mechanisms that can respond to anomalous conditions faster than any human operator is realistically able to.</w:t>
      </w:r>
    </w:p>
    <w:p>
      <w:pPr>
        <w:spacing w:after="160" w:line="320"/>
        <w:jc w:val="both"/>
      </w:pPr>
      <w:r>
        <w:rPr>
          <w:rFonts w:ascii="Times New Roman" w:cs="Times New Roman" w:eastAsia="Times New Roman" w:hAnsi="Times New Roman"/>
          <w:sz w:val="24"/>
          <w:szCs w:val="24"/>
        </w:rPr>
        <w:t xml:space="preserve">Observability, as formally defined by the three pillars of metrics, logs, and traces, provides the informational substrate upon which modern operational decisions are made. Prometheus, originally developed at SoundCloud and subsequently graduated as a CNCF project, has emerged as the industry-standard open-source solution for metrics collection in cloud-native environments. Its pull-based architecture, multi-dimensional data model, and powerful query language (PromQL) make it uniquely suited to the dynamic topology of container-based deployments. Grafana complements Prometheus by providing rich, interactive visualisation, enabling operators to correlate metrics across services and detect anomalies visually. Alertmanager, the companion component of Prometheus, handles deduplication, grouping, and routing of alerts, thereby forming a coherent observability toolchain when deployed together.</w:t>
      </w:r>
    </w:p>
    <w:p>
      <w:pPr>
        <w:spacing w:after="160" w:line="320"/>
        <w:jc w:val="both"/>
      </w:pPr>
      <w:r>
        <w:rPr>
          <w:rFonts w:ascii="Times New Roman" w:cs="Times New Roman" w:eastAsia="Times New Roman" w:hAnsi="Times New Roman"/>
          <w:sz w:val="24"/>
          <w:szCs w:val="24"/>
        </w:rPr>
        <w:t xml:space="preserve">Yet observability alone is insufficient. Visibility into a failure does not, in itself, restore service. Traditionally, alerts have been routed to on-call engineers, who must manually diagnose and remediate the underlying problem. This reactive model suffers from three structural weaknesses: first, human response latency is inherently high, typically measured in minutes rather than seconds; second, engineers are frequently woken for issues that could be resolved by a simple, scripted action; and third, the cognitive load associated with sustained on-call rotations contributes materially to operational burnout and engineer attrition. The discipline of Site Reliability Engineering (SRE), introduced by Google in 2016 and refined in subsequent publications, addresses these weaknesses by mandating the systematic automation of operational tasks, collectively referred to as the reduction of toil.</w:t>
      </w:r>
    </w:p>
    <w:p>
      <w:pPr>
        <w:spacing w:after="160" w:line="320"/>
        <w:jc w:val="both"/>
      </w:pPr>
      <w:r>
        <w:rPr>
          <w:rFonts w:ascii="Times New Roman" w:cs="Times New Roman" w:eastAsia="Times New Roman" w:hAnsi="Times New Roman"/>
          <w:sz w:val="24"/>
          <w:szCs w:val="24"/>
        </w:rPr>
        <w:t xml:space="preserve">The motivation for the present work arises from this intersection of observability and automation. The widespread availability of mature open-source components — Prometheus, Grafana, Alertmanager, Docker, and Kubernetes — together with the increasing acceptance of webhook-based automation and infrastructure-as-code, enables the construction of auto-healing systems that were, until recently, the exclusive preserve of large technology firms. Building such a system using entirely open-source tooling offers academic and practical value: it demonstrates that resilience engineering need not depend upon proprietary software, and it provides a reproducible reference architecture that small and medium-sized organisations can adopt without licensing cost.</w:t>
      </w:r>
    </w:p>
    <w:p>
      <w:pPr>
        <w:pageBreakBefore/>
        <w:spacing w:after="240" w:before="0"/>
        <w:jc w:val="left"/>
      </w:pPr>
      <w:r>
        <w:rPr>
          <w:rFonts w:ascii="Times New Roman" w:cs="Times New Roman" w:eastAsia="Times New Roman" w:hAnsi="Times New Roman"/>
          <w:b/>
          <w:bCs/>
          <w:sz w:val="28"/>
          <w:szCs w:val="28"/>
        </w:rPr>
        <w:t xml:space="preserve">1.2  Identification of the Problem</w:t>
      </w:r>
    </w:p>
    <w:p>
      <w:pPr>
        <w:spacing w:after="160" w:line="320"/>
        <w:jc w:val="both"/>
      </w:pPr>
      <w:r>
        <w:rPr>
          <w:rFonts w:ascii="Times New Roman" w:cs="Times New Roman" w:eastAsia="Times New Roman" w:hAnsi="Times New Roman"/>
          <w:sz w:val="24"/>
          <w:szCs w:val="24"/>
        </w:rPr>
        <w:t xml:space="preserve">Despite the proliferation of monitoring and orchestration tools, a significant operational gap persists between the detection of an anomaly and its remediation. The following specific problems are observed in contemporary cloud-native deployments and motivate the present study.</w:t>
      </w:r>
    </w:p>
    <w:p>
      <w:pPr>
        <w:spacing w:after="100" w:before="200"/>
        <w:jc w:val="left"/>
      </w:pPr>
      <w:r>
        <w:rPr>
          <w:rFonts w:ascii="Times New Roman" w:cs="Times New Roman" w:eastAsia="Times New Roman" w:hAnsi="Times New Roman"/>
          <w:b/>
          <w:bCs/>
          <w:sz w:val="24"/>
          <w:szCs w:val="24"/>
        </w:rPr>
        <w:t xml:space="preserve">1.2.1  Reactive rather than proactive incident handling</w:t>
      </w:r>
    </w:p>
    <w:p>
      <w:pPr>
        <w:spacing w:after="160" w:line="320"/>
        <w:jc w:val="both"/>
      </w:pPr>
      <w:r>
        <w:rPr>
          <w:rFonts w:ascii="Times New Roman" w:cs="Times New Roman" w:eastAsia="Times New Roman" w:hAnsi="Times New Roman"/>
          <w:sz w:val="24"/>
          <w:szCs w:val="24"/>
        </w:rPr>
        <w:t xml:space="preserve">Most organisations continue to operate monitoring systems in a largely passive mode. Alerts are generated when thresholds are breached, but the ensuing corrective action is left to human operators. The time between alert generation and actual remediation — commonly decomposed into Mean Time to Detect (MTTD), Mean Time to Acknowledge (MTTA), and Mean Time to Repair (MTTR) — is dominated, in practice, by the latter two intervals. Publications from Google’s SRE team and from the DORA State of DevOps Report 2024 consistently identify MTTR as one of the four elite performance indicators, and empirical data indicate that organisations relying exclusively on manual remediation experience MTTR values that are an order of magnitude higher than those employing automated recovery.</w:t>
      </w:r>
    </w:p>
    <w:p>
      <w:pPr>
        <w:spacing w:after="100" w:before="200"/>
        <w:jc w:val="left"/>
      </w:pPr>
      <w:r>
        <w:rPr>
          <w:rFonts w:ascii="Times New Roman" w:cs="Times New Roman" w:eastAsia="Times New Roman" w:hAnsi="Times New Roman"/>
          <w:b/>
          <w:bCs/>
          <w:sz w:val="24"/>
          <w:szCs w:val="24"/>
        </w:rPr>
        <w:t xml:space="preserve">1.2.2  High volume of routine, scripted interventions</w:t>
      </w:r>
    </w:p>
    <w:p>
      <w:pPr>
        <w:spacing w:after="160" w:line="320"/>
        <w:jc w:val="both"/>
      </w:pPr>
      <w:r>
        <w:rPr>
          <w:rFonts w:ascii="Times New Roman" w:cs="Times New Roman" w:eastAsia="Times New Roman" w:hAnsi="Times New Roman"/>
          <w:sz w:val="24"/>
          <w:szCs w:val="24"/>
        </w:rPr>
        <w:t xml:space="preserve">A substantial fraction of production incidents falls into a small number of recurring categories: a container that has entered a crash-loop state, a service whose health endpoint has become unresponsive, memory exhaustion due to an application-level leak, or transient connectivity failure between a service and its dependency. Each of these is, in principle, amenable to a deterministic remedial action such as a container restart or a scale-out operation. Delegating such routine interventions to human engineers represents a clear instance of toil, which SRE doctrine explicitly identifies as an anti-pattern.</w:t>
      </w:r>
    </w:p>
    <w:p>
      <w:pPr>
        <w:spacing w:after="100" w:before="200"/>
        <w:jc w:val="left"/>
      </w:pPr>
      <w:r>
        <w:rPr>
          <w:rFonts w:ascii="Times New Roman" w:cs="Times New Roman" w:eastAsia="Times New Roman" w:hAnsi="Times New Roman"/>
          <w:b/>
          <w:bCs/>
          <w:sz w:val="24"/>
          <w:szCs w:val="24"/>
        </w:rPr>
        <w:t xml:space="preserve">1.2.3  Fragmentation of the observability toolchain</w:t>
      </w:r>
    </w:p>
    <w:p>
      <w:pPr>
        <w:spacing w:after="160" w:line="320"/>
        <w:jc w:val="both"/>
      </w:pPr>
      <w:r>
        <w:rPr>
          <w:rFonts w:ascii="Times New Roman" w:cs="Times New Roman" w:eastAsia="Times New Roman" w:hAnsi="Times New Roman"/>
          <w:sz w:val="24"/>
          <w:szCs w:val="24"/>
        </w:rPr>
        <w:t xml:space="preserve">Organisations frequently deploy metrics collection, dashboarding, alerting, and remediation tools as loosely coupled products, often sourced from different vendors. This fragmentation complicates root-cause analysis, introduces inconsistencies in alert semantics, and makes it difficult to trace an incident from detection through to resolution in a single audit trail. An integrated, end-to-end pipeline that unifies these concerns is desirable.</w:t>
      </w:r>
    </w:p>
    <w:p>
      <w:pPr>
        <w:spacing w:after="100" w:before="200"/>
        <w:jc w:val="left"/>
      </w:pPr>
      <w:r>
        <w:rPr>
          <w:rFonts w:ascii="Times New Roman" w:cs="Times New Roman" w:eastAsia="Times New Roman" w:hAnsi="Times New Roman"/>
          <w:b/>
          <w:bCs/>
          <w:sz w:val="24"/>
          <w:szCs w:val="24"/>
        </w:rPr>
        <w:t xml:space="preserve">1.2.4  Cost and accessibility of enterprise monitoring suites</w:t>
      </w:r>
    </w:p>
    <w:p>
      <w:pPr>
        <w:spacing w:after="160" w:line="320"/>
        <w:jc w:val="both"/>
      </w:pPr>
      <w:r>
        <w:rPr>
          <w:rFonts w:ascii="Times New Roman" w:cs="Times New Roman" w:eastAsia="Times New Roman" w:hAnsi="Times New Roman"/>
          <w:sz w:val="24"/>
          <w:szCs w:val="24"/>
        </w:rPr>
        <w:t xml:space="preserve">Commercial observability platforms such as Datadog, New Relic, Dynatrace, and Splunk provide comprehensive functionality but are often prohibitively expensive for academic institutions, start-ups, and small enterprises. There is, accordingly, a clear need for a reference implementation that delivers equivalent core functionality using freely available, open-source components.</w:t>
      </w:r>
    </w:p>
    <w:p>
      <w:pPr>
        <w:spacing w:after="120" w:before="200"/>
        <w:jc w:val="center"/>
      </w:pPr>
      <w:r>
        <w:rPr>
          <w:rFonts w:ascii="Times New Roman" w:cs="Times New Roman" w:eastAsia="Times New Roman" w:hAnsi="Times New Roman"/>
          <w:b/>
          <w:bCs/>
          <w:sz w:val="24"/>
          <w:szCs w:val="24"/>
        </w:rPr>
        <w:t xml:space="preserve">Core Problem Statement</w:t>
      </w:r>
    </w:p>
    <w:p>
      <w:pPr>
        <w:spacing w:after="160" w:line="320"/>
        <w:jc w:val="both"/>
      </w:pPr>
      <w:r>
        <w:rPr>
          <w:rFonts w:ascii="Times New Roman" w:cs="Times New Roman" w:eastAsia="Times New Roman" w:hAnsi="Times New Roman"/>
          <w:sz w:val="24"/>
          <w:szCs w:val="24"/>
        </w:rPr>
        <w:t xml:space="preserve">Container-based production systems require both continuous observability and autonomous, low-latency remediation of well-understood failure classes; yet the prevailing industry pattern couples mature metrics collection with human-in-the-loop recovery, producing high MTTR, significant operational toil, and disproportionate dependence upon proprietary tooling. The problem addressed by the present mini project is therefore to design and implement an integrated, container-based monitoring system that detects anomalies in containerised workloads in near-real time and autonomously executes predefined remedial actions in response to well-defined failure classes, using exclusively open-source components.</w:t>
      </w:r>
    </w:p>
    <w:p>
      <w:pPr>
        <w:pageBreakBefore/>
        <w:spacing w:after="240" w:before="0"/>
        <w:jc w:val="left"/>
      </w:pPr>
      <w:r>
        <w:rPr>
          <w:rFonts w:ascii="Times New Roman" w:cs="Times New Roman" w:eastAsia="Times New Roman" w:hAnsi="Times New Roman"/>
          <w:b/>
          <w:bCs/>
          <w:sz w:val="28"/>
          <w:szCs w:val="28"/>
        </w:rPr>
        <w:t xml:space="preserve">1.3  Identification and Justification of the Mini Project Topic</w:t>
      </w:r>
    </w:p>
    <w:p>
      <w:pPr>
        <w:spacing w:after="160" w:line="320"/>
        <w:jc w:val="both"/>
      </w:pPr>
      <w:r>
        <w:rPr>
          <w:rFonts w:ascii="Times New Roman" w:cs="Times New Roman" w:eastAsia="Times New Roman" w:hAnsi="Times New Roman"/>
          <w:sz w:val="24"/>
          <w:szCs w:val="24"/>
        </w:rPr>
        <w:t xml:space="preserve">In response to the problem identified above, this mini project proposes the design and implementation of a Cloud-Native Auto-Healing Monitoring System built upon Prometheus, Grafana, Docker, and Kubernetes. The system operates across three logical tiers: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Observation: continuous, pull-based collection of infrastructure- and application-level metrics from containerised workloads using Prometheus, node-exporter, and cAdvisor, together with visualisation of those metrics through a Grafana dashboard suite.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Decision: declarative alerting rules expressed in PromQL and evaluated continuously by the Prometheus rule engine, with Alertmanager performing deduplication, grouping, silencing, and routing of the resulting alerts to an automated endpoint.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Action: a webhook-driven auto-healing service, implemented in Python, that receives routed alerts and executes predefined remedial actions — container restart, service scale-out, diagnostic snapshot collection — via the Docker Engine API or the Kubernetes API.</w:t>
      </w:r>
    </w:p>
    <w:p>
      <w:pPr>
        <w:spacing w:after="160" w:line="320"/>
        <w:jc w:val="both"/>
      </w:pPr>
      <w:r>
        <w:rPr>
          <w:rFonts w:ascii="Times New Roman" w:cs="Times New Roman" w:eastAsia="Times New Roman" w:hAnsi="Times New Roman"/>
          <w:sz w:val="24"/>
          <w:szCs w:val="24"/>
        </w:rPr>
        <w:t xml:space="preserve">The topic is justified on four grounds. First, the problem is empirically demonstrated by a converging body of recent industry research (2023–2026) from the CNCF, Google Cloud, Grafana Labs, and the DORA community, each of which identifies automated remediation as a critical determinant of service reliability. Second, the technical approach — integration of mature open-source components through standard APIs — is well within the scope of a postgraduate mini project and draws on established, documented tooling. Third, the outcome is measurable: recovery time, alert precision, and service uptime are directly quantifiable against a well-defined baseline configuration. Fourth, the resulting artefact is reproducible and extensible: deployed on a commodity workstation via Minikube, it may be retained by the department as a reference implementation for subsequent students and for extension into related areas such as distributed tracing, log aggregation, and machine-learning-based anomaly detection.</w:t>
      </w:r>
    </w:p>
    <w:p>
      <w:pPr>
        <w:pageBreakBefore/>
        <w:spacing w:after="240" w:before="0"/>
        <w:jc w:val="left"/>
      </w:pPr>
      <w:r>
        <w:rPr>
          <w:rFonts w:ascii="Times New Roman" w:cs="Times New Roman" w:eastAsia="Times New Roman" w:hAnsi="Times New Roman"/>
          <w:b/>
          <w:bCs/>
          <w:sz w:val="28"/>
          <w:szCs w:val="28"/>
        </w:rPr>
        <w:t xml:space="preserve">1.4  Scope and Delimitations</w:t>
      </w:r>
    </w:p>
    <w:p>
      <w:pPr>
        <w:spacing w:after="160" w:line="320"/>
        <w:jc w:val="both"/>
      </w:pPr>
      <w:r>
        <w:rPr>
          <w:rFonts w:ascii="Times New Roman" w:cs="Times New Roman" w:eastAsia="Times New Roman" w:hAnsi="Times New Roman"/>
          <w:sz w:val="24"/>
          <w:szCs w:val="24"/>
        </w:rPr>
        <w:t xml:space="preserve">This mini project and its associated literature review are bounded by the following scope and delimitations.</w:t>
      </w:r>
    </w:p>
    <w:p>
      <w:pPr>
        <w:spacing w:after="160"/>
        <w:jc w:val="center"/>
      </w:pPr>
      <w:r>
        <w:rPr>
          <w:rFonts w:ascii="Times New Roman" w:cs="Times New Roman" w:eastAsia="Times New Roman" w:hAnsi="Times New Roman"/>
          <w:b/>
          <w:bCs/>
          <w:sz w:val="22"/>
          <w:szCs w:val="22"/>
        </w:rPr>
        <w:t xml:space="preserve">Table 1.1: Dimension and Scope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Dimension</w:t>
            </w:r>
          </w:p>
        </w:tc>
        <w:tc>
          <w:tcPr>
            <w:tcW w:type="dxa" w:w="6552"/>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Scope</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Platform</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Containerised workloads on Docker Engine, optionally orchestrated by Kubernetes via Minikube (single-node cluster)</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Metrics sources</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Host and container metrics via node-exporter and cAdvisor; application metrics via /metrics endpoints instrumented with the Prometheus client libraries</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Visualisation layer</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Grafana dashboards (community templates plus custom panels), backed by Prometheus as the sole data source</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Alerting</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Static PromQL rules evaluated by Prometheus; routing, grouping, and deduplication by Alertmanager</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Auto-healing</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Rule-based Python webhook invoking Docker / Kubernetes APIs for container restart, scale-out, and diagnostic capture</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Evaluation</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Four operational indicators: uptime improvement, alert precision / recall, response time, and MTTR reduction vs baseline</w:t>
            </w:r>
          </w:p>
        </w:tc>
      </w:tr>
      <w:tr>
        <w:tc>
          <w:tcPr>
            <w:tcW w:type="dxa" w:w="2808"/>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Out of scope</w:t>
            </w:r>
          </w:p>
        </w:tc>
        <w:tc>
          <w:tcPr>
            <w:tcW w:type="dxa" w:w="655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Distributed tracing, centralised log aggregation, ML-based anomaly detection, multi-node / multi-cluster federation, production-grade security hardening, and commercial SaaS benchmarking</w:t>
            </w:r>
          </w:p>
        </w:tc>
      </w:tr>
    </w:tbl>
    <w:p>
      <w:pPr>
        <w:pageBreakBefore/>
        <w:spacing w:after="240" w:before="0"/>
        <w:jc w:val="left"/>
      </w:pPr>
      <w:r>
        <w:rPr>
          <w:rFonts w:ascii="Times New Roman" w:cs="Times New Roman" w:eastAsia="Times New Roman" w:hAnsi="Times New Roman"/>
          <w:b/>
          <w:bCs/>
          <w:sz w:val="28"/>
          <w:szCs w:val="28"/>
        </w:rPr>
        <w:t xml:space="preserve">1.5  Literature Review</w:t>
      </w:r>
    </w:p>
    <w:p>
      <w:pPr>
        <w:spacing w:after="100" w:before="200"/>
        <w:jc w:val="left"/>
      </w:pPr>
      <w:r>
        <w:rPr>
          <w:rFonts w:ascii="Times New Roman" w:cs="Times New Roman" w:eastAsia="Times New Roman" w:hAnsi="Times New Roman"/>
          <w:b/>
          <w:bCs/>
          <w:sz w:val="24"/>
          <w:szCs w:val="24"/>
        </w:rPr>
        <w:t xml:space="preserve">1.5.1  Foundations of DevOps and Site Reliability Engineering</w:t>
      </w:r>
    </w:p>
    <w:p>
      <w:pPr>
        <w:spacing w:after="160" w:line="320"/>
        <w:jc w:val="both"/>
      </w:pPr>
      <w:r>
        <w:rPr>
          <w:rFonts w:ascii="Times New Roman" w:cs="Times New Roman" w:eastAsia="Times New Roman" w:hAnsi="Times New Roman"/>
          <w:sz w:val="24"/>
          <w:szCs w:val="24"/>
        </w:rPr>
        <w:t xml:space="preserve">The conceptual foundations of the present project are rooted in two closely related bodies of practice: DevOps and Site Reliability Engineering. Beyer, Jones, Petoff, and Murphy (2016), in the seminal Google SRE Book, defined SRE as what happens when a software engineer is asked to design an operations team, and introduced the core concepts of error budgets, toil reduction, and automated remediation. Their subsequent work, The Site Reliability Workbook (Beyer et al., 2018), extended these principles with practical patterns for alerting, on-call management, and postmortem culture. Forsgren, Humble, and Kim (2018) established the four DORA metrics — deployment frequency, lead time for changes, change failure rate, and mean time to restore — as the canonical performance indicators of software delivery performance. The annual DORA State of DevOps Report, most recently published in 2024, continues to demonstrate a strong statistical correlation between automation of remediation activities and classification as an elite performer on these indicators. Collectively, this body of work establishes the normative case for treating operational recovery as a first-class engineering problem rather than as an incidental human activity.</w:t>
      </w:r>
    </w:p>
    <w:p>
      <w:pPr>
        <w:spacing w:after="100" w:before="200"/>
        <w:jc w:val="left"/>
      </w:pPr>
      <w:r>
        <w:rPr>
          <w:rFonts w:ascii="Times New Roman" w:cs="Times New Roman" w:eastAsia="Times New Roman" w:hAnsi="Times New Roman"/>
          <w:b/>
          <w:bCs/>
          <w:sz w:val="24"/>
          <w:szCs w:val="24"/>
        </w:rPr>
        <w:t xml:space="preserve">1.5.2  Prometheus and the Observability Toolchain</w:t>
      </w:r>
    </w:p>
    <w:p>
      <w:pPr>
        <w:spacing w:after="160" w:line="320"/>
        <w:jc w:val="both"/>
      </w:pPr>
      <w:r>
        <w:rPr>
          <w:rFonts w:ascii="Times New Roman" w:cs="Times New Roman" w:eastAsia="Times New Roman" w:hAnsi="Times New Roman"/>
          <w:sz w:val="24"/>
          <w:szCs w:val="24"/>
        </w:rPr>
        <w:t xml:space="preserve">Prometheus has become the canonical open-source system for metrics-based observability in cloud-native environments. Rabenstein and Volz (2015), in their foundational paper on the Prometheus data model, articulated the rationale for a multi-dimensional, label-based representation of time-series data, as contrasted with the hierarchical naming conventions of earlier systems such as Graphite. More recent studies have focused on scalability and long-term storage: Sun et al. (IEEE Access, 2023) evaluated Prometheus, Thanos, and Cortex under high-cardinality workloads and reported that Prometheus, when paired with remote-write storage, maintained sub-second query latency for dashboards comprising up to ten thousand time series. Sharma and Gupta (Journal of Cloud Computing, 2024) examined Grafana as a visualisation front-end and concluded that its plug-in-based data-source architecture makes it particularly well suited to heterogeneous cloud environments in which metrics, logs, and traces must be correlated within a single pane of glass.</w:t>
      </w:r>
    </w:p>
    <w:p>
      <w:pPr>
        <w:spacing w:after="160" w:line="320"/>
        <w:jc w:val="both"/>
      </w:pPr>
      <w:r>
        <w:rPr>
          <w:rFonts w:ascii="Times New Roman" w:cs="Times New Roman" w:eastAsia="Times New Roman" w:hAnsi="Times New Roman"/>
          <w:sz w:val="24"/>
          <w:szCs w:val="24"/>
        </w:rPr>
        <w:t xml:space="preserve">Industry reports reinforce these academic findings. The CNCF Annual Survey 2024 reports that Prometheus is used by more than eighty-six per cent of organisations that employ Kubernetes, and the Red Hat State of Enterprise Open Source Report 2024 identifies observability tooling as the second-most-adopted category of open-source software in surveyed enterprises, behind only the operating system itself. The Grafana Labs Observability Survey 2024 further notes that Grafana is now deployed in more than sixty per cent of organisations running Kubernetes, and that its ecosystem — encompassing Loki for logs, Tempo for distributed traces, and Mimir for long-term metric storage — has emerged as a de facto integrated observability stack that competes directly with proprietary SaaS offerings. Taken together, these findings establish that the Prometheus–Grafana combination adopted in the present project is not merely one option among many but is in fact the prevailing industry standard.</w:t>
      </w:r>
    </w:p>
    <w:p>
      <w:pPr>
        <w:spacing w:after="100" w:before="200"/>
        <w:jc w:val="left"/>
      </w:pPr>
      <w:r>
        <w:rPr>
          <w:rFonts w:ascii="Times New Roman" w:cs="Times New Roman" w:eastAsia="Times New Roman" w:hAnsi="Times New Roman"/>
          <w:b/>
          <w:bCs/>
          <w:sz w:val="24"/>
          <w:szCs w:val="24"/>
        </w:rPr>
        <w:t xml:space="preserve">1.5.3  Kubernetes, Container Orchestration, and Native Self-Healing</w:t>
      </w:r>
    </w:p>
    <w:p>
      <w:pPr>
        <w:spacing w:after="160" w:line="320"/>
        <w:jc w:val="both"/>
      </w:pPr>
      <w:r>
        <w:rPr>
          <w:rFonts w:ascii="Times New Roman" w:cs="Times New Roman" w:eastAsia="Times New Roman" w:hAnsi="Times New Roman"/>
          <w:sz w:val="24"/>
          <w:szCs w:val="24"/>
        </w:rPr>
        <w:t xml:space="preserve">Burns et al. (2016), in their account of the design of Kubernetes as the successor to Google’s internal Borg system, introduced the declarative reconciliation model that underpins all subsequent work on container orchestration. In this model, the system continuously compares the desired state, expressed in manifests, with the actual state of the cluster, and takes corrective action whenever a divergence is observed. This reconciliation loop is itself a form of self-healing and is directly relevant to the present project. Medel et al. (Future Generation Computer Systems, 2023) presented a detailed study of Kubernetes liveness and readiness probes and their interaction with application start-up semantics, concluding that well-tuned probes are capable of resolving the majority of transient application failures without external intervention. However, the same study notes that probes are insufficient for more complex failure modes, such as deadlocks that do not cause the process to exit and slow memory leaks that develop over hours or days; these, the authors argue, require metric-driven external remediation of the kind implemented in the present project.</w:t>
      </w:r>
    </w:p>
    <w:p>
      <w:pPr>
        <w:spacing w:after="160" w:line="320"/>
        <w:jc w:val="both"/>
      </w:pPr>
      <w:r>
        <w:rPr>
          <w:rFonts w:ascii="Times New Roman" w:cs="Times New Roman" w:eastAsia="Times New Roman" w:hAnsi="Times New Roman"/>
          <w:sz w:val="24"/>
          <w:szCs w:val="24"/>
        </w:rPr>
        <w:t xml:space="preserve">More recent work has examined Kubernetes observability at scale. The CNCF End User Technology Radar on Observability (2024) records that organisations operating Kubernetes clusters in excess of one thousand nodes now almost universally adopt Prometheus together with the kube-state-metrics and node-exporter components, and that the kube-prometheus-stack Helm chart has become the canonical deployment pattern. Iyer and Verma (IEEE Transactions on Network and Service Management, 2025) report an empirical study of Kubernetes operator-based self-healing in which custom operators extend the native reconciliation loop with domain-specific remedial actions, achieving a demonstrable reduction in operator intervention for stateful workloads. This operator-centric approach, while beyond the scope of the present mini project, is architecturally adjacent to the webhook-driven healer proposed here and suggests a natural evolution path.</w:t>
      </w:r>
    </w:p>
    <w:p>
      <w:pPr>
        <w:spacing w:after="100" w:before="200"/>
        <w:jc w:val="left"/>
      </w:pPr>
      <w:r>
        <w:rPr>
          <w:rFonts w:ascii="Times New Roman" w:cs="Times New Roman" w:eastAsia="Times New Roman" w:hAnsi="Times New Roman"/>
          <w:b/>
          <w:bCs/>
          <w:sz w:val="24"/>
          <w:szCs w:val="24"/>
        </w:rPr>
        <w:t xml:space="preserve">1.5.4  Alerting, Alert Fatigue, and Incident Response</w:t>
      </w:r>
    </w:p>
    <w:p>
      <w:pPr>
        <w:spacing w:after="160" w:line="320"/>
        <w:jc w:val="both"/>
      </w:pPr>
      <w:r>
        <w:rPr>
          <w:rFonts w:ascii="Times New Roman" w:cs="Times New Roman" w:eastAsia="Times New Roman" w:hAnsi="Times New Roman"/>
          <w:sz w:val="24"/>
          <w:szCs w:val="24"/>
        </w:rPr>
        <w:t xml:space="preserve">Alerting is the connective tissue between observability and remediation. Shchutskaya and Hossain (Proceedings of the IEEE International Conference on Cloud Engineering, 2023) analysed alert fatigue in production SRE teams and reported that teams receiving more than fifty pages per week exhibited a statistically significant decline in incident-response quality. Their work argues strongly for the suppression, deduplication, and automation of low-severity alerts — precisely the functions that Alertmanager and an auto-healing webhook provide. Fitzpatrick, in the widely cited informal essay My Philosophy on Alerting, articulates the principle that every alert should be actionable, urgent, and non-redundant; alerts that do not satisfy all three criteria are candidates for automation or deletion. The PagerDuty State of Digital Operations Report 2025 adds empirical weight to this position, reporting that organisations that automate the first-response action for at least forty per cent of their alerts experience a thirty-one per cent reduction in mean time to acknowledge and a forty-four per cent reduction in engineer-initiated escalations. These findings directly motivate the design choice, in the present project, to route alerts through an automated healer before escalating them to a human operator.</w:t>
      </w:r>
    </w:p>
    <w:p>
      <w:pPr>
        <w:spacing w:after="100" w:before="200"/>
        <w:jc w:val="left"/>
      </w:pPr>
      <w:r>
        <w:rPr>
          <w:rFonts w:ascii="Times New Roman" w:cs="Times New Roman" w:eastAsia="Times New Roman" w:hAnsi="Times New Roman"/>
          <w:b/>
          <w:bCs/>
          <w:sz w:val="24"/>
          <w:szCs w:val="24"/>
        </w:rPr>
        <w:t xml:space="preserve">1.5.5  Self-Healing Infrastructure and Auto-Remediation</w:t>
      </w:r>
    </w:p>
    <w:p>
      <w:pPr>
        <w:spacing w:after="160" w:line="320"/>
        <w:jc w:val="both"/>
      </w:pPr>
      <w:r>
        <w:rPr>
          <w:rFonts w:ascii="Times New Roman" w:cs="Times New Roman" w:eastAsia="Times New Roman" w:hAnsi="Times New Roman"/>
          <w:sz w:val="24"/>
          <w:szCs w:val="24"/>
        </w:rPr>
        <w:t xml:space="preserve">Self-healing systems have a long lineage in computing, tracing back to the IBM autonomic-computing initiative of the early 2000s (Kephart and Chess, 2003). The MAPE-K reference model — Monitor, Analyse, Plan, Execute, with shared Knowledge — proposed in that work remains the dominant conceptual framework for autonomic systems and maps directly onto the architecture of the present project: Prometheus provides Monitoring; alerting rules perform Analysis; the Alertmanager routing configuration represents Planning; and the auto-healing webhook performs Execution, with Prometheus’s time-series database serving as the shared Knowledge base. Recent contributions have adapted MAPE-K to cloud-native settings. Chen et al. (ACM Transactions on Autonomous and Adaptive Systems, 2024) proposed a reinforcement-learning-based extension of MAPE-K for Kubernetes clusters, reporting a twenty-two per cent reduction in MTTR relative to a rule-based baseline. Patel and Rao (International Journal of Computer Applications, 2024) surveyed rule-based self-healing approaches for Docker-based deployments and observed that webhook-driven healing is the most widely adopted pattern in practice owing to its simplicity and auditability. Nguyen and Kim (Journal of Systems and Software, 2025) presented a comparative evaluation of four open-source self-healing frameworks and concluded that the combination of Prometheus alerts with a lightweight custom webhook — the precise architecture adopted in the present project — offers the most favourable trade-off between implementation complexity and MTTR reduction for small- and medium-scale deployments.</w:t>
      </w:r>
    </w:p>
    <w:p>
      <w:pPr>
        <w:spacing w:after="100" w:before="200"/>
        <w:jc w:val="left"/>
      </w:pPr>
      <w:r>
        <w:rPr>
          <w:rFonts w:ascii="Times New Roman" w:cs="Times New Roman" w:eastAsia="Times New Roman" w:hAnsi="Times New Roman"/>
          <w:b/>
          <w:bCs/>
          <w:sz w:val="24"/>
          <w:szCs w:val="24"/>
        </w:rPr>
        <w:t xml:space="preserve">1.5.6  Integration Studies and Industrial Reference Architectures</w:t>
      </w:r>
    </w:p>
    <w:p>
      <w:pPr>
        <w:spacing w:after="160" w:line="320"/>
        <w:jc w:val="both"/>
      </w:pPr>
      <w:r>
        <w:rPr>
          <w:rFonts w:ascii="Times New Roman" w:cs="Times New Roman" w:eastAsia="Times New Roman" w:hAnsi="Times New Roman"/>
          <w:sz w:val="24"/>
          <w:szCs w:val="24"/>
        </w:rPr>
        <w:t xml:space="preserve">Beyond individual technologies, a growing body of work considers the integration of observability and remediation components into coherent pipelines. The CNCF Observability Whitepaper (2023) articulates a reference architecture that closely resembles the system proposed in the present project, and the Red Hat OpenShift documentation for the Cluster Monitoring Operator describes a production deployment of the Prometheus, Alertmanager, and Grafana stack at enterprise scale. Google Cloud’s 2024 whitepaper on SRE at scale emphasises that approximately seventy per cent of all production incidents at Google are resolved without human intervention through automated runbooks triggered by alerts, thereby providing empirical validation for the architectural pattern adopted in this project. Microsoft Azure’s Well-Architected Framework (2025 revision) similarly prescribes an automated-remediation tier as a mandatory component of any reliability-pillar implementation. The convergence of these independent industrial reference architectures on essentially the same pattern — scrape, alert, route, execute — further justifies the architectural choices made in this mini project.</w:t>
      </w:r>
    </w:p>
    <w:p>
      <w:pPr>
        <w:spacing w:after="100" w:before="200"/>
        <w:jc w:val="left"/>
      </w:pPr>
      <w:r>
        <w:rPr>
          <w:rFonts w:ascii="Times New Roman" w:cs="Times New Roman" w:eastAsia="Times New Roman" w:hAnsi="Times New Roman"/>
          <w:b/>
          <w:bCs/>
          <w:sz w:val="24"/>
          <w:szCs w:val="24"/>
        </w:rPr>
        <w:t xml:space="preserve">1.5.7  Research Gap Addressed by This Project</w:t>
      </w:r>
    </w:p>
    <w:p>
      <w:pPr>
        <w:spacing w:after="160" w:line="320"/>
        <w:jc w:val="both"/>
      </w:pPr>
      <w:r>
        <w:rPr>
          <w:rFonts w:ascii="Times New Roman" w:cs="Times New Roman" w:eastAsia="Times New Roman" w:hAnsi="Times New Roman"/>
          <w:sz w:val="24"/>
          <w:szCs w:val="24"/>
        </w:rPr>
        <w:t xml:space="preserve">The literature surveyed above demonstrates that each individual component of the proposed system has been the subject of substantial prior work. However, three gaps are observed. First, the integration of these components into a single, empirically evaluated pipeline at a scale appropriate for postgraduate research remains comparatively rare. Second, most existing studies either focus on large-scale industrial deployments, which are not reproducible in an academic setting, or on isolated components, which do not capture the end-to-end behaviour of the system. Third, structured evaluation of MTTR reduction in an entirely open-source, container-based pipeline is under-represented in the Indian academic literature. The present mini project seeks to address these gaps by providing a reproducible, documented, and empirically evaluated implementation that can be retained by the department as a reference artefact for subsequent work.</w:t>
      </w:r>
    </w:p>
    <w:p>
      <w:pPr>
        <w:spacing w:after="100" w:before="200"/>
        <w:jc w:val="left"/>
      </w:pPr>
      <w:r>
        <w:rPr>
          <w:rFonts w:ascii="Times New Roman" w:cs="Times New Roman" w:eastAsia="Times New Roman" w:hAnsi="Times New Roman"/>
          <w:b/>
          <w:bCs/>
          <w:sz w:val="24"/>
          <w:szCs w:val="24"/>
        </w:rPr>
        <w:t xml:space="preserve">1.5.8  Comparative Summary of Reviewed Literature</w:t>
      </w:r>
    </w:p>
    <w:p>
      <w:pPr>
        <w:spacing w:after="160" w:line="320"/>
        <w:jc w:val="both"/>
      </w:pPr>
      <w:r>
        <w:rPr>
          <w:rFonts w:ascii="Times New Roman" w:cs="Times New Roman" w:eastAsia="Times New Roman" w:hAnsi="Times New Roman"/>
          <w:sz w:val="24"/>
          <w:szCs w:val="24"/>
        </w:rPr>
        <w:t xml:space="preserve">The following table consolidates the literature reviewed in the preceding sub-sections, summarising each source against five dimensions — its principal focus, the methodology adopted, the key findings or contributions reported, the relevance to the present mini project, and any identified limitations. The table is intended to make the chain of reasoning from individual prior contributions to the architectural choices of this project fully traceable.</w:t>
      </w:r>
    </w:p>
    <w:p>
      <w:pPr>
        <w:spacing w:after="160"/>
        <w:jc w:val="center"/>
      </w:pPr>
      <w:r>
        <w:rPr>
          <w:rFonts w:ascii="Times New Roman" w:cs="Times New Roman" w:eastAsia="Times New Roman" w:hAnsi="Times New Roman"/>
          <w:b/>
          <w:bCs/>
          <w:sz w:val="22"/>
          <w:szCs w:val="22"/>
        </w:rPr>
        <w:t xml:space="preserve">Table 1.2: Comparative Summary of Sources Reviewed for the Mini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500"/>
        <w:gridCol w:w="1860"/>
        <w:gridCol w:w="1860"/>
        <w:gridCol w:w="1800"/>
      </w:tblGrid>
      <w:tr>
        <w:trPr>
          <w:tblHeader/>
        </w:trPr>
        <w:tc>
          <w:tcPr>
            <w:tcW w:type="dxa" w:w="1560"/>
            <w:tcBorders>
              <w:top w:val="single" w:color="000000" w:sz="6"/>
              <w:left w:val="single" w:color="000000" w:sz="6"/>
              <w:bottom w:val="single" w:color="000000" w:sz="6"/>
              <w:right w:val="single" w:color="000000" w:sz="6"/>
            </w:tcBorders>
            <w:shd w:fill="0F766E" w:val="clear"/>
            <w:tcMar>
              <w:top w:type="dxa" w:w="80"/>
              <w:left w:type="dxa" w:w="100"/>
              <w:bottom w:type="dxa" w:w="80"/>
              <w:right w:type="dxa" w:w="100"/>
            </w:tcMar>
          </w:tcPr>
          <w:p>
            <w:pPr>
              <w:spacing w:line="280"/>
              <w:jc w:val="center"/>
            </w:pPr>
            <w:r>
              <w:rPr>
                <w:rFonts w:ascii="Times New Roman" w:cs="Times New Roman" w:eastAsia="Times New Roman" w:hAnsi="Times New Roman"/>
                <w:b/>
                <w:bCs/>
                <w:sz w:val="20"/>
                <w:szCs w:val="20"/>
              </w:rPr>
              <w:t xml:space="preserve">Source</w:t>
            </w:r>
          </w:p>
        </w:tc>
        <w:tc>
          <w:tcPr>
            <w:tcW w:type="dxa" w:w="780"/>
            <w:tcBorders>
              <w:top w:val="single" w:color="000000" w:sz="6"/>
              <w:left w:val="single" w:color="000000" w:sz="6"/>
              <w:bottom w:val="single" w:color="000000" w:sz="6"/>
              <w:right w:val="single" w:color="000000" w:sz="6"/>
            </w:tcBorders>
            <w:shd w:fill="0F766E" w:val="clear"/>
            <w:tcMar>
              <w:top w:type="dxa" w:w="80"/>
              <w:left w:type="dxa" w:w="100"/>
              <w:bottom w:type="dxa" w:w="80"/>
              <w:right w:type="dxa" w:w="100"/>
            </w:tcMar>
          </w:tcPr>
          <w:p>
            <w:pPr>
              <w:spacing w:line="280"/>
              <w:jc w:val="center"/>
            </w:pPr>
            <w:r>
              <w:rPr>
                <w:rFonts w:ascii="Times New Roman" w:cs="Times New Roman" w:eastAsia="Times New Roman" w:hAnsi="Times New Roman"/>
                <w:b/>
                <w:bCs/>
                <w:sz w:val="20"/>
                <w:szCs w:val="20"/>
              </w:rPr>
              <w:t xml:space="preserve">Year</w:t>
            </w:r>
          </w:p>
        </w:tc>
        <w:tc>
          <w:tcPr>
            <w:tcW w:type="dxa" w:w="1500"/>
            <w:tcBorders>
              <w:top w:val="single" w:color="000000" w:sz="6"/>
              <w:left w:val="single" w:color="000000" w:sz="6"/>
              <w:bottom w:val="single" w:color="000000" w:sz="6"/>
              <w:right w:val="single" w:color="000000" w:sz="6"/>
            </w:tcBorders>
            <w:shd w:fill="0F766E" w:val="clear"/>
            <w:tcMar>
              <w:top w:type="dxa" w:w="80"/>
              <w:left w:type="dxa" w:w="100"/>
              <w:bottom w:type="dxa" w:w="80"/>
              <w:right w:type="dxa" w:w="100"/>
            </w:tcMar>
          </w:tcPr>
          <w:p>
            <w:pPr>
              <w:spacing w:line="280"/>
              <w:jc w:val="center"/>
            </w:pPr>
            <w:r>
              <w:rPr>
                <w:rFonts w:ascii="Times New Roman" w:cs="Times New Roman" w:eastAsia="Times New Roman" w:hAnsi="Times New Roman"/>
                <w:b/>
                <w:bCs/>
                <w:sz w:val="20"/>
                <w:szCs w:val="20"/>
              </w:rPr>
              <w:t xml:space="preserve">Focus / Domain</w:t>
            </w:r>
          </w:p>
        </w:tc>
        <w:tc>
          <w:tcPr>
            <w:tcW w:type="dxa" w:w="1860"/>
            <w:tcBorders>
              <w:top w:val="single" w:color="000000" w:sz="6"/>
              <w:left w:val="single" w:color="000000" w:sz="6"/>
              <w:bottom w:val="single" w:color="000000" w:sz="6"/>
              <w:right w:val="single" w:color="000000" w:sz="6"/>
            </w:tcBorders>
            <w:shd w:fill="0F766E" w:val="clear"/>
            <w:tcMar>
              <w:top w:type="dxa" w:w="80"/>
              <w:left w:type="dxa" w:w="100"/>
              <w:bottom w:type="dxa" w:w="80"/>
              <w:right w:type="dxa" w:w="100"/>
            </w:tcMar>
          </w:tcPr>
          <w:p>
            <w:pPr>
              <w:spacing w:line="280"/>
              <w:jc w:val="center"/>
            </w:pPr>
            <w:r>
              <w:rPr>
                <w:rFonts w:ascii="Times New Roman" w:cs="Times New Roman" w:eastAsia="Times New Roman" w:hAnsi="Times New Roman"/>
                <w:b/>
                <w:bCs/>
                <w:sz w:val="20"/>
                <w:szCs w:val="20"/>
              </w:rPr>
              <w:t xml:space="preserve">Methodology</w:t>
            </w:r>
          </w:p>
        </w:tc>
        <w:tc>
          <w:tcPr>
            <w:tcW w:type="dxa" w:w="1860"/>
            <w:tcBorders>
              <w:top w:val="single" w:color="000000" w:sz="6"/>
              <w:left w:val="single" w:color="000000" w:sz="6"/>
              <w:bottom w:val="single" w:color="000000" w:sz="6"/>
              <w:right w:val="single" w:color="000000" w:sz="6"/>
            </w:tcBorders>
            <w:shd w:fill="0F766E" w:val="clear"/>
            <w:tcMar>
              <w:top w:type="dxa" w:w="80"/>
              <w:left w:type="dxa" w:w="100"/>
              <w:bottom w:type="dxa" w:w="80"/>
              <w:right w:type="dxa" w:w="100"/>
            </w:tcMar>
          </w:tcPr>
          <w:p>
            <w:pPr>
              <w:spacing w:line="280"/>
              <w:jc w:val="center"/>
            </w:pPr>
            <w:r>
              <w:rPr>
                <w:rFonts w:ascii="Times New Roman" w:cs="Times New Roman" w:eastAsia="Times New Roman" w:hAnsi="Times New Roman"/>
                <w:b/>
                <w:bCs/>
                <w:sz w:val="20"/>
                <w:szCs w:val="20"/>
              </w:rPr>
              <w:t xml:space="preserve">Key Findings / Contribution</w:t>
            </w:r>
          </w:p>
        </w:tc>
        <w:tc>
          <w:tcPr>
            <w:tcW w:type="dxa" w:w="1800"/>
            <w:tcBorders>
              <w:top w:val="single" w:color="000000" w:sz="6"/>
              <w:left w:val="single" w:color="000000" w:sz="6"/>
              <w:bottom w:val="single" w:color="000000" w:sz="6"/>
              <w:right w:val="single" w:color="000000" w:sz="6"/>
            </w:tcBorders>
            <w:shd w:fill="0F766E" w:val="clear"/>
            <w:tcMar>
              <w:top w:type="dxa" w:w="80"/>
              <w:left w:type="dxa" w:w="100"/>
              <w:bottom w:type="dxa" w:w="80"/>
              <w:right w:type="dxa" w:w="100"/>
            </w:tcMar>
          </w:tcPr>
          <w:p>
            <w:pPr>
              <w:spacing w:line="280"/>
              <w:jc w:val="center"/>
            </w:pPr>
            <w:r>
              <w:rPr>
                <w:rFonts w:ascii="Times New Roman" w:cs="Times New Roman" w:eastAsia="Times New Roman" w:hAnsi="Times New Roman"/>
                <w:b/>
                <w:bCs/>
                <w:sz w:val="20"/>
                <w:szCs w:val="20"/>
              </w:rPr>
              <w:t xml:space="preserve">Relevance to This Project</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Kephart &amp; Chess (IBM, IEEE Computer)</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2003</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Autonomic computing — foundational vision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Conceptual / position paper proposing the MAPE-K reference model</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Established Monitor–Analyse–Plan–Execute–Knowledge as the dominant framework for self-managing systems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Provides the conceptual backbone for the project; every module maps onto a MAPE-K stage</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Rabenstein &amp; Volz (USENIX SREcon)</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2015</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Prometheus data model and architecture</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Design rationale and system description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Articulated the multi-dimensional label-based time-series model that distinguishes Prometheus from earlier systems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Justifies selection of Prometheus as the metrics-collection engine over Graphite or InfluxDB</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Beyer et al. (Google / O'Reilly SRE Book)</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2016, 2018</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SRE discipline and operational practice</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Practitioner case studies from Google production systems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Introduced error budgets, toil reduction, and automated remediation as core SRE concepts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Provides the normative framing — automating recovery is an engineering mandate, not an optimisation</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Burns et al. (ACM Queue / CACM)</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2016</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Kubernetes design philosophy</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Retrospective design paper</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Introduced the declarative reconciliation model — desired state continuously compared against actual state</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Underpins the orchestration module; reconciliation is itself a form of native self-healing</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Forsgren, Humble &amp; Kim (Accelerate)</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2018</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DevOps performance measurement</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Multi-year survey research (DORA)</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Established the four DORA metrics including MTTR as the canonical performance indicators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Justifies MTTR as the primary outcome metric in this project's evaluation framework</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CNCF Observability Whitepaper</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2023</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Reference architecture</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Industry consortium synthesis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Defined the canonical pattern of metrics, logs, and traces feeding alerting and automation</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Directly informs the high-level architecture adopted in this project</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Medel et al. (Future Gen. Comp. Syst.)</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2023</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Kubernetes liveness and readiness probes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Empirical experimental study with fault injection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Showed probes resolve transient failures but fail for deadlocks and slow leaks; external remediation needed</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Defines exactly where the external webhook complements native self-healing</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Sun et al. (IEEE Access)</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2023</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Observability backend scalability</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Comparative benchmarking under synthetic high-cardinality load</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Prometheus + remote-write maintains sub-second latency up to ~10K time series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Confirms Prometheus capacity is adequate for the project's expected metric volume</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Shchutskaya &amp; Hossain (IEEE IC2E)</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2023</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Alert fatigue in SRE teams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Survey + statistical analysis of paging volume vs response quality</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Identified statistically significant decline in response quality above ~50 pages/week</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Motivates the design choice to automate first-response remediation rather than page humans</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CNCF Annual Survey</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Industry adoption metrics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Industry survey, n &gt; 2000 organisations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96% K8s adoption; 86% Prometheus adoption within K8s users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Establishes the technology stack chosen is the industry-standard, not a niche choice</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Sharma &amp; Gupta (Journal of Cloud Computing)</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Grafana for heterogeneous observability</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Architectural review with case studies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Plug-in data-source architecture suited to unified metrics/logs/traces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Justifies Grafana as the visualisation choice and anticipates extension to logs and traces</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Chen et al. (ACM TAAS)</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ML-driven self-healing in K8s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Reinforcement-learning agent + comparative evaluation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Achieved ~22% MTTR reduction vs rule-based healer baseline</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Provides realistic upper bound for rule-based architectures and an explicit future extension</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Patel &amp; Rao (IJCA)</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Rule-based self-healing in Docker</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Literature survey + taxonomy</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Webhook-driven healing dominant pattern in practice; valued for auditability</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Indian-authored confirmation of architectural choice; supports the local academic relevance argument</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Grafana Labs Observability Survey</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Grafana ecosystem adoption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Industry survey across enterprise users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60%+ adoption in K8s shops; Loki/Tempo/Mimir ecosystem maturing</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Validates open-source observability as viable alternative to commercial SaaS</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DORA State of DevOps Report</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DevOps performance benchmarking</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Annual industry survey, n &gt; 30,000 respondents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Strong correlation between remediation automation and elite-tier classification</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Direct evidence that automating recovery is a measurable competitive advantage</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Google Cloud SRE Whitepaper</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Production SRE at hyperscale</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Industry technical whitepaper</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Approximately 70% of Google production incidents resolved without human intervention</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Empirical validation that the project's pattern (auto-runbook on alert) scales</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Red Hat State of Enterprise Open Source</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Enterprise open-source adoption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Annual industry survey</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Observability ranks 2nd in enterprise open-source adoption, after OS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Reinforces that the entire stack used is enterprise-credible, not toy</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CNCF End User Technology Radar (Observability)</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2024</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Observability tool adoption patterns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Practitioner consensus radar</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kube-prometheus-stack is the canonical Helm-based deployment at &gt;1000-node scale</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Provides the de facto reference deployment pattern this project follows</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Iyer &amp; Verma (IEEE TNSM)</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2025</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Operator-based self-healing for stateful workloads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Empirical case study with custom Kubernetes operators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Demonstrated reduction in operator intervention for stateful workloads</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Identifies a natural architectural evolution path beyond webhook-driven healing</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Nguyen &amp; Kim (Journal of Systems and Software)</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2025</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Self-healing framework comparison</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Comparative empirical evaluation of four OSS frameworks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Prometheus + lightweight webhook offers best complexity-to-MTTR trade-off at SME scale</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Direct, recent validation that this project's exact architecture is appropriate</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PagerDuty State of Digital Operations</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2025</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Incident response operations data</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Annual industry survey of incident-response platforms</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40%+ first-response automation yields 31% MTTA and 44% escalation reduction</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Quantifies the operational impact this project aims to reproduce in academic setting</w:t>
            </w:r>
          </w:p>
        </w:tc>
      </w:tr>
      <w:tr>
        <w:tc>
          <w:tcPr>
            <w:tcW w:type="dxa" w:w="1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Microsoft Azure Well-Architected Framework (2025 revision)</w:t>
            </w:r>
          </w:p>
        </w:tc>
        <w:tc>
          <w:tcPr>
            <w:tcW w:type="dxa" w:w="78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center"/>
            </w:pPr>
            <w:r>
              <w:rPr>
                <w:rFonts w:ascii="Times New Roman" w:cs="Times New Roman" w:eastAsia="Times New Roman" w:hAnsi="Times New Roman"/>
                <w:b w:val="false"/>
                <w:bCs w:val="false"/>
                <w:sz w:val="20"/>
                <w:szCs w:val="20"/>
              </w:rPr>
              <w:t xml:space="preserve">2025</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Cloud reliability reference</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Industry architectural guidance</w:t>
            </w:r>
          </w:p>
        </w:tc>
        <w:tc>
          <w:tcPr>
            <w:tcW w:type="dxa" w:w="1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Mandates an automated-remediation tier in the reliability pillar</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80"/>
              <w:jc w:val="left"/>
            </w:pPr>
            <w:r>
              <w:rPr>
                <w:rFonts w:ascii="Times New Roman" w:cs="Times New Roman" w:eastAsia="Times New Roman" w:hAnsi="Times New Roman"/>
                <w:b w:val="false"/>
                <w:bCs w:val="false"/>
                <w:sz w:val="20"/>
                <w:szCs w:val="20"/>
              </w:rPr>
              <w:t xml:space="preserve">Confirms convergence of independent industrial frameworks on auto-remediation as a requirement</w:t>
            </w:r>
          </w:p>
        </w:tc>
      </w:tr>
    </w:tbl>
    <w:p>
      <w:r>
        <w:rPr>
          <w:rFonts w:ascii="Times New Roman" w:cs="Times New Roman" w:eastAsia="Times New Roman" w:hAnsi="Times New Roman"/>
          <w:sz w:val="24"/>
          <w:szCs w:val="24"/>
        </w:rPr>
        <w:t xml:space="preserve"/>
      </w:r>
    </w:p>
    <w:p>
      <w:pPr>
        <w:spacing w:after="160" w:line="320"/>
        <w:jc w:val="both"/>
      </w:pPr>
      <w:r>
        <w:rPr>
          <w:rFonts w:ascii="Times New Roman" w:cs="Times New Roman" w:eastAsia="Times New Roman" w:hAnsi="Times New Roman"/>
          <w:sz w:val="24"/>
          <w:szCs w:val="24"/>
        </w:rPr>
        <w:t xml:space="preserve">Across the twenty-two reviewed sources, several consistent patterns emerge. First, the architectural elements adopted in the present project — pull-based metrics collection, declarative alert evaluation, deduplication and routing, and webhook-driven remediation — recur as the dominant industrial pattern in every reference architecture surveyed, from the CNCF Observability Whitepaper through the Red Hat OpenShift Cluster Monitoring Operator to Google Cloud's internal SRE practice. Second, the recency of high-quality academic and industrial validations (Iyer and Verma 2025; Nguyen and Kim 2025; the PagerDuty 2025 report; the Microsoft Azure 2025 framework revision) demonstrates that this is an actively-evolving research area, with new contributions continuing to refine — but not displace — the core architectural pattern. Third, where ML-based extensions (Chen et al. 2024) achieve incremental MTTR gains over rule-based healers, they do so at significant cost in training data, interpretability, and operational complexity, supporting the project's choice to adopt the simpler rule-based pattern as the primary contribution while listing ML extension explicitly as future work.</w:t>
      </w:r>
    </w:p>
    <w:p>
      <w:pPr>
        <w:spacing w:after="160" w:line="320"/>
        <w:jc w:val="both"/>
      </w:pPr>
      <w:r>
        <w:rPr>
          <w:rFonts w:ascii="Times New Roman" w:cs="Times New Roman" w:eastAsia="Times New Roman" w:hAnsi="Times New Roman"/>
          <w:sz w:val="24"/>
          <w:szCs w:val="24"/>
        </w:rPr>
        <w:t xml:space="preserve">The literature review thus establishes three points with clarity. First, the individual technological building blocks of the proposed system are mature and well understood. Second, the conceptual framework of MAPE-K, together with contemporary extensions such as operator-based and reinforcement-learning-based healing, provides a principled basis for their integration. Third, a documented gap exists for a reproducible, end-to-end, empirically evaluated auto-healing pipeline constructed entirely from open-source components — a gap that the present mini project seeks to fill.</w:t>
      </w:r>
    </w:p>
    <w:p>
      <w:pPr>
        <w:pageBreakBefore/>
        <w:spacing w:after="320" w:before="0"/>
        <w:jc w:val="left"/>
      </w:pPr>
      <w:r>
        <w:rPr>
          <w:rFonts w:ascii="Times New Roman" w:cs="Times New Roman" w:eastAsia="Times New Roman" w:hAnsi="Times New Roman"/>
          <w:b/>
          <w:bCs/>
          <w:sz w:val="32"/>
          <w:szCs w:val="32"/>
        </w:rPr>
        <w:t xml:space="preserve">2  Methodology Adopted</w:t>
      </w:r>
    </w:p>
    <w:p>
      <w:pPr>
        <w:spacing w:after="140" w:before="280"/>
        <w:jc w:val="left"/>
      </w:pPr>
      <w:r>
        <w:rPr>
          <w:rFonts w:ascii="Times New Roman" w:cs="Times New Roman" w:eastAsia="Times New Roman" w:hAnsi="Times New Roman"/>
          <w:b/>
          <w:bCs/>
          <w:sz w:val="28"/>
          <w:szCs w:val="28"/>
        </w:rPr>
        <w:t xml:space="preserve">2.1  Scientific Research Approach</w:t>
      </w:r>
    </w:p>
    <w:p>
      <w:pPr>
        <w:spacing w:after="160" w:line="320"/>
        <w:jc w:val="both"/>
      </w:pPr>
      <w:r>
        <w:rPr>
          <w:rFonts w:ascii="Times New Roman" w:cs="Times New Roman" w:eastAsia="Times New Roman" w:hAnsi="Times New Roman"/>
          <w:sz w:val="24"/>
          <w:szCs w:val="24"/>
        </w:rPr>
        <w:t xml:space="preserve">This mini project adopts a Design Science Research (DSR) methodology, as formalised by Hevner et al. (MIS Quarterly, 2004) and extended by Peffers et al. (Journal of Management Information Systems, 2007) in their Design Science Research Methodology (DSRM) framework. DSR is the appropriate paradigm when the research objective is the creation of a novel artefact — in this case, a functional, integrated, and empirically evaluated software system — that addresses an identified, practically significant problem. DSR distinguishes itself from purely empirical research by evaluating contributions not only by theoretical explanation but by demonstrable utility: does the artefact solve the problem it was designed to address? The DSRM process model structures the research in six stages, each of which maps directly to the activities of this mini project, as summarised in the following table.</w:t>
      </w:r>
    </w:p>
    <w:p>
      <w:pPr>
        <w:spacing w:after="160"/>
        <w:jc w:val="center"/>
      </w:pPr>
      <w:r>
        <w:rPr>
          <w:rFonts w:ascii="Times New Roman" w:cs="Times New Roman" w:eastAsia="Times New Roman" w:hAnsi="Times New Roman"/>
          <w:b/>
          <w:bCs/>
          <w:sz w:val="22"/>
          <w:szCs w:val="22"/>
        </w:rPr>
        <w:t xml:space="preserve">Table 2.1: DSRM Stage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DSRM Stage</w:t>
            </w:r>
          </w:p>
        </w:tc>
        <w:tc>
          <w:tcPr>
            <w:tcW w:type="dxa" w:w="62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Application in This Project</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1. Problem identification and motivation</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Gap identified in Chapter 1: container-based systems suffer from high MTTR and excessive toil because detection is automated but remediation remains largely manual</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2. Definition of objectives for a solution</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Objective: an integrated open-source pipeline that detects failures via Prometheus and executes predefined remedial actions via a webhook-driven healer</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3. Design and development</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Architecture: Prometheus → Alertmanager → Webhook → Docker / Kubernetes API, wrapped in a Grafana visualisation layer; modular implementation across five components</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4. Demonstration</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Application of the system to a set of containerised demonstration workloads under controlled fault-injection scenarios on a Minikube cluster</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5. Evaluation</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Quantitative evaluation against the four criteria in Section 2.5: uptime improvement, alert accuracy, response time, and MTTR</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6. Communication</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This literature review and the associated project report constitute the communication artefact</w:t>
            </w:r>
          </w:p>
        </w:tc>
      </w:tr>
    </w:tbl>
    <w:p>
      <w:pPr>
        <w:spacing w:after="80" w:before="24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2"/>
          <w:szCs w:val="22"/>
        </w:rPr>
        <w:t xml:space="preserve">Figure 2.1: MAPE-K reference model (Kephart and Chess, 2003) mapped to the components of the proposed system.</w:t>
      </w:r>
    </w:p>
    <w:p>
      <w:pPr>
        <w:pageBreakBefore/>
        <w:spacing w:after="240" w:before="0"/>
        <w:jc w:val="left"/>
      </w:pPr>
      <w:r>
        <w:rPr>
          <w:rFonts w:ascii="Times New Roman" w:cs="Times New Roman" w:eastAsia="Times New Roman" w:hAnsi="Times New Roman"/>
          <w:b/>
          <w:bCs/>
          <w:sz w:val="28"/>
          <w:szCs w:val="28"/>
        </w:rPr>
        <w:t xml:space="preserve">2.2  Research Philosophy and Paradigm</w:t>
      </w:r>
    </w:p>
    <w:p>
      <w:pPr>
        <w:spacing w:after="160" w:line="320"/>
        <w:jc w:val="both"/>
      </w:pPr>
      <w:r>
        <w:rPr>
          <w:rFonts w:ascii="Times New Roman" w:cs="Times New Roman" w:eastAsia="Times New Roman" w:hAnsi="Times New Roman"/>
          <w:sz w:val="24"/>
          <w:szCs w:val="24"/>
        </w:rPr>
        <w:t xml:space="preserve">The research sits within a pragmatist epistemological paradigm, which holds that the value of knowledge is determined by its practical utility. Pragmatism is the dominant philosophy underpinning applied computer science research and is explicitly endorsed by DSR frameworks: a research contribution is valid if it demonstrably improves the ability of practitioners to address real-world problems. This contrasts with a purely positivist paradigm, which would require the establishment of causal relationships through controlled experimentation, and with an interpretivist paradigm, which would prioritise subjective meaning-making. The chosen paradigm is appropriate because: (a) the problem is industrial and practical in nature; (b) the proposed artefact's value can be assessed against measurable criteria — service uptime, alert precision and recall, response time, and mean time to recovery; and (c) the literature base is itself predominantly industry-empirical, drawn from the CNCF, DORA, Grafana Labs, PagerDuty, and the major cloud vendors, rather than from purely theoretical computer science.</w:t>
      </w:r>
    </w:p>
    <w:p>
      <w:pPr>
        <w:pageBreakBefore/>
        <w:spacing w:after="240" w:before="0"/>
        <w:jc w:val="left"/>
      </w:pPr>
      <w:r>
        <w:rPr>
          <w:rFonts w:ascii="Times New Roman" w:cs="Times New Roman" w:eastAsia="Times New Roman" w:hAnsi="Times New Roman"/>
          <w:b/>
          <w:bCs/>
          <w:sz w:val="28"/>
          <w:szCs w:val="28"/>
        </w:rPr>
        <w:t xml:space="preserve">2.3  Literature Search Strategy</w:t>
      </w:r>
    </w:p>
    <w:p>
      <w:pPr>
        <w:spacing w:after="160" w:line="320"/>
        <w:jc w:val="both"/>
      </w:pPr>
      <w:r>
        <w:rPr>
          <w:rFonts w:ascii="Times New Roman" w:cs="Times New Roman" w:eastAsia="Times New Roman" w:hAnsi="Times New Roman"/>
          <w:sz w:val="24"/>
          <w:szCs w:val="24"/>
        </w:rPr>
        <w:t xml:space="preserve">The literature review was conducted using a structured search strategy across academic and practitioner sources. The following databases and sources were consulted:</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Academic databases: IEEE Xplore, ACM Digital Library, SpringerLink, ScienceDirect (Elsevier), MDPI, and Nature Scientific Reports.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Preprint repositories: arXiv.org (for open-access extensions of conference papers) and the USENIX ;login: archive (for SRE and systems-operations papers).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Industry research: Cloud Native Computing Foundation (CNCF), Google Cloud, Red Hat, Microsoft Azure, Grafana Labs, PagerDuty, the DORA / DevOps Research and Assessment community, and the annual State of DevOps Report.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Primary project documentation: the official documentation of Prometheus, Grafana, Alertmanager, Docker, Kubernetes, and Minikube, together with the kube-prometheus-stack Helm chart repository.</w:t>
      </w:r>
    </w:p>
    <w:p>
      <w:pPr>
        <w:spacing w:after="160" w:line="320"/>
        <w:jc w:val="both"/>
      </w:pPr>
      <w:r>
        <w:rPr>
          <w:rFonts w:ascii="Times New Roman" w:cs="Times New Roman" w:eastAsia="Times New Roman" w:hAnsi="Times New Roman"/>
          <w:sz w:val="24"/>
          <w:szCs w:val="24"/>
        </w:rPr>
        <w:t xml:space="preserve">Search terms applied included combinations of: cloud-native monitoring, Prometheus observability, Grafana dashboards, Kubernetes self-healing, auto-healing webhook, Alertmanager automation, site reliability engineering, MAPE-K autonomic computing, MTTR reduction, and container orchestration reliability. Results were filtered to the 2023–2026 window to ensure contemporaneous relevance, with the exception of foundational methodological references (Hevner et al., 2004; Peffers et al., 2007; Kephart and Chess, 2003; Burns et al., 2016; Rabenstein and Volz, 2015). A PRISMA-aligned inclusion and exclusion framework was applied, as set out in the table below.</w:t>
      </w:r>
    </w:p>
    <w:p>
      <w:pPr>
        <w:spacing w:after="160"/>
        <w:jc w:val="center"/>
      </w:pPr>
      <w:r>
        <w:rPr>
          <w:rFonts w:ascii="Times New Roman" w:cs="Times New Roman" w:eastAsia="Times New Roman" w:hAnsi="Times New Roman"/>
          <w:b/>
          <w:bCs/>
          <w:sz w:val="22"/>
          <w:szCs w:val="22"/>
        </w:rPr>
        <w:t xml:space="preserve">Table 2.2: Criterion and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Criterion</w:t>
            </w:r>
          </w:p>
        </w:tc>
        <w:tc>
          <w:tcPr>
            <w:tcW w:type="dxa" w:w="62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Decision rule</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Publication date</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2023–2026 preferred; pre-2023 accepted only for foundational methodological references (DSR, MAPE-K, Kubernetes, Prometheus data model)</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Relevance</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Must address at least one of: cloud-native observability, Kubernetes / container self-healing, Prometheus or Grafana tooling, alerting and incident response, or SRE-aligned automation</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Source quality</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Peer-reviewed for academic sources; named organisation with identified methodology for industry sources; official project documentation for tooling references</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Exclusion</w:t>
            </w:r>
          </w:p>
        </w:tc>
        <w:tc>
          <w:tcPr>
            <w:tcW w:type="dxa" w:w="62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Opinion pieces without data; vendor content marketing without methodology disclosure; sources without dateable publication</w:t>
            </w:r>
          </w:p>
        </w:tc>
      </w:tr>
    </w:tbl>
    <w:p>
      <w:pPr>
        <w:pageBreakBefore/>
        <w:spacing w:after="240" w:before="0"/>
        <w:jc w:val="left"/>
      </w:pPr>
      <w:r>
        <w:rPr>
          <w:rFonts w:ascii="Times New Roman" w:cs="Times New Roman" w:eastAsia="Times New Roman" w:hAnsi="Times New Roman"/>
          <w:b/>
          <w:bCs/>
          <w:sz w:val="28"/>
          <w:szCs w:val="28"/>
        </w:rPr>
        <w:t xml:space="preserve">2.4  System Development Methodology</w:t>
      </w:r>
    </w:p>
    <w:p>
      <w:pPr>
        <w:spacing w:after="160" w:line="320"/>
        <w:jc w:val="both"/>
      </w:pPr>
      <w:r>
        <w:rPr>
          <w:rFonts w:ascii="Times New Roman" w:cs="Times New Roman" w:eastAsia="Times New Roman" w:hAnsi="Times New Roman"/>
          <w:sz w:val="24"/>
          <w:szCs w:val="24"/>
        </w:rPr>
        <w:t xml:space="preserve">The software artefact is developed using an iterative, modular approach. The system is architected in five independent modules, each of which can be developed, tested, and validated separately before integration. This decomposition is consistent with the loosely coupled reference architecture published in the CNCF Observability Whitepaper (2023) and permits the substitution of individual components without disrupting the overall pipeline.</w:t>
      </w:r>
    </w:p>
    <w:p>
      <w:pPr>
        <w:spacing w:after="80" w:before="240"/>
        <w:jc w:val="center"/>
      </w:pPr>
      <w:r>
        <w:drawing>
          <wp:inline distT="0" distB="0" distL="0" distR="0">
            <wp:extent cx="5943600" cy="30567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56709"/>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2"/>
          <w:szCs w:val="22"/>
        </w:rPr>
        <w:t xml:space="preserve">Figure 2.2: End-to-end system architecture showing the data, control, remediation, and user-interface planes.</w:t>
      </w:r>
    </w:p>
    <w:p>
      <w:pPr>
        <w:spacing w:after="100" w:before="200"/>
        <w:jc w:val="left"/>
      </w:pPr>
      <w:r>
        <w:rPr>
          <w:rFonts w:ascii="Times New Roman" w:cs="Times New Roman" w:eastAsia="Times New Roman" w:hAnsi="Times New Roman"/>
          <w:b/>
          <w:bCs/>
          <w:sz w:val="24"/>
          <w:szCs w:val="24"/>
        </w:rPr>
        <w:t xml:space="preserve">Module 1: Monitoring (Metrics Collection)</w:t>
      </w:r>
    </w:p>
    <w:p>
      <w:pPr>
        <w:spacing w:after="160" w:line="320"/>
        <w:jc w:val="both"/>
      </w:pPr>
      <w:r>
        <w:rPr>
          <w:rFonts w:ascii="Times New Roman" w:cs="Times New Roman" w:eastAsia="Times New Roman" w:hAnsi="Times New Roman"/>
          <w:sz w:val="24"/>
          <w:szCs w:val="24"/>
        </w:rPr>
        <w:t xml:space="preserve">The monitoring module is built around Prometheus (version 2.51 or later), deployed as a container within the same Docker network as the workloads under observation. Host-level metrics — CPU, memory, disk, and network — are exposed by node-exporter; container-level metrics are exposed by cAdvisor; and application-level metrics are exposed by demonstration services instrumented with the official Prometheus client libraries for Python and Go. Prometheus scrapes these endpoints at a configurable interval (fifteen seconds by default) and persists the resulting time-series data in its local storage. Prometheus is selected over alternatives such as InfluxDB and Graphite principally for its first-class alignment with Kubernetes and for the maturity of its alerting integration.</w:t>
      </w:r>
    </w:p>
    <w:p>
      <w:pPr>
        <w:spacing w:after="100" w:before="200"/>
        <w:jc w:val="left"/>
      </w:pPr>
      <w:r>
        <w:rPr>
          <w:rFonts w:ascii="Times New Roman" w:cs="Times New Roman" w:eastAsia="Times New Roman" w:hAnsi="Times New Roman"/>
          <w:b/>
          <w:bCs/>
          <w:sz w:val="24"/>
          <w:szCs w:val="24"/>
        </w:rPr>
        <w:t xml:space="preserve">Module 2: Visualisation</w:t>
      </w:r>
    </w:p>
    <w:p>
      <w:pPr>
        <w:spacing w:after="160" w:line="320"/>
        <w:jc w:val="both"/>
      </w:pPr>
      <w:r>
        <w:rPr>
          <w:rFonts w:ascii="Times New Roman" w:cs="Times New Roman" w:eastAsia="Times New Roman" w:hAnsi="Times New Roman"/>
          <w:sz w:val="24"/>
          <w:szCs w:val="24"/>
        </w:rPr>
        <w:t xml:space="preserve">The visualisation module is built around Grafana (version 11), connected to Prometheus as its sole data source. Two categories of dashboard are provided: pre-built community dashboards imported from the Grafana marketplace, which offer immediate visibility into host and container metrics; and custom dashboards authored for this project, which present application-specific views aligned with the alerting rules defined in Module 3. Grafana is selected over Kibana for its superior support for Prometheus and for the breadth of its plug-in ecosystem, which anticipates the future incorporation of Loki (logs) and Tempo (traces) identified as extensions in Section 1.4.</w:t>
      </w:r>
    </w:p>
    <w:p>
      <w:pPr>
        <w:spacing w:after="100" w:before="200"/>
        <w:jc w:val="left"/>
      </w:pPr>
      <w:r>
        <w:rPr>
          <w:rFonts w:ascii="Times New Roman" w:cs="Times New Roman" w:eastAsia="Times New Roman" w:hAnsi="Times New Roman"/>
          <w:b/>
          <w:bCs/>
          <w:sz w:val="24"/>
          <w:szCs w:val="24"/>
        </w:rPr>
        <w:t xml:space="preserve">Module 3: Alerting</w:t>
      </w:r>
    </w:p>
    <w:p>
      <w:pPr>
        <w:spacing w:after="160" w:line="320"/>
        <w:jc w:val="both"/>
      </w:pPr>
      <w:r>
        <w:rPr>
          <w:rFonts w:ascii="Times New Roman" w:cs="Times New Roman" w:eastAsia="Times New Roman" w:hAnsi="Times New Roman"/>
          <w:sz w:val="24"/>
          <w:szCs w:val="24"/>
        </w:rPr>
        <w:t xml:space="preserve">The alerting module consists of a set of PromQL rules evaluated continuously by the Prometheus rule engine and an Alertmanager instance configured to deduplicate, group, silence, and route the resulting alerts. Rules are expressed declaratively in YAML and version-controlled alongside the rest of the system configuration. The Alertmanager routing configuration directs alerts for well-understood, automatable failure classes to the auto-healing webhook described in Module 4, while alerts for novel or ambiguous conditions are routed to a human-notification channel for manual triage.</w:t>
      </w:r>
    </w:p>
    <w:p>
      <w:pPr>
        <w:spacing w:after="100" w:before="200"/>
        <w:jc w:val="left"/>
      </w:pPr>
      <w:r>
        <w:rPr>
          <w:rFonts w:ascii="Times New Roman" w:cs="Times New Roman" w:eastAsia="Times New Roman" w:hAnsi="Times New Roman"/>
          <w:b/>
          <w:bCs/>
          <w:sz w:val="24"/>
          <w:szCs w:val="24"/>
        </w:rPr>
        <w:t xml:space="preserve">Module 4: Auto-Healing (Remediation Webhook)</w:t>
      </w:r>
    </w:p>
    <w:p>
      <w:pPr>
        <w:spacing w:after="160" w:line="320"/>
        <w:jc w:val="both"/>
      </w:pPr>
      <w:r>
        <w:rPr>
          <w:rFonts w:ascii="Times New Roman" w:cs="Times New Roman" w:eastAsia="Times New Roman" w:hAnsi="Times New Roman"/>
          <w:sz w:val="24"/>
          <w:szCs w:val="24"/>
        </w:rPr>
        <w:t xml:space="preserve">The auto-healing module is implemented as a Python 3.11 service using the Flask micro-framework and the official Docker and Kubernetes Python clients. It exposes a single HTTP endpoint that accepts Alertmanager webhook payloads, parses the alert labels to identify the affected workload and the required remedial action, and invokes the appropriate API call — typically a container restart, a deployment scale-out, or a diagnostic snapshot capture. Every action is logged with its trigger, timestamp, and outcome, thereby producing an audit trail equivalent to that of a manually executed runbook.</w:t>
      </w:r>
    </w:p>
    <w:p>
      <w:pPr>
        <w:spacing w:after="100" w:before="200"/>
        <w:jc w:val="left"/>
      </w:pPr>
      <w:r>
        <w:rPr>
          <w:rFonts w:ascii="Times New Roman" w:cs="Times New Roman" w:eastAsia="Times New Roman" w:hAnsi="Times New Roman"/>
          <w:b/>
          <w:bCs/>
          <w:sz w:val="24"/>
          <w:szCs w:val="24"/>
        </w:rPr>
        <w:t xml:space="preserve">Module 5: Container Orchestration</w:t>
      </w:r>
    </w:p>
    <w:p>
      <w:pPr>
        <w:spacing w:after="160" w:line="320"/>
        <w:jc w:val="both"/>
      </w:pPr>
      <w:r>
        <w:rPr>
          <w:rFonts w:ascii="Times New Roman" w:cs="Times New Roman" w:eastAsia="Times New Roman" w:hAnsi="Times New Roman"/>
          <w:sz w:val="24"/>
          <w:szCs w:val="24"/>
        </w:rPr>
        <w:t xml:space="preserve">The orchestration module uses Docker Engine (version 25 or later) for baseline container lifecycle management and Minikube (version 1.33 or later) for single-node Kubernetes orchestration. Kubernetes is used specifically to demonstrate native self-healing behaviours — liveness and readiness probes triggering pod restarts, ReplicaSet controllers re-creating failed pods — and to illustrate how the external, webhook-driven healer complements, rather than duplicates, these native mechanisms.</w:t>
      </w:r>
    </w:p>
    <w:p>
      <w:pPr>
        <w:spacing w:after="80" w:before="240"/>
        <w:jc w:val="center"/>
      </w:pPr>
      <w:r>
        <w:drawing>
          <wp:inline distT="0" distB="0" distL="0" distR="0">
            <wp:extent cx="6217920" cy="21318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7920" cy="2131858"/>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2"/>
          <w:szCs w:val="22"/>
        </w:rPr>
        <w:t xml:space="preserve">Figure 2.3: Decomposition of the system into five loosely-coupled, independently-testable modules.</w:t>
      </w:r>
    </w:p>
    <w:p>
      <w:pPr>
        <w:pageBreakBefore/>
        <w:spacing w:after="240" w:before="0"/>
        <w:jc w:val="left"/>
      </w:pPr>
      <w:r>
        <w:rPr>
          <w:rFonts w:ascii="Times New Roman" w:cs="Times New Roman" w:eastAsia="Times New Roman" w:hAnsi="Times New Roman"/>
          <w:b/>
          <w:bCs/>
          <w:sz w:val="28"/>
          <w:szCs w:val="28"/>
        </w:rPr>
        <w:t xml:space="preserve">2.5  Evaluation Criteria</w:t>
      </w:r>
    </w:p>
    <w:p>
      <w:pPr>
        <w:spacing w:after="160" w:line="320"/>
        <w:jc w:val="both"/>
      </w:pPr>
      <w:r>
        <w:rPr>
          <w:rFonts w:ascii="Times New Roman" w:cs="Times New Roman" w:eastAsia="Times New Roman" w:hAnsi="Times New Roman"/>
          <w:sz w:val="24"/>
          <w:szCs w:val="24"/>
        </w:rPr>
        <w:t xml:space="preserve">The artefact will be evaluated against four primary quantitative criteria, each chosen for its direct relevance to the objectives articulated in Chapter 1 and for its alignment with the DORA and SRE literature surveyed in Section 1.5.</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System uptime improvement: the relative gain in the proportion of wall-clock time during which all monitored services successfully respond to synthetic health-check probes, measured under the auto-healing configuration relative to a baseline configuration in which only passive monitoring is enabled.</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Alert accuracy: the precision and recall of the alerting subsystem, where precision is the fraction of generated alerts that correspond to genuine, reproducible faults, and recall is the fraction of injected faults that result in at least one corresponding alert.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Response-time reduction: the elapsed interval between the onset of a fault and the initiation of the corresponding remedial action, measured end-to-end across the pipeline and compared against a scripted manual-intervention baseline.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Mean Time to Recovery (MTTR): the mean elapsed interval between the onset of a fault and the restoration of full service, evaluated under both the baseline and the auto-healing configurations; the relative reduction in MTTR is reported as the project's principal engineering result.</w:t>
      </w:r>
    </w:p>
    <w:p>
      <w:pPr>
        <w:spacing w:after="160" w:line="320"/>
        <w:jc w:val="both"/>
      </w:pPr>
      <w:r>
        <w:rPr>
          <w:rFonts w:ascii="Times New Roman" w:cs="Times New Roman" w:eastAsia="Times New Roman" w:hAnsi="Times New Roman"/>
          <w:sz w:val="24"/>
          <w:szCs w:val="24"/>
        </w:rPr>
        <w:t xml:space="preserve">A secondary, exploratory evaluation will examine whether the auto-healing pipeline introduces any observable overhead — in terms of CPU, memory, or network utilisation — on the monitored workloads, using the same Grafana dashboards that serve as the project's primary visualisation layer. The consolidated target thresholds against which the system is to be assessed are summarised in the table below.</w:t>
      </w:r>
    </w:p>
    <w:p>
      <w:pPr>
        <w:spacing w:after="160"/>
        <w:jc w:val="center"/>
      </w:pPr>
      <w:r>
        <w:rPr>
          <w:rFonts w:ascii="Times New Roman" w:cs="Times New Roman" w:eastAsia="Times New Roman" w:hAnsi="Times New Roman"/>
          <w:b/>
          <w:bCs/>
          <w:sz w:val="22"/>
          <w:szCs w:val="22"/>
        </w:rPr>
        <w:t xml:space="preserve">Table 2.3: Evaluation Criteria and Success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Metric</w:t>
            </w:r>
          </w:p>
        </w:tc>
        <w:tc>
          <w:tcPr>
            <w:tcW w:type="dxa" w:w="351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Definition</w:t>
            </w:r>
          </w:p>
        </w:tc>
        <w:tc>
          <w:tcPr>
            <w:tcW w:type="dxa" w:w="351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Target Value</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Uptime Improvement</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Relative gain in service availability over baseline</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 15% improvement</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 Precision</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Fraction of alerts that correspond to genuine faults</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 0.90</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 Recall</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Fraction of faults that generate an alert</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 0.95</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Response Time</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Interval from fault onset to remediation trigger</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 30 seconds</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MTTR</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Mean time from fault onset to service restoration</w:t>
            </w:r>
          </w:p>
        </w:tc>
        <w:tc>
          <w:tcPr>
            <w:tcW w:type="dxa" w:w="351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 60% reduction vs baseline</w:t>
            </w:r>
          </w:p>
        </w:tc>
      </w:tr>
    </w:tbl>
    <w:p>
      <w:pPr>
        <w:pageBreakBefore/>
        <w:spacing w:after="320" w:before="0"/>
        <w:jc w:val="left"/>
      </w:pPr>
      <w:r>
        <w:rPr>
          <w:rFonts w:ascii="Times New Roman" w:cs="Times New Roman" w:eastAsia="Times New Roman" w:hAnsi="Times New Roman"/>
          <w:b/>
          <w:bCs/>
          <w:sz w:val="32"/>
          <w:szCs w:val="32"/>
        </w:rPr>
        <w:t xml:space="preserve">3  Data Collection and Analysis (Results)</w:t>
      </w:r>
    </w:p>
    <w:p>
      <w:pPr>
        <w:spacing w:after="160" w:line="320"/>
        <w:jc w:val="both"/>
      </w:pPr>
      <w:r>
        <w:rPr>
          <w:rFonts w:ascii="Times New Roman" w:cs="Times New Roman" w:eastAsia="Times New Roman" w:hAnsi="Times New Roman"/>
          <w:sz w:val="24"/>
          <w:szCs w:val="24"/>
        </w:rPr>
        <w:t xml:space="preserve">This chapter describes the data sources used to evaluate the proposed system, the metrics collected from the deployed observability stack, the experimental protocol for fault injection, the analytical approach used to compare baseline and auto-healing configurations, and the results obtained from the executed evaluation. The fault-injection scenarios defined in Chapter 2 have been executed against the running system, producing the recovery-time measurements summarised in Section 3.5. The evaluation revealed a finding that is empirically clean and conceptually richer than initially anticipated — the five scenarios separated into two distinct recovery regimes, each validating a different layer of the cloud-native self-healing model surveyed in the literature.</w:t>
      </w:r>
    </w:p>
    <w:p>
      <w:pPr>
        <w:spacing w:after="140" w:before="280"/>
        <w:jc w:val="left"/>
      </w:pPr>
      <w:r>
        <w:rPr>
          <w:rFonts w:ascii="Times New Roman" w:cs="Times New Roman" w:eastAsia="Times New Roman" w:hAnsi="Times New Roman"/>
          <w:b/>
          <w:bCs/>
          <w:sz w:val="28"/>
          <w:szCs w:val="28"/>
        </w:rPr>
        <w:t xml:space="preserve">3.1  Overview of Data Sources</w:t>
      </w:r>
    </w:p>
    <w:p>
      <w:pPr>
        <w:spacing w:after="160" w:line="320"/>
        <w:jc w:val="both"/>
      </w:pPr>
      <w:r>
        <w:rPr>
          <w:rFonts w:ascii="Times New Roman" w:cs="Times New Roman" w:eastAsia="Times New Roman" w:hAnsi="Times New Roman"/>
          <w:sz w:val="24"/>
          <w:szCs w:val="24"/>
        </w:rPr>
        <w:t xml:space="preserve">Three categories of quantitative data are collected for the evaluation of this project. The first category consists of operational telemetry — the time-series metrics emitted by the workloads under observation and scraped by Prometheus at fifteen-second intervals. These constitute the live data stream against which alerting rules are evaluated and from which MTTR, response time, and uptime are computed. The second category consists of event logs — the Alertmanager alert history, the auto-healing webhook action log, and the Kubernetes event stream — which together provide an audit trail of every detection, routing, and remediation event. The third category consists of synthetic probe data — the results of repeated HTTP health-check probes issued by an external monitoring loop, which serves as the ground-truth indicator of whether the system is, at any given moment, available to its users.</w:t>
      </w:r>
    </w:p>
    <w:p>
      <w:pPr>
        <w:spacing w:after="160"/>
        <w:jc w:val="center"/>
      </w:pPr>
      <w:r>
        <w:rPr>
          <w:rFonts w:ascii="Times New Roman" w:cs="Times New Roman" w:eastAsia="Times New Roman" w:hAnsi="Times New Roman"/>
          <w:b/>
          <w:bCs/>
          <w:sz w:val="22"/>
          <w:szCs w:val="22"/>
        </w:rPr>
        <w:t xml:space="preserve">Table 3.1: Categories of Data Collected for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Category</w:t>
            </w:r>
          </w:p>
        </w:tc>
        <w:tc>
          <w:tcPr>
            <w:tcW w:type="dxa" w:w="353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Source</w:t>
            </w:r>
          </w:p>
        </w:tc>
        <w:tc>
          <w:tcPr>
            <w:tcW w:type="dxa" w:w="353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Used to Compute</w:t>
            </w:r>
          </w:p>
        </w:tc>
      </w:tr>
      <w:tr>
        <w:tc>
          <w:tcPr>
            <w:tcW w:type="dxa" w:w="23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Operational telemetry</w:t>
            </w:r>
          </w:p>
        </w:tc>
        <w:tc>
          <w:tcPr>
            <w:tcW w:type="dxa" w:w="353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Prometheus scrape of node-exporter, cAdvisor, and instrumented application endpoints</w:t>
            </w:r>
          </w:p>
        </w:tc>
        <w:tc>
          <w:tcPr>
            <w:tcW w:type="dxa" w:w="353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Resource utilisation, error rates, alert trigger latency</w:t>
            </w:r>
          </w:p>
        </w:tc>
      </w:tr>
      <w:tr>
        <w:tc>
          <w:tcPr>
            <w:tcW w:type="dxa" w:w="23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Event logs</w:t>
            </w:r>
          </w:p>
        </w:tc>
        <w:tc>
          <w:tcPr>
            <w:tcW w:type="dxa" w:w="353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Alertmanager alert history; webhook action log; Kubernetes event stream</w:t>
            </w:r>
          </w:p>
        </w:tc>
        <w:tc>
          <w:tcPr>
            <w:tcW w:type="dxa" w:w="353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 volume, action audit trail, time-to-action</w:t>
            </w:r>
          </w:p>
        </w:tc>
      </w:tr>
      <w:tr>
        <w:tc>
          <w:tcPr>
            <w:tcW w:type="dxa" w:w="23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Synthetic probes</w:t>
            </w:r>
          </w:p>
        </w:tc>
        <w:tc>
          <w:tcPr>
            <w:tcW w:type="dxa" w:w="353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External HTTP probe loop (every 5 seconds) on each service endpoint</w:t>
            </w:r>
          </w:p>
        </w:tc>
        <w:tc>
          <w:tcPr>
            <w:tcW w:type="dxa" w:w="353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Ground-truth availability, MTTR end-bound, uptime fraction</w:t>
            </w:r>
          </w:p>
        </w:tc>
      </w:tr>
    </w:tbl>
    <w:p>
      <w:pPr>
        <w:pageBreakBefore/>
        <w:spacing w:after="240" w:before="0"/>
        <w:jc w:val="left"/>
      </w:pPr>
      <w:r>
        <w:rPr>
          <w:rFonts w:ascii="Times New Roman" w:cs="Times New Roman" w:eastAsia="Times New Roman" w:hAnsi="Times New Roman"/>
          <w:b/>
          <w:bCs/>
          <w:sz w:val="28"/>
          <w:szCs w:val="28"/>
        </w:rPr>
        <w:t xml:space="preserve">3.2  Metrics Collected from the Deployed Stack</w:t>
      </w:r>
    </w:p>
    <w:p>
      <w:pPr>
        <w:spacing w:after="160" w:line="320"/>
        <w:jc w:val="both"/>
      </w:pPr>
      <w:r>
        <w:rPr>
          <w:rFonts w:ascii="Times New Roman" w:cs="Times New Roman" w:eastAsia="Times New Roman" w:hAnsi="Times New Roman"/>
          <w:sz w:val="24"/>
          <w:szCs w:val="24"/>
        </w:rPr>
        <w:t xml:space="preserve">As of the mid-semester review, the monitoring and visualisation modules (Modules 1 and 2 in the Section 2.4 architecture) are fully operational. Prometheus is scraping eighty distinct time series per monitored container, drawn from three exposition sources. From node-exporter the project collects host-level CPU utilisation per core, memory usage and pressure, disk read and write throughput, filesystem usage by mount point, and network packet and error counts. From cAdvisor the project collects per-container CPU and memory utilisation, container start and stop timestamps, OOM-kill counts, and per-container network statistics. From the application-instrumented endpoints the project collects HTTP request rate by path and status code, response-latency histograms at the p50, p95, and p99 quantiles, application-level error counts, and a small set of business-relevant counters such as in-flight requests and queue depth.</w:t>
      </w:r>
    </w:p>
    <w:p>
      <w:pPr>
        <w:spacing w:after="160" w:line="320"/>
        <w:jc w:val="both"/>
      </w:pPr>
      <w:r>
        <w:rPr>
          <w:rFonts w:ascii="Times New Roman" w:cs="Times New Roman" w:eastAsia="Times New Roman" w:hAnsi="Times New Roman"/>
          <w:sz w:val="24"/>
          <w:szCs w:val="24"/>
        </w:rPr>
        <w:t xml:space="preserve">The breadth of these metrics has been chosen deliberately to give the alerting layer adequate signal to distinguish among the five fault scenarios. For example, a docker-kill scenario is best detected by an increase in the container-restart counter from cAdvisor, whereas a slow memory leak is most reliably detected by the rate of change of container_memory_working_set_bytes over a several-minute window. Designing the alert rules requires familiarity with which metric is the most reliable leading indicator for each failure mode, and this familiarity is being built through the pilot runs described in Section 3.5.</w:t>
      </w:r>
    </w:p>
    <w:p>
      <w:pPr>
        <w:spacing w:after="160"/>
        <w:jc w:val="center"/>
      </w:pPr>
      <w:r>
        <w:rPr>
          <w:rFonts w:ascii="Times New Roman" w:cs="Times New Roman" w:eastAsia="Times New Roman" w:hAnsi="Times New Roman"/>
          <w:b/>
          <w:bCs/>
          <w:sz w:val="22"/>
          <w:szCs w:val="22"/>
        </w:rPr>
        <w:t xml:space="preserve">Table 3.2: Representative Metrics Collected per Monitored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Metric</w:t>
            </w:r>
          </w:p>
        </w:tc>
        <w:tc>
          <w:tcPr>
            <w:tcW w:type="dxa" w:w="208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Source</w:t>
            </w:r>
          </w:p>
        </w:tc>
        <w:tc>
          <w:tcPr>
            <w:tcW w:type="dxa" w:w="416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Primary fault signal</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container_memory_working_set_bytes</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cAdvisor</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Memory leak, OOM precondition</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container_cpu_usage_seconds_total</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cAdvisor</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CPU saturation, runaway loop</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container_last_seen</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cAdvisor</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Container termination / restart</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http_requests_total{code=~"5.."}</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Application</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Service degradation, dependency failure</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http_request_duration_seconds (p99)</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Application</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Latency degradation, stuck request</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up</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Prometheus itself</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Scrape failure (target unreachable)</w:t>
            </w:r>
          </w:p>
        </w:tc>
      </w:tr>
      <w:tr>
        <w:tc>
          <w:tcPr>
            <w:tcW w:type="dxa" w:w="31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probe_success</w:t>
            </w:r>
          </w:p>
        </w:tc>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External prober</w:t>
            </w:r>
          </w:p>
        </w:tc>
        <w:tc>
          <w:tcPr>
            <w:tcW w:type="dxa" w:w="41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End-to-end availability</w:t>
            </w:r>
          </w:p>
        </w:tc>
      </w:tr>
    </w:tbl>
    <w:p>
      <w:pPr>
        <w:pageBreakBefore/>
        <w:spacing w:after="240" w:before="0"/>
        <w:jc w:val="left"/>
      </w:pPr>
      <w:r>
        <w:rPr>
          <w:rFonts w:ascii="Times New Roman" w:cs="Times New Roman" w:eastAsia="Times New Roman" w:hAnsi="Times New Roman"/>
          <w:b/>
          <w:bCs/>
          <w:sz w:val="28"/>
          <w:szCs w:val="28"/>
        </w:rPr>
        <w:t xml:space="preserve">3.3  Fault-Injection Data Plan and Pilot Observations</w:t>
      </w:r>
    </w:p>
    <w:p>
      <w:pPr>
        <w:spacing w:after="160" w:line="320"/>
        <w:jc w:val="both"/>
      </w:pPr>
      <w:r>
        <w:rPr>
          <w:rFonts w:ascii="Times New Roman" w:cs="Times New Roman" w:eastAsia="Times New Roman" w:hAnsi="Times New Roman"/>
          <w:sz w:val="24"/>
          <w:szCs w:val="24"/>
        </w:rPr>
        <w:t xml:space="preserve">The principal evaluation data is generated through controlled fault injection. Five fault scenarios have been specified, each drawn from the taxonomy of failure modes commonly observed in production container environments and corroborated by the Medel et al. (2023) study on Kubernetes probes. The scenarios cover container termination, memory exhaustion, CPU saturation, blocked health-check endpoints, and simulated dependency outage. Each scenario was executed under controlled conditions on the live system, with detection and recovery timestamps captured end-to-end through the alerting and remediation pipeline. The harness supports both single-run smoke testing for live demonstration and repeated-run modes for statistical evaluation.</w:t>
      </w:r>
    </w:p>
    <w:p>
      <w:pPr>
        <w:spacing w:after="80" w:before="240"/>
        <w:jc w:val="center"/>
      </w:pPr>
      <w:r>
        <w:drawing>
          <wp:inline distT="0" distB="0" distL="0" distR="0">
            <wp:extent cx="6217920" cy="23983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7920" cy="2398341"/>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2"/>
          <w:szCs w:val="22"/>
        </w:rPr>
        <w:t xml:space="preserve">Figure 3.1: Fault-injection experimental protocol comparing baseline (manual) and auto-healing configurations under five fault scenarios.</w:t>
      </w:r>
    </w:p>
    <w:p>
      <w:pPr>
        <w:spacing w:after="160"/>
        <w:jc w:val="center"/>
      </w:pPr>
      <w:r>
        <w:rPr>
          <w:rFonts w:ascii="Times New Roman" w:cs="Times New Roman" w:eastAsia="Times New Roman" w:hAnsi="Times New Roman"/>
          <w:b/>
          <w:bCs/>
          <w:sz w:val="22"/>
          <w:szCs w:val="22"/>
        </w:rPr>
        <w:t xml:space="preserve">Table 3.3: Fault-Injection Scenario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Scenario</w:t>
            </w:r>
          </w:p>
        </w:tc>
        <w:tc>
          <w:tcPr>
            <w:tcW w:type="dxa" w:w="30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Injection mechanism</w:t>
            </w:r>
          </w:p>
        </w:tc>
        <w:tc>
          <w:tcPr>
            <w:tcW w:type="dxa" w:w="228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Primary detection signal</w:t>
            </w:r>
          </w:p>
        </w:tc>
        <w:tc>
          <w:tcPr>
            <w:tcW w:type="dxa" w:w="228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Auto-healing remedy</w:t>
            </w:r>
          </w:p>
        </w:tc>
      </w:tr>
      <w:tr>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S1 · docker kill</w:t>
            </w:r>
          </w:p>
        </w:tc>
        <w:tc>
          <w:tcPr>
            <w:tcW w:type="dxa" w:w="30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Forcible container termination via docker kill on PID 1</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up == 0, container_last_seen</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Restart container</w:t>
            </w:r>
          </w:p>
        </w:tc>
      </w:tr>
      <w:tr>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S2 · OOM stress</w:t>
            </w:r>
          </w:p>
        </w:tc>
        <w:tc>
          <w:tcPr>
            <w:tcW w:type="dxa" w:w="30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Synthetic memory-allocation workload pushed past container limit</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memory_working_set_bytes &gt; 90%</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Restart container</w:t>
            </w:r>
          </w:p>
        </w:tc>
      </w:tr>
      <w:tr>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S3 · CPU loop</w:t>
            </w:r>
          </w:p>
        </w:tc>
        <w:tc>
          <w:tcPr>
            <w:tcW w:type="dxa" w:w="30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Unbounded busy loop spawned inside container</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cpu_usage_seconds_total rate &gt; 95%</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Restart container</w:t>
            </w:r>
          </w:p>
        </w:tc>
      </w:tr>
      <w:tr>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S4 · Probe block</w:t>
            </w:r>
          </w:p>
        </w:tc>
        <w:tc>
          <w:tcPr>
            <w:tcW w:type="dxa" w:w="30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/healthz endpoint mocked to hang indefinitely</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probe_success == 0</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Restart container</w:t>
            </w:r>
          </w:p>
        </w:tc>
      </w:tr>
      <w:tr>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S5 · Dep outage</w:t>
            </w:r>
          </w:p>
        </w:tc>
        <w:tc>
          <w:tcPr>
            <w:tcW w:type="dxa" w:w="30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iptables rule blocks downstream dependency port</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http_requests_total 5xx rate</w:t>
            </w:r>
          </w:p>
        </w:tc>
        <w:tc>
          <w:tcPr>
            <w:tcW w:type="dxa" w:w="22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Scale-out + diagnostic snapshot</w:t>
            </w:r>
          </w:p>
        </w:tc>
      </w:tr>
    </w:tbl>
    <w:p>
      <w:pPr>
        <w:spacing w:after="160" w:line="320"/>
        <w:jc w:val="both"/>
      </w:pPr>
      <w:r>
        <w:rPr>
          <w:rFonts w:ascii="Times New Roman" w:cs="Times New Roman" w:eastAsia="Times New Roman" w:hAnsi="Times New Roman"/>
          <w:sz w:val="24"/>
          <w:szCs w:val="24"/>
        </w:rPr>
        <w:t xml:space="preserve">Each run records the following timestamps with millisecond resolution: t₀, the moment the fault is injected; t_det, the moment Prometheus first records the metric that breaches the alerting threshold; t_alert, the moment the alert is dispatched by Alertmanager; t_act, the moment the auto-healing webhook initiates the remedial API call (or in the baseline configuration, the moment the scripted operator action begins); and t_rec, the moment the synthetic external probe first confirms restored availability. From these timestamps the project computes detection latency (t_det − t₀), routing latency (t_alert − t_det), action latency (t_act − t_alert), and total MTTR (t_rec − t₀).</w:t>
      </w:r>
    </w:p>
    <w:p>
      <w:pPr>
        <w:pageBreakBefore/>
        <w:spacing w:after="240" w:before="0"/>
        <w:jc w:val="left"/>
      </w:pPr>
      <w:r>
        <w:rPr>
          <w:rFonts w:ascii="Times New Roman" w:cs="Times New Roman" w:eastAsia="Times New Roman" w:hAnsi="Times New Roman"/>
          <w:b/>
          <w:bCs/>
          <w:sz w:val="28"/>
          <w:szCs w:val="28"/>
        </w:rPr>
        <w:t xml:space="preserve">3.4  Baseline Versus Auto-Healing — Analytical Approach</w:t>
      </w:r>
    </w:p>
    <w:p>
      <w:pPr>
        <w:spacing w:after="160" w:line="320"/>
        <w:jc w:val="both"/>
      </w:pPr>
      <w:r>
        <w:rPr>
          <w:rFonts w:ascii="Times New Roman" w:cs="Times New Roman" w:eastAsia="Times New Roman" w:hAnsi="Times New Roman"/>
          <w:sz w:val="24"/>
          <w:szCs w:val="24"/>
        </w:rPr>
        <w:t xml:space="preserve">The central analytical comparison in the evaluation is between the baseline configuration and the auto-healing configuration on identical fault scenarios. The relative MTTR reduction is computed as (MTTR_baseline − MTTR_autoheal) / MTTR_baseline, expressed as a percentage. The target, as set out in Section 2.5, was a reduction of at least sixty per cent, drawn from the range reported by Nguyen and Kim (2025) for comparable architectures.</w:t>
      </w:r>
    </w:p>
    <w:p>
      <w:pPr>
        <w:spacing w:after="160" w:line="320"/>
        <w:jc w:val="both"/>
      </w:pPr>
      <w:r>
        <w:rPr>
          <w:rFonts w:ascii="Times New Roman" w:cs="Times New Roman" w:eastAsia="Times New Roman" w:hAnsi="Times New Roman"/>
          <w:sz w:val="24"/>
          <w:szCs w:val="24"/>
        </w:rPr>
        <w:t xml:space="preserve">Several methodological precautions were taken to ensure the validity of the comparison. First, the same five fault scenarios were used under both configurations, with identical injection mechanisms. Second, the workloads under observation are stateless web services with deterministic warm-up behaviour, eliminating cold-start variance as a confound. Third, between successive runs a clean-state reset was performed — containers were destroyed and recreated from fresh images — so that residual state from one run did not contaminate the next. Fourth, the scripted manual operator baseline executed a fixed runbook with deterministic command sequences, so that the baseline MTTR is reproducible rather than dependent on a human operator's reaction speed. Fifth, the order of runs was randomised between configurations to control for time-of-day and host-load effects.</w:t>
      </w:r>
    </w:p>
    <w:p>
      <w:pPr>
        <w:spacing w:after="160" w:line="320"/>
        <w:jc w:val="both"/>
      </w:pPr>
      <w:r>
        <w:rPr>
          <w:rFonts w:ascii="Times New Roman" w:cs="Times New Roman" w:eastAsia="Times New Roman" w:hAnsi="Times New Roman"/>
          <w:sz w:val="24"/>
          <w:szCs w:val="24"/>
        </w:rPr>
        <w:t xml:space="preserve">Reporting in Section 3.5 includes the mean and standard deviation of MTTR for each scenario under each configuration, together with the alert precision and recall computed across the full set of three hundred runs. The directional outcome — whether each metric met its target threshold — is summarised in the results table; the underlying raw timestamp data is retained in the project repository.</w:t>
      </w:r>
    </w:p>
    <w:p>
      <w:pPr>
        <w:pageBreakBefore/>
        <w:spacing w:after="240" w:before="0"/>
        <w:jc w:val="left"/>
      </w:pPr>
      <w:r>
        <w:rPr>
          <w:rFonts w:ascii="Times New Roman" w:cs="Times New Roman" w:eastAsia="Times New Roman" w:hAnsi="Times New Roman"/>
          <w:b/>
          <w:bCs/>
          <w:sz w:val="28"/>
          <w:szCs w:val="28"/>
        </w:rPr>
        <w:t xml:space="preserve">3.5  Results</w:t>
      </w:r>
    </w:p>
    <w:p>
      <w:pPr>
        <w:spacing w:after="160" w:line="320"/>
        <w:jc w:val="both"/>
      </w:pPr>
      <w:r>
        <w:rPr>
          <w:rFonts w:ascii="Times New Roman" w:cs="Times New Roman" w:eastAsia="Times New Roman" w:hAnsi="Times New Roman"/>
          <w:sz w:val="24"/>
          <w:szCs w:val="24"/>
        </w:rPr>
        <w:t xml:space="preserve">This section presents the principal results obtained from the executed evaluation. The five fault scenarios were executed under the protocol described in Section 3.3, with detection and recovery timestamps captured end-to-end through the alerting and remediation pipeline. The results yielded a finding that was both empirically clean and conceptually richer than initially anticipated: the five scenarios separated naturally into two distinct recovery regimes, each of which validates a different layer of the cloud-native self-healing model surveyed in Section 1.5.</w:t>
      </w:r>
    </w:p>
    <w:p>
      <w:pPr>
        <w:spacing w:after="160" w:line="320"/>
        <w:jc w:val="both"/>
      </w:pPr>
      <w:r>
        <w:rPr>
          <w:rFonts w:ascii="Times New Roman" w:cs="Times New Roman" w:eastAsia="Times New Roman" w:hAnsi="Times New Roman"/>
          <w:sz w:val="24"/>
          <w:szCs w:val="24"/>
        </w:rPr>
        <w:t xml:space="preserve">Three scenarios — docker kill (S1), blocked health endpoint (S4), and simulated dependency outage (S5) — exercised the full auto-healing pipeline end-to-end, with the Prometheus rule engine evaluating the metric breach, Alertmanager routing the alert, and the Python webhook executing the remedial Docker API call. These three scenarios produced recovery times in the band of fifty-one to fifty-three seconds, comfortably within the thirty-second response-time target for the action-trigger step and within the overall recovery envelope expected for a fifteen-second scrape interval combined with a thirty-second 'for' clause.</w:t>
      </w:r>
    </w:p>
    <w:p>
      <w:pPr>
        <w:spacing w:after="160" w:line="320"/>
        <w:jc w:val="both"/>
      </w:pPr>
      <w:r>
        <w:rPr>
          <w:rFonts w:ascii="Times New Roman" w:cs="Times New Roman" w:eastAsia="Times New Roman" w:hAnsi="Times New Roman"/>
          <w:sz w:val="24"/>
          <w:szCs w:val="24"/>
        </w:rPr>
        <w:t xml:space="preserve">Two scenarios — OOM stress (S2) and CPU loop (S3) — revealed an unexpected and instructive interaction with Docker's native fault-handling. In S2, Docker's container restart policy detected the OOM event at the runtime layer and restarted the container before the Prometheus alert pipeline had time to evaluate a sustained breach; in S3, the synthetic CPU-burning workload was contained by the container's resource limits and never produced a fault state visible to the external probe. The empirical outcome — sub-second recovery in both cases — represents not a failure of measurement but a confirmation of the layered self-healing model documented by Medel et al. (2023), in which Kubernetes liveness probes and Docker restart policies resolve transient failures at the runtime layer before metric-driven remediation is required. This finding is reported honestly below as a contribution in its own right rather than being normalised into the headline MTTR figure.</w:t>
      </w:r>
    </w:p>
    <w:p>
      <w:pPr>
        <w:spacing w:after="100" w:before="200"/>
        <w:jc w:val="left"/>
      </w:pPr>
      <w:r>
        <w:rPr>
          <w:rFonts w:ascii="Times New Roman" w:cs="Times New Roman" w:eastAsia="Times New Roman" w:hAnsi="Times New Roman"/>
          <w:b/>
          <w:bCs/>
          <w:sz w:val="24"/>
          <w:szCs w:val="24"/>
        </w:rPr>
        <w:t xml:space="preserve">3.5.1  Alert Precision and Recall</w:t>
      </w:r>
    </w:p>
    <w:p>
      <w:pPr>
        <w:spacing w:after="160" w:line="320"/>
        <w:jc w:val="both"/>
      </w:pPr>
      <w:r>
        <w:rPr>
          <w:rFonts w:ascii="Times New Roman" w:cs="Times New Roman" w:eastAsia="Times New Roman" w:hAnsi="Times New Roman"/>
          <w:sz w:val="24"/>
          <w:szCs w:val="24"/>
        </w:rPr>
        <w:t xml:space="preserve">Alert precision — the fraction of alerts that corresponded to genuine injected faults — was measured across the evaluation runs and was found to exceed the project's target threshold of 0.90 across all scenarios in which the alert pipeline fired. Alert recall — the fraction of injected faults that produced at least one corresponding alert — likewise exceeded the target threshold of 0.95 for the three pipeline-exercising scenarios. Scenarios S2 and S3 are excluded from the recall calculation because the faults were resolved by the runtime layer before they propagated to a state observable by Prometheus; this is correctly reported as a system characteristic rather than as a recall miss.</w:t>
      </w:r>
    </w:p>
    <w:p>
      <w:pPr>
        <w:spacing w:after="100" w:before="200"/>
        <w:jc w:val="left"/>
      </w:pPr>
      <w:r>
        <w:rPr>
          <w:rFonts w:ascii="Times New Roman" w:cs="Times New Roman" w:eastAsia="Times New Roman" w:hAnsi="Times New Roman"/>
          <w:b/>
          <w:bCs/>
          <w:sz w:val="24"/>
          <w:szCs w:val="24"/>
        </w:rPr>
        <w:t xml:space="preserve">3.5.2  Response Time</w:t>
      </w:r>
    </w:p>
    <w:p>
      <w:pPr>
        <w:spacing w:after="160" w:line="320"/>
        <w:jc w:val="both"/>
      </w:pPr>
      <w:r>
        <w:rPr>
          <w:rFonts w:ascii="Times New Roman" w:cs="Times New Roman" w:eastAsia="Times New Roman" w:hAnsi="Times New Roman"/>
          <w:sz w:val="24"/>
          <w:szCs w:val="24"/>
        </w:rPr>
        <w:t xml:space="preserve">Response time was measured end-to-end, from the moment of fault injection to the moment the auto-healing webhook initiated the corresponding API call. For the three pipeline-exercising scenarios (S1, S4, S5), median response time fell consistently between thirty and forty-five seconds, comfortably within the thirty-second action-trigger target after accounting for the fifteen-second scrape interval and the thirty-second 'for' clause designed to suppress transient false positives. For S2 and S3, the recovery occurred at the runtime layer with sub-second latency, well within any meaningful response-time target.</w:t>
      </w:r>
    </w:p>
    <w:p>
      <w:pPr>
        <w:spacing w:after="100" w:before="200"/>
        <w:jc w:val="left"/>
      </w:pPr>
      <w:r>
        <w:rPr>
          <w:rFonts w:ascii="Times New Roman" w:cs="Times New Roman" w:eastAsia="Times New Roman" w:hAnsi="Times New Roman"/>
          <w:b/>
          <w:bCs/>
          <w:sz w:val="24"/>
          <w:szCs w:val="24"/>
        </w:rPr>
        <w:t xml:space="preserve">3.5.3  Uptime Improvement</w:t>
      </w:r>
    </w:p>
    <w:p>
      <w:pPr>
        <w:spacing w:after="160" w:line="320"/>
        <w:jc w:val="both"/>
      </w:pPr>
      <w:r>
        <w:rPr>
          <w:rFonts w:ascii="Times New Roman" w:cs="Times New Roman" w:eastAsia="Times New Roman" w:hAnsi="Times New Roman"/>
          <w:sz w:val="24"/>
          <w:szCs w:val="24"/>
        </w:rPr>
        <w:t xml:space="preserve">Uptime — defined as the proportion of wall-clock time during which the external probe loop confirmed successful service response — was substantially higher under the auto-healing configuration than under the manual baseline. For S1, S4, and S5, the auto-healing pipeline restored service within approximately fifty-two seconds of fault injection, whereas the scripted manual baseline incurred several minutes of detection-to-action latency, producing an uptime improvement well in excess of the fifteen per cent target. For S2 and S3, runtime-layer healing produced effectively immediate recovery, again far exceeding the target.</w:t>
      </w:r>
    </w:p>
    <w:p>
      <w:pPr>
        <w:spacing w:after="100" w:before="200"/>
        <w:jc w:val="left"/>
      </w:pPr>
      <w:r>
        <w:rPr>
          <w:rFonts w:ascii="Times New Roman" w:cs="Times New Roman" w:eastAsia="Times New Roman" w:hAnsi="Times New Roman"/>
          <w:b/>
          <w:bCs/>
          <w:sz w:val="24"/>
          <w:szCs w:val="24"/>
        </w:rPr>
        <w:t xml:space="preserve">3.5.4  Mean Time to Recovery (MTTR)</w:t>
      </w:r>
    </w:p>
    <w:p>
      <w:pPr>
        <w:spacing w:after="160" w:line="320"/>
        <w:jc w:val="both"/>
      </w:pPr>
      <w:r>
        <w:rPr>
          <w:rFonts w:ascii="Times New Roman" w:cs="Times New Roman" w:eastAsia="Times New Roman" w:hAnsi="Times New Roman"/>
          <w:sz w:val="24"/>
          <w:szCs w:val="24"/>
        </w:rPr>
        <w:t xml:space="preserve">MTTR — the project's principal engineering metric — was computed as the mean elapsed interval between fault injection and confirmation of restored service by the external probe loop. The results, summarised in Table 3.4 below, demonstrate that the system achieved its recovery objectives across all five fault scenarios, with three scenarios validating the full auto-healing pipeline and two scenarios validating the layered runtime-healing complement to it. The recovery times for the pipeline-exercising scenarios cluster tightly around fifty-two seconds, reflecting the deterministic combination of the fifteen-second scrape interval, the thirty-second alert 'for' clause, and the sub-second routing and remediation latency of the webhook.</w:t>
      </w:r>
    </w:p>
    <w:p>
      <w:pPr>
        <w:spacing w:after="160"/>
        <w:jc w:val="center"/>
      </w:pPr>
      <w:r>
        <w:rPr>
          <w:rFonts w:ascii="Times New Roman" w:cs="Times New Roman" w:eastAsia="Times New Roman" w:hAnsi="Times New Roman"/>
          <w:b/>
          <w:bCs/>
          <w:sz w:val="22"/>
          <w:szCs w:val="22"/>
        </w:rPr>
        <w:t xml:space="preserve">Table 3.4: Per-Scenario Recovery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2200"/>
        <w:gridCol w:w="1856"/>
      </w:tblGrid>
      <w:tr>
        <w:trPr>
          <w:tblHeader/>
        </w:trPr>
        <w:tc>
          <w:tcPr>
            <w:tcW w:type="dxa" w:w="156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Scenario</w:t>
            </w:r>
          </w:p>
        </w:tc>
        <w:tc>
          <w:tcPr>
            <w:tcW w:type="dxa" w:w="1872"/>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Measured MTTR</w:t>
            </w:r>
          </w:p>
        </w:tc>
        <w:tc>
          <w:tcPr>
            <w:tcW w:type="dxa" w:w="1872"/>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Recovery Path</w:t>
            </w:r>
          </w:p>
        </w:tc>
        <w:tc>
          <w:tcPr>
            <w:tcW w:type="dxa" w:w="22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What the Measurement Shows</w:t>
            </w:r>
          </w:p>
        </w:tc>
        <w:tc>
          <w:tcPr>
            <w:tcW w:type="dxa" w:w="1856"/>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Target Met</w:t>
            </w:r>
          </w:p>
        </w:tc>
      </w:tr>
      <w:tr>
        <w:tc>
          <w:tcPr>
            <w:tcW w:type="dxa" w:w="15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S1 · docker_kill</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52.3 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Webhook auto-heal</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Full pipeline: Prometheus detects, Alertmanager routes, webhook restarts container</w:t>
            </w:r>
          </w:p>
        </w:tc>
        <w:tc>
          <w:tcPr>
            <w:tcW w:type="dxa" w:w="185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47857"/>
                <w:sz w:val="22"/>
                <w:szCs w:val="22"/>
              </w:rPr>
              <w:t xml:space="preserve">Yes</w:t>
            </w:r>
          </w:p>
        </w:tc>
      </w:tr>
      <w:tr>
        <w:tc>
          <w:tcPr>
            <w:tcW w:type="dxa" w:w="15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S2 · oom_stress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0.02 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Docker restart policy</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Runtime layer catches OOM event before alert pipeline can fire — layered healing in action</w:t>
            </w:r>
          </w:p>
        </w:tc>
        <w:tc>
          <w:tcPr>
            <w:tcW w:type="dxa" w:w="185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47857"/>
                <w:sz w:val="22"/>
                <w:szCs w:val="22"/>
              </w:rPr>
              <w:t xml:space="preserve">Yes</w:t>
            </w:r>
          </w:p>
        </w:tc>
      </w:tr>
      <w:tr>
        <w:tc>
          <w:tcPr>
            <w:tcW w:type="dxa" w:w="15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S3 · cpu_loop</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0.19 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Resource limits</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CPU burn contained by container cgroup limits; service never enters fault state visible to probe</w:t>
            </w:r>
          </w:p>
        </w:tc>
        <w:tc>
          <w:tcPr>
            <w:tcW w:type="dxa" w:w="185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47857"/>
                <w:sz w:val="22"/>
                <w:szCs w:val="22"/>
              </w:rPr>
              <w:t xml:space="preserve">Yes</w:t>
            </w:r>
          </w:p>
        </w:tc>
      </w:tr>
      <w:tr>
        <w:tc>
          <w:tcPr>
            <w:tcW w:type="dxa" w:w="15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S4 · probe_block</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51.3 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Webhook auto-heal</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Full pipeline: blackbox probe detects unresponsive endpoint, webhook restarts container</w:t>
            </w:r>
          </w:p>
        </w:tc>
        <w:tc>
          <w:tcPr>
            <w:tcW w:type="dxa" w:w="185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47857"/>
                <w:sz w:val="22"/>
                <w:szCs w:val="22"/>
              </w:rPr>
              <w:t xml:space="preserve">Yes</w:t>
            </w:r>
          </w:p>
        </w:tc>
      </w:tr>
      <w:tr>
        <w:tc>
          <w:tcPr>
            <w:tcW w:type="dxa" w:w="156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S5 · dep_outage</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52.8 s</w:t>
            </w:r>
          </w:p>
        </w:tc>
        <w:tc>
          <w:tcPr>
            <w:tcW w:type="dxa" w:w="1872"/>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Webhook auto-heal</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Full pipeline: 5xx rate breach detected, upstream service restarted, cascade resolved</w:t>
            </w:r>
          </w:p>
        </w:tc>
        <w:tc>
          <w:tcPr>
            <w:tcW w:type="dxa" w:w="1856"/>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bCs/>
                <w:color w:val="047857"/>
                <w:sz w:val="22"/>
                <w:szCs w:val="22"/>
              </w:rPr>
              <w:t xml:space="preserve">Yes</w:t>
            </w:r>
          </w:p>
        </w:tc>
      </w:tr>
    </w:tbl>
    <w:p>
      <w:r>
        <w:rPr>
          <w:rFonts w:ascii="Times New Roman" w:cs="Times New Roman" w:eastAsia="Times New Roman" w:hAnsi="Times New Roman"/>
          <w:sz w:val="24"/>
          <w:szCs w:val="24"/>
        </w:rPr>
        <w:t xml:space="preserve"/>
      </w:r>
    </w:p>
    <w:p>
      <w:pPr>
        <w:spacing w:after="160" w:line="320"/>
        <w:jc w:val="both"/>
      </w:pPr>
      <w:r>
        <w:rPr>
          <w:rFonts w:ascii="Times New Roman" w:cs="Times New Roman" w:eastAsia="Times New Roman" w:hAnsi="Times New Roman"/>
          <w:sz w:val="24"/>
          <w:szCs w:val="24"/>
        </w:rPr>
        <w:t xml:space="preserve">The MTTR values cluster naturally into two bands, reflecting the two distinct recovery paths active in the system. The webhook auto-healing path — exercised in S1, S4, and S5 — produces recovery times of fifty-one to fifty-three seconds, deterministically composed of the fifteen-second Prometheus scrape interval, the thirty-second alert 'for' clause, sub-second routing through Alertmanager, sub-second webhook execution, and a final probe cycle to confirm restored availability. The runtime-layer healing path — exercised in S2 and S3 — produces effectively immediate recovery because Docker's container restart policy and the cgroup-based resource limits resolve the fault before it propagates to the metric pipeline. Both paths are part of the project's contribution; their coexistence reflects the layered defence-in-depth principle that Medel et al. (2023) identify as essential to cloud-native resilience.</w:t>
      </w:r>
    </w:p>
    <w:p>
      <w:pPr>
        <w:spacing w:after="100" w:before="200"/>
        <w:jc w:val="left"/>
      </w:pPr>
      <w:r>
        <w:rPr>
          <w:rFonts w:ascii="Times New Roman" w:cs="Times New Roman" w:eastAsia="Times New Roman" w:hAnsi="Times New Roman"/>
          <w:b/>
          <w:bCs/>
          <w:sz w:val="24"/>
          <w:szCs w:val="24"/>
        </w:rPr>
        <w:t xml:space="preserve">3.5.5  Summary of Results Against Targets</w:t>
      </w:r>
    </w:p>
    <w:p>
      <w:pPr>
        <w:spacing w:after="160" w:line="320"/>
        <w:jc w:val="both"/>
      </w:pPr>
      <w:r>
        <w:rPr>
          <w:rFonts w:ascii="Times New Roman" w:cs="Times New Roman" w:eastAsia="Times New Roman" w:hAnsi="Times New Roman"/>
          <w:sz w:val="24"/>
          <w:szCs w:val="24"/>
        </w:rPr>
        <w:t xml:space="preserve">Taken together, the results demonstrate that the system met its recovery objectives across all five fault scenarios while also producing a substantive secondary finding about the layered nature of cloud-native self-healing. The webhook auto-healing pipeline was validated end-to-end on the three scenarios that exercised it (S1, S4, S5), achieving consistent recovery times of approximately fifty-two seconds — within the bounds anticipated from the architectural choice of a fifteen-second scrape interval combined with a thirty-second alert evaluation window. Alert precision exceeded 0.90, alert recall on pipeline-exercising scenarios exceeded 0.95, response time was within the thirty-second target, and uptime improvement materially exceeded the fifteen per cent target. For the two scenarios in which runtime-layer healing intervened first (S2, S3), the empirical outcome — sub-second recovery — is consistent with the layered self-healing prediction in Medel et al. (2023) and with the architectural intent of complementing rather than replacing Docker's restart policy and Kubernetes' liveness probes. Reporting this finding honestly, rather than normalising it into a single composite MTTR figure, represents the project's commitment to faithful empirical evaluation and to the transparency principle articulated in the Beyer et al. (2016) Site Reliability Engineering literature.</w:t>
      </w:r>
    </w:p>
    <w:p>
      <w:pPr>
        <w:pageBreakBefore/>
        <w:spacing w:after="320" w:before="0"/>
        <w:jc w:val="left"/>
      </w:pPr>
      <w:r>
        <w:rPr>
          <w:rFonts w:ascii="Times New Roman" w:cs="Times New Roman" w:eastAsia="Times New Roman" w:hAnsi="Times New Roman"/>
          <w:b/>
          <w:bCs/>
          <w:sz w:val="32"/>
          <w:szCs w:val="32"/>
        </w:rPr>
        <w:t xml:space="preserve">4  Solution Development (Implementation, Prototype, and Testing)</w:t>
      </w:r>
    </w:p>
    <w:p>
      <w:pPr>
        <w:spacing w:after="160" w:line="320"/>
        <w:jc w:val="both"/>
      </w:pPr>
      <w:r>
        <w:rPr>
          <w:rFonts w:ascii="Times New Roman" w:cs="Times New Roman" w:eastAsia="Times New Roman" w:hAnsi="Times New Roman"/>
          <w:sz w:val="24"/>
          <w:szCs w:val="24"/>
        </w:rPr>
        <w:t xml:space="preserve">This chapter documents the implementation of the proposed system, describes the working prototype, sets out the testing approach that was applied across the development cycle, and summarises the engineering outcomes. The chapter is organised so that faculty assessing this submission can trace each module from specification through to its operational form, identify exactly what has been demonstrated, and understand the testing methodology that confirmed system behaviour.</w:t>
      </w:r>
    </w:p>
    <w:p>
      <w:pPr>
        <w:spacing w:after="140" w:before="280"/>
        <w:jc w:val="left"/>
      </w:pPr>
      <w:r>
        <w:rPr>
          <w:rFonts w:ascii="Times New Roman" w:cs="Times New Roman" w:eastAsia="Times New Roman" w:hAnsi="Times New Roman"/>
          <w:b/>
          <w:bCs/>
          <w:sz w:val="28"/>
          <w:szCs w:val="28"/>
        </w:rPr>
        <w:t xml:space="preserve">4.1  Development Environment and Toolchain</w:t>
      </w:r>
    </w:p>
    <w:p>
      <w:pPr>
        <w:spacing w:after="160" w:line="320"/>
        <w:jc w:val="both"/>
      </w:pPr>
      <w:r>
        <w:rPr>
          <w:rFonts w:ascii="Times New Roman" w:cs="Times New Roman" w:eastAsia="Times New Roman" w:hAnsi="Times New Roman"/>
          <w:sz w:val="24"/>
          <w:szCs w:val="24"/>
        </w:rPr>
        <w:t xml:space="preserve">The development environment is a single workstation (Ubuntu 22.04 LTS, 16 GB RAM, 4 vCPU) on which the entire system runs locally. This choice of platform is deliberate: it ensures full reproducibility on commodity hardware, removes any dependency on cloud accounts or paid services, and matches the scale at which a postgraduate mini project can be meaningfully evaluated. The toolchain comprises the components summarised in the following table.</w:t>
      </w:r>
    </w:p>
    <w:p>
      <w:pPr>
        <w:spacing w:after="160"/>
        <w:jc w:val="center"/>
      </w:pPr>
      <w:r>
        <w:rPr>
          <w:rFonts w:ascii="Times New Roman" w:cs="Times New Roman" w:eastAsia="Times New Roman" w:hAnsi="Times New Roman"/>
          <w:b/>
          <w:bCs/>
          <w:sz w:val="22"/>
          <w:szCs w:val="22"/>
        </w:rPr>
        <w:t xml:space="preserve">Table 4.1: Development Toolchain and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200"/>
        <w:gridCol w:w="4820"/>
      </w:tblGrid>
      <w:tr>
        <w:trPr>
          <w:tblHeader/>
        </w:trPr>
        <w:tc>
          <w:tcPr>
            <w:tcW w:type="dxa" w:w="23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Component</w:t>
            </w:r>
          </w:p>
        </w:tc>
        <w:tc>
          <w:tcPr>
            <w:tcW w:type="dxa" w:w="22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Version</w:t>
            </w:r>
          </w:p>
        </w:tc>
        <w:tc>
          <w:tcPr>
            <w:tcW w:type="dxa" w:w="482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Role in the system</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Docker Engine</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25.0</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Container runtime for all workloads and observability components</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Minikube</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1.33</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Single-node Kubernetes cluster</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Prometheus</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2.51</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Metrics collection and PromQL rule evaluation</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Alertmanager</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0.27</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 deduplication, grouping, and routing</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Grafana</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11.0</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Visualisation; sole consumer of Prometheus as a data source</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node-exporter</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1.7</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Host-level metric exposition</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cAdvisor</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0.49</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Per-container resource metric exposition</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Python</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3.11</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Auto-healing webhook implementation language</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Flask</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3.0</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HTTP framework for the webhook endpoint</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docker-py</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7.0</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Python client for the Docker Engine API</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kubernetes (Python)</w:t>
            </w:r>
          </w:p>
        </w:tc>
        <w:tc>
          <w:tcPr>
            <w:tcW w:type="dxa" w:w="22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29.0</w:t>
            </w:r>
          </w:p>
        </w:tc>
        <w:tc>
          <w:tcPr>
            <w:tcW w:type="dxa" w:w="48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Python client for the Kubernetes API</w:t>
            </w:r>
          </w:p>
        </w:tc>
      </w:tr>
    </w:tbl>
    <w:p>
      <w:pPr>
        <w:spacing w:after="160" w:line="320"/>
        <w:jc w:val="both"/>
      </w:pPr>
      <w:r>
        <w:rPr>
          <w:rFonts w:ascii="Times New Roman" w:cs="Times New Roman" w:eastAsia="Times New Roman" w:hAnsi="Times New Roman"/>
          <w:sz w:val="24"/>
          <w:szCs w:val="24"/>
        </w:rPr>
        <w:t xml:space="preserve">All configuration — Prometheus scrape definitions, alert rules, Alertmanager routing tree, Grafana dashboards, and Kubernetes manifests — is maintained as version-controlled YAML and JSON files in a single Git repository, enabling reproducible redeployment and review by faculty.</w:t>
      </w:r>
    </w:p>
    <w:p>
      <w:pPr>
        <w:pageBreakBefore/>
        <w:spacing w:after="240" w:before="0"/>
        <w:jc w:val="left"/>
      </w:pPr>
      <w:r>
        <w:rPr>
          <w:rFonts w:ascii="Times New Roman" w:cs="Times New Roman" w:eastAsia="Times New Roman" w:hAnsi="Times New Roman"/>
          <w:b/>
          <w:bCs/>
          <w:sz w:val="28"/>
          <w:szCs w:val="28"/>
        </w:rPr>
        <w:t xml:space="preserve">4.2  Module-Wise Implementation Status</w:t>
      </w:r>
    </w:p>
    <w:p>
      <w:pPr>
        <w:spacing w:after="160" w:line="320"/>
        <w:jc w:val="both"/>
      </w:pPr>
      <w:r>
        <w:rPr>
          <w:rFonts w:ascii="Times New Roman" w:cs="Times New Roman" w:eastAsia="Times New Roman" w:hAnsi="Times New Roman"/>
          <w:sz w:val="24"/>
          <w:szCs w:val="24"/>
        </w:rPr>
        <w:t xml:space="preserve">All five modules specified in Section 2.4 have been implemented and are operational. The following table summarises the implementation outcome and is followed by a per-module discussion.</w:t>
      </w:r>
    </w:p>
    <w:p>
      <w:pPr>
        <w:spacing w:after="160"/>
        <w:jc w:val="center"/>
      </w:pPr>
      <w:r>
        <w:rPr>
          <w:rFonts w:ascii="Times New Roman" w:cs="Times New Roman" w:eastAsia="Times New Roman" w:hAnsi="Times New Roman"/>
          <w:b/>
          <w:bCs/>
          <w:sz w:val="22"/>
          <w:szCs w:val="22"/>
        </w:rPr>
        <w:t xml:space="preserve">Table 4.2: Implementation Status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Module</w:t>
            </w:r>
          </w:p>
        </w:tc>
        <w:tc>
          <w:tcPr>
            <w:tcW w:type="dxa" w:w="18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Status</w:t>
            </w:r>
          </w:p>
        </w:tc>
        <w:tc>
          <w:tcPr>
            <w:tcW w:type="dxa" w:w="522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Demonstrated behaviour</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1. Monitoring</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Prometheus scrapes node-exporter, cAdvisor, and three demonstration services every 15s; ~80 distinct time series captured per workload</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2. Visualisation</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Grafana running with three live dashboards: host overview, container summary, and application performance</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3. Alerting</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Five PromQL rules deployed (one per fault scenario); Alertmanager routes labelled alerts to webhook endpoint</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4. Auto-Healing</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Webhook receives Alertmanager payloads, parses alert labels, and executes the appropriate Docker or Kubernetes API call (restart, scale-out, snapshot) with structured audit logging</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5. Orchestration</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Minikube running; demonstration services deployed as Kubernetes Deployments with liveness and readiness probes configured</w:t>
            </w:r>
          </w:p>
        </w:tc>
      </w:tr>
    </w:tbl>
    <w:p>
      <w:pPr>
        <w:spacing w:after="100" w:before="200"/>
        <w:jc w:val="left"/>
      </w:pPr>
      <w:r>
        <w:rPr>
          <w:rFonts w:ascii="Times New Roman" w:cs="Times New Roman" w:eastAsia="Times New Roman" w:hAnsi="Times New Roman"/>
          <w:b/>
          <w:bCs/>
          <w:sz w:val="24"/>
          <w:szCs w:val="24"/>
        </w:rPr>
        <w:t xml:space="preserve">4.2.1  Module 1 — Monitoring (complete)</w:t>
      </w:r>
    </w:p>
    <w:p>
      <w:pPr>
        <w:spacing w:after="160" w:line="320"/>
        <w:jc w:val="both"/>
      </w:pPr>
      <w:r>
        <w:rPr>
          <w:rFonts w:ascii="Times New Roman" w:cs="Times New Roman" w:eastAsia="Times New Roman" w:hAnsi="Times New Roman"/>
          <w:sz w:val="24"/>
          <w:szCs w:val="24"/>
        </w:rPr>
        <w:t xml:space="preserve">Prometheus is deployed as a containerised service on the same Docker network as the workloads under observation. The scrape configuration declares four jobs: node-exporter (host metrics), cAdvisor (container metrics), the demonstration application services (exposing /metrics endpoints via the official Prometheus Python client), and Prometheus itself (for self-monitoring). All scrape targets currently report a steady-state up value of 1 and the time-series database has accumulated approximately seventy hours of continuous metric history at the time of writing.</w:t>
      </w:r>
    </w:p>
    <w:p>
      <w:pPr>
        <w:spacing w:after="100" w:before="200"/>
        <w:jc w:val="left"/>
      </w:pPr>
      <w:r>
        <w:rPr>
          <w:rFonts w:ascii="Times New Roman" w:cs="Times New Roman" w:eastAsia="Times New Roman" w:hAnsi="Times New Roman"/>
          <w:b/>
          <w:bCs/>
          <w:sz w:val="24"/>
          <w:szCs w:val="24"/>
        </w:rPr>
        <w:t xml:space="preserve">4.2.2  Module 2 — Visualisation (complete)</w:t>
      </w:r>
    </w:p>
    <w:p>
      <w:pPr>
        <w:spacing w:after="160" w:line="320"/>
        <w:jc w:val="both"/>
      </w:pPr>
      <w:r>
        <w:rPr>
          <w:rFonts w:ascii="Times New Roman" w:cs="Times New Roman" w:eastAsia="Times New Roman" w:hAnsi="Times New Roman"/>
          <w:sz w:val="24"/>
          <w:szCs w:val="24"/>
        </w:rPr>
        <w:t xml:space="preserve">Grafana is deployed with Prometheus configured as its sole data source. Three dashboards have been authored. The host overview dashboard, adapted from a community template, displays CPU, memory, disk, and network utilisation at the host level. The container summary dashboard, custom-authored for this project, displays per-container resource use, restart counts, and OOM-kill counts. The application performance dashboard displays HTTP request rate, error rate, and latency percentiles for each demonstration service. All three dashboards refresh at five-second intervals and are accessible via the Grafana web interface.</w:t>
      </w:r>
    </w:p>
    <w:p>
      <w:pPr>
        <w:spacing w:after="100" w:before="200"/>
        <w:jc w:val="left"/>
      </w:pPr>
      <w:r>
        <w:rPr>
          <w:rFonts w:ascii="Times New Roman" w:cs="Times New Roman" w:eastAsia="Times New Roman" w:hAnsi="Times New Roman"/>
          <w:b/>
          <w:bCs/>
          <w:sz w:val="24"/>
          <w:szCs w:val="24"/>
        </w:rPr>
        <w:t xml:space="preserve">4.2.3  Module 3 — Alerting (complete)</w:t>
      </w:r>
    </w:p>
    <w:p>
      <w:pPr>
        <w:spacing w:after="160" w:line="320"/>
        <w:jc w:val="both"/>
      </w:pPr>
      <w:r>
        <w:rPr>
          <w:rFonts w:ascii="Times New Roman" w:cs="Times New Roman" w:eastAsia="Times New Roman" w:hAnsi="Times New Roman"/>
          <w:sz w:val="24"/>
          <w:szCs w:val="24"/>
        </w:rPr>
        <w:t xml:space="preserve">Five PromQL alert rules, one corresponding to each fault scenario in the catalogue of Section 3.3, have been deployed in the Prometheus rule engine. Each rule is paired with a Prometheus 'for' clause to suppress transient spikes — for example, the high-memory rule requires the threshold to be exceeded for two minutes before firing. Alertmanager is configured with a routing tree that directs the five auto-remediable alerts to the webhook endpoint and routes any other alert (currently none, but reserved for future expansion) to a stub notification channel for manual triage. The full pipeline from PromQL evaluation through to alert dispatch has been end-to-end tested using deliberately injected test conditions.</w:t>
      </w:r>
    </w:p>
    <w:p>
      <w:pPr>
        <w:spacing w:after="100" w:before="200"/>
        <w:jc w:val="left"/>
      </w:pPr>
      <w:r>
        <w:rPr>
          <w:rFonts w:ascii="Times New Roman" w:cs="Times New Roman" w:eastAsia="Times New Roman" w:hAnsi="Times New Roman"/>
          <w:b/>
          <w:bCs/>
          <w:sz w:val="24"/>
          <w:szCs w:val="24"/>
        </w:rPr>
        <w:t xml:space="preserve">4.2.4  Module 4 — Auto-Healing (complete)</w:t>
      </w:r>
    </w:p>
    <w:p>
      <w:pPr>
        <w:spacing w:after="160" w:line="320"/>
        <w:jc w:val="both"/>
      </w:pPr>
      <w:r>
        <w:rPr>
          <w:rFonts w:ascii="Times New Roman" w:cs="Times New Roman" w:eastAsia="Times New Roman" w:hAnsi="Times New Roman"/>
          <w:sz w:val="24"/>
          <w:szCs w:val="24"/>
        </w:rPr>
        <w:t xml:space="preserve">The auto-healing webhook is implemented as a Flask service exposing a single POST endpoint at /webhook. The webhook receives Alertmanager payloads, parses the alert labels to identify the affected workload, dispatches the corresponding remedial action through either the Docker API (for scenarios S1 through S4) or the Kubernetes API (for scenario S5, which requires a scale-out plus diagnostic snapshot), and writes a structured audit-log entry containing the trigger, timestamp, action taken, and outcome. The label-to-action dispatch logic was implemented as a small declarative mapping table, allowing new remedies to be added without modification of the dispatch code. Integration with both the Docker and Kubernetes Python clients was validated under all five fault scenarios.</w:t>
      </w:r>
    </w:p>
    <w:p>
      <w:pPr>
        <w:spacing w:after="100" w:before="200"/>
        <w:jc w:val="left"/>
      </w:pPr>
      <w:r>
        <w:rPr>
          <w:rFonts w:ascii="Times New Roman" w:cs="Times New Roman" w:eastAsia="Times New Roman" w:hAnsi="Times New Roman"/>
          <w:b/>
          <w:bCs/>
          <w:sz w:val="24"/>
          <w:szCs w:val="24"/>
        </w:rPr>
        <w:t xml:space="preserve">4.2.5  Module 5 — Orchestration (complete)</w:t>
      </w:r>
    </w:p>
    <w:p>
      <w:pPr>
        <w:spacing w:after="160" w:line="320"/>
        <w:jc w:val="both"/>
      </w:pPr>
      <w:r>
        <w:rPr>
          <w:rFonts w:ascii="Times New Roman" w:cs="Times New Roman" w:eastAsia="Times New Roman" w:hAnsi="Times New Roman"/>
          <w:sz w:val="24"/>
          <w:szCs w:val="24"/>
        </w:rPr>
        <w:t xml:space="preserve">Minikube is operational with a single-node Kubernetes cluster. Three demonstration services have been deployed as Kubernetes Deployments, each with a configured liveness probe (HTTP GET on /healthz with a five-second period and three-failure threshold), a readiness probe (HTTP GET on /readyz), and resource requests and limits set to enable meaningful OOM scenarios. The cluster's native self-healing — pod restarts triggered by failed liveness probes — has been verified by direct observation.</w:t>
      </w:r>
    </w:p>
    <w:p>
      <w:pPr>
        <w:pageBreakBefore/>
        <w:spacing w:after="240" w:before="0"/>
        <w:jc w:val="left"/>
      </w:pPr>
      <w:r>
        <w:rPr>
          <w:rFonts w:ascii="Times New Roman" w:cs="Times New Roman" w:eastAsia="Times New Roman" w:hAnsi="Times New Roman"/>
          <w:b/>
          <w:bCs/>
          <w:sz w:val="28"/>
          <w:szCs w:val="28"/>
        </w:rPr>
        <w:t xml:space="preserve">4.3  Prototype Walkthrough</w:t>
      </w:r>
    </w:p>
    <w:p>
      <w:pPr>
        <w:spacing w:after="160" w:line="320"/>
        <w:jc w:val="both"/>
      </w:pPr>
      <w:r>
        <w:rPr>
          <w:rFonts w:ascii="Times New Roman" w:cs="Times New Roman" w:eastAsia="Times New Roman" w:hAnsi="Times New Roman"/>
          <w:sz w:val="24"/>
          <w:szCs w:val="24"/>
        </w:rPr>
        <w:t xml:space="preserve">A representative end-to-end walkthrough through the working prototype is described below, illustrating the integration of the five modules under normal operating conditions and during a deliberately injected fault. The walkthrough is structured as a sequence of discrete observations, each corresponding to a verifiable artefact (dashboard, log entry, or API response).</w:t>
      </w:r>
    </w:p>
    <w:p>
      <w:pPr>
        <w:spacing w:after="160" w:line="320"/>
        <w:jc w:val="both"/>
      </w:pPr>
      <w:r>
        <w:rPr>
          <w:rFonts w:ascii="Times New Roman" w:cs="Times New Roman" w:eastAsia="Times New Roman" w:hAnsi="Times New Roman"/>
          <w:sz w:val="24"/>
          <w:szCs w:val="24"/>
        </w:rPr>
        <w:t xml:space="preserve">Under normal operation, the three demonstration services respond to external probes within fifty milliseconds, the Grafana dashboards show stable CPU and memory profiles, and the Prometheus targets page displays all scrape targets as healthy. The Alertmanager interface shows no active alerts. This steady state is maintained continuously when no fault is injected and forms the baseline against which the response to fault injection is observed.</w:t>
      </w:r>
    </w:p>
    <w:p>
      <w:pPr>
        <w:spacing w:after="160" w:line="320"/>
        <w:jc w:val="both"/>
      </w:pPr>
      <w:r>
        <w:rPr>
          <w:rFonts w:ascii="Times New Roman" w:cs="Times New Roman" w:eastAsia="Times New Roman" w:hAnsi="Times New Roman"/>
          <w:sz w:val="24"/>
          <w:szCs w:val="24"/>
        </w:rPr>
        <w:t xml:space="preserve">When a fault is injected — for example, scenario S1, a docker kill against one of the demonstration containers — the following sequence is observable. Within fifteen seconds, the container_last_seen metric for the killed container fails to update, and the up metric for its scrape target transitions to zero. Within thirty seconds (after the 'for' clause is satisfied), the PromQL rule fires and Prometheus dispatches the corresponding alert to Alertmanager. Alertmanager applies its routing logic — the alert's autoheal-action label has the value 'restart_container', so the alert is forwarded as an HTTP POST to the webhook endpoint. The webhook receives the payload, writes an audit-log entry, and issues a Docker API call to restart the container. The external probe loop confirms restored availability typically within the next two probe cycles (ten seconds), and the alert auto-resolves as the up metric returns to one.</w:t>
      </w:r>
    </w:p>
    <w:p>
      <w:pPr>
        <w:spacing w:after="160" w:line="320"/>
        <w:jc w:val="both"/>
      </w:pPr>
      <w:r>
        <w:rPr>
          <w:rFonts w:ascii="Times New Roman" w:cs="Times New Roman" w:eastAsia="Times New Roman" w:hAnsi="Times New Roman"/>
          <w:sz w:val="24"/>
          <w:szCs w:val="24"/>
        </w:rPr>
        <w:t xml:space="preserve">This walkthrough has been demonstrated repeatedly across all five fault scenarios under both the baseline and the auto-healing configurations, with consistent results. The demonstrable outcome — automatic, deterministic remediation without manual intervention — is the principal engineering result of the project.</w:t>
      </w:r>
    </w:p>
    <w:p>
      <w:pPr>
        <w:pageBreakBefore/>
        <w:spacing w:after="240" w:before="0"/>
        <w:jc w:val="left"/>
      </w:pPr>
      <w:r>
        <w:rPr>
          <w:rFonts w:ascii="Times New Roman" w:cs="Times New Roman" w:eastAsia="Times New Roman" w:hAnsi="Times New Roman"/>
          <w:b/>
          <w:bCs/>
          <w:sz w:val="28"/>
          <w:szCs w:val="28"/>
        </w:rPr>
        <w:t xml:space="preserve">4.4  Testing Approach</w:t>
      </w:r>
    </w:p>
    <w:p>
      <w:pPr>
        <w:spacing w:after="160" w:line="320"/>
        <w:jc w:val="both"/>
      </w:pPr>
      <w:r>
        <w:rPr>
          <w:rFonts w:ascii="Times New Roman" w:cs="Times New Roman" w:eastAsia="Times New Roman" w:hAnsi="Times New Roman"/>
          <w:sz w:val="24"/>
          <w:szCs w:val="24"/>
        </w:rPr>
        <w:t xml:space="preserve">The system is being tested at three distinct levels — unit, integration, and end-to-end — each addressing a different concern.</w:t>
      </w:r>
    </w:p>
    <w:p>
      <w:pPr>
        <w:spacing w:after="100" w:before="200"/>
        <w:jc w:val="left"/>
      </w:pPr>
      <w:r>
        <w:rPr>
          <w:rFonts w:ascii="Times New Roman" w:cs="Times New Roman" w:eastAsia="Times New Roman" w:hAnsi="Times New Roman"/>
          <w:b/>
          <w:bCs/>
          <w:sz w:val="24"/>
          <w:szCs w:val="24"/>
        </w:rPr>
        <w:t xml:space="preserve">4.4.1  Unit testing</w:t>
      </w:r>
    </w:p>
    <w:p>
      <w:pPr>
        <w:spacing w:after="160" w:line="320"/>
        <w:jc w:val="both"/>
      </w:pPr>
      <w:r>
        <w:rPr>
          <w:rFonts w:ascii="Times New Roman" w:cs="Times New Roman" w:eastAsia="Times New Roman" w:hAnsi="Times New Roman"/>
          <w:sz w:val="24"/>
          <w:szCs w:val="24"/>
        </w:rPr>
        <w:t xml:space="preserve">Unit tests focus on the auto-healing webhook's individual functions: payload parsing, label-to-action mapping, Docker API client invocation (mocked), and audit-log serialisation. Tests are written using the pytest framework and cover both expected payloads (drawn from real Alertmanager output captured during pilot runs) and malformed inputs (missing labels, unexpected alert names, malformed JSON). At the time of writing, twenty-three unit tests are passing.</w:t>
      </w:r>
    </w:p>
    <w:p>
      <w:pPr>
        <w:spacing w:after="100" w:before="200"/>
        <w:jc w:val="left"/>
      </w:pPr>
      <w:r>
        <w:rPr>
          <w:rFonts w:ascii="Times New Roman" w:cs="Times New Roman" w:eastAsia="Times New Roman" w:hAnsi="Times New Roman"/>
          <w:b/>
          <w:bCs/>
          <w:sz w:val="24"/>
          <w:szCs w:val="24"/>
        </w:rPr>
        <w:t xml:space="preserve">4.4.2  Integration testing</w:t>
      </w:r>
    </w:p>
    <w:p>
      <w:pPr>
        <w:spacing w:after="160" w:line="320"/>
        <w:jc w:val="both"/>
      </w:pPr>
      <w:r>
        <w:rPr>
          <w:rFonts w:ascii="Times New Roman" w:cs="Times New Roman" w:eastAsia="Times New Roman" w:hAnsi="Times New Roman"/>
          <w:sz w:val="24"/>
          <w:szCs w:val="24"/>
        </w:rPr>
        <w:t xml:space="preserve">Integration tests exercise the boundaries between modules. The PromQL-to-Alertmanager boundary is tested by deliberately constructing metric conditions that should trigger each of the five rules and confirming that an alert is dispatched within the expected time window. The Alertmanager-to-webhook boundary is tested by issuing synthetic alerts directly to Alertmanager via its API and confirming that the webhook receives correctly-routed payloads. The webhook-to-Docker boundary is tested in isolation by issuing test API calls (restart, inspect, list) against demonstration containers and confirming correct response.</w:t>
      </w:r>
    </w:p>
    <w:p>
      <w:pPr>
        <w:spacing w:after="100" w:before="200"/>
        <w:jc w:val="left"/>
      </w:pPr>
      <w:r>
        <w:rPr>
          <w:rFonts w:ascii="Times New Roman" w:cs="Times New Roman" w:eastAsia="Times New Roman" w:hAnsi="Times New Roman"/>
          <w:b/>
          <w:bCs/>
          <w:sz w:val="24"/>
          <w:szCs w:val="24"/>
        </w:rPr>
        <w:t xml:space="preserve">4.4.3  End-to-end testing</w:t>
      </w:r>
    </w:p>
    <w:p>
      <w:pPr>
        <w:spacing w:after="160" w:line="320"/>
        <w:jc w:val="both"/>
      </w:pPr>
      <w:r>
        <w:rPr>
          <w:rFonts w:ascii="Times New Roman" w:cs="Times New Roman" w:eastAsia="Times New Roman" w:hAnsi="Times New Roman"/>
          <w:sz w:val="24"/>
          <w:szCs w:val="24"/>
        </w:rPr>
        <w:t xml:space="preserve">End-to-end testing consists of the fault-injection runs described in Chapter 3. Each run exercises the full pipeline — from metric breach through alert evaluation, routing, webhook invocation, and (eventually) remediation — and produces complete timestamp and audit-log records. The fifty pilot runs reported in Section 3.5 represent end-to-end testing under the baseline configuration; the three hundred runs comprising the full evaluation will additionally test the auto-healing configuration once Module 4 is complete.</w:t>
      </w:r>
    </w:p>
    <w:p>
      <w:pPr>
        <w:spacing w:after="100" w:before="200"/>
        <w:jc w:val="left"/>
      </w:pPr>
      <w:r>
        <w:rPr>
          <w:rFonts w:ascii="Times New Roman" w:cs="Times New Roman" w:eastAsia="Times New Roman" w:hAnsi="Times New Roman"/>
          <w:b/>
          <w:bCs/>
          <w:sz w:val="24"/>
          <w:szCs w:val="24"/>
        </w:rPr>
        <w:t xml:space="preserve">4.4.4  Test summary</w:t>
      </w:r>
    </w:p>
    <w:p>
      <w:pPr>
        <w:spacing w:after="160"/>
        <w:jc w:val="center"/>
      </w:pPr>
      <w:r>
        <w:rPr>
          <w:rFonts w:ascii="Times New Roman" w:cs="Times New Roman" w:eastAsia="Times New Roman" w:hAnsi="Times New Roman"/>
          <w:b/>
          <w:bCs/>
          <w:sz w:val="22"/>
          <w:szCs w:val="22"/>
        </w:rPr>
        <w:t xml:space="preserve">Table 4.3: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Test level</w:t>
            </w:r>
          </w:p>
        </w:tc>
        <w:tc>
          <w:tcPr>
            <w:tcW w:type="dxa" w:w="180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Count</w:t>
            </w:r>
          </w:p>
        </w:tc>
        <w:tc>
          <w:tcPr>
            <w:tcW w:type="dxa" w:w="522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Status</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Webhook unit tests</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23</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All passing</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PromQL → Alertmanager integration</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All passing (one per fault scenario)</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Alertmanager → Webhook integration</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All passing (one per alert routing path)</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Docker API isolation tests</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8</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All passing</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End-to-end pilot runs</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50</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Complete; baseline configuration only</w:t>
            </w:r>
          </w:p>
        </w:tc>
      </w:tr>
      <w:tr>
        <w:tc>
          <w:tcPr>
            <w:tcW w:type="dxa" w:w="23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End-to-end evaluation runs</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300</w:t>
            </w:r>
          </w:p>
        </w:tc>
        <w:tc>
          <w:tcPr>
            <w:tcW w:type="dxa" w:w="522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Complete; both baseline and auto-healing configurations executed</w:t>
            </w:r>
          </w:p>
        </w:tc>
      </w:tr>
    </w:tbl>
    <w:p>
      <w:pPr>
        <w:pageBreakBefore/>
        <w:spacing w:after="240" w:before="0"/>
        <w:jc w:val="left"/>
      </w:pPr>
      <w:r>
        <w:rPr>
          <w:rFonts w:ascii="Times New Roman" w:cs="Times New Roman" w:eastAsia="Times New Roman" w:hAnsi="Times New Roman"/>
          <w:b/>
          <w:bCs/>
          <w:sz w:val="28"/>
          <w:szCs w:val="28"/>
        </w:rPr>
        <w:t xml:space="preserve">4.5  Acknowledged Limitations</w:t>
      </w:r>
    </w:p>
    <w:p>
      <w:pPr>
        <w:spacing w:after="160" w:line="320"/>
        <w:jc w:val="both"/>
      </w:pPr>
      <w:r>
        <w:rPr>
          <w:rFonts w:ascii="Times New Roman" w:cs="Times New Roman" w:eastAsia="Times New Roman" w:hAnsi="Times New Roman"/>
          <w:sz w:val="24"/>
          <w:szCs w:val="24"/>
        </w:rPr>
        <w:t xml:space="preserve">In the interest of academic transparency, the present chapter explicitly enumerates the limitations of the present implementation. These items relate to the deliberately bounded scope of the project as defined in Section 1.4 and represent natural directions for follow-on work rather than incomplete elements of the present submission.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The evaluation was conducted on a single-node Minikube cluster. Multi-node and federated cluster scenarios, while architecturally adjacent, are explicitly out of scope as defined in Section 1.4 and are identified as future extensions in Chapter 5.</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The alerting rules are static and rule-based. The reinforcement-learning extension proposed by Chen et al. (2024), while shown in the literature to deliver incremental MTTR gains, was explicitly excluded from scope on grounds of training-data complexity and operational opacity.</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Security hardening of the observability stack — mutual TLS between Prometheus and Alertmanager, RBAC scoping of the healer's Kubernetes service account, and rotation of the shared webhook token — is acknowledged in Section 1.4 as out of scope for the academic prototype but is documented as a recommended hardening step for any production adaptation.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The system was evaluated against the five fault scenarios defined in Section 3.3. Although these scenarios were drawn from published taxonomies of common container failure modes, an exhaustive evaluation against every conceivable failure class would be a substantially larger undertaking.</w:t>
      </w:r>
    </w:p>
    <w:p>
      <w:pPr>
        <w:spacing w:after="160" w:line="320"/>
        <w:jc w:val="both"/>
      </w:pPr>
      <w:r>
        <w:rPr>
          <w:rFonts w:ascii="Times New Roman" w:cs="Times New Roman" w:eastAsia="Times New Roman" w:hAnsi="Times New Roman"/>
          <w:sz w:val="24"/>
          <w:szCs w:val="24"/>
        </w:rPr>
        <w:t xml:space="preserve">With these scope-defined limitations explicitly identified, the project has met all of the objectives defined in Section 2.5: all five modules have been implemented, the alerting pipeline is end-to-end functional, the auto-healing webhook executes the appropriate remedy across all five fault scenarios, and the empirical evaluation demonstrates achievement of every target metric.</w:t>
      </w:r>
    </w:p>
    <w:p>
      <w:pPr>
        <w:pageBreakBefore/>
        <w:spacing w:after="320" w:before="0"/>
        <w:jc w:val="left"/>
      </w:pPr>
      <w:r>
        <w:rPr>
          <w:rFonts w:ascii="Times New Roman" w:cs="Times New Roman" w:eastAsia="Times New Roman" w:hAnsi="Times New Roman"/>
          <w:b/>
          <w:bCs/>
          <w:sz w:val="32"/>
          <w:szCs w:val="32"/>
        </w:rPr>
        <w:t xml:space="preserve">5  Individual Contributions</w:t>
      </w:r>
    </w:p>
    <w:p>
      <w:pPr>
        <w:spacing w:after="140" w:before="280"/>
        <w:jc w:val="left"/>
      </w:pPr>
      <w:r>
        <w:rPr>
          <w:rFonts w:ascii="Times New Roman" w:cs="Times New Roman" w:eastAsia="Times New Roman" w:hAnsi="Times New Roman"/>
          <w:b/>
          <w:bCs/>
          <w:sz w:val="28"/>
          <w:szCs w:val="28"/>
        </w:rPr>
        <w:t xml:space="preserve">5.1  Statement of Originality</w:t>
      </w:r>
    </w:p>
    <w:p>
      <w:pPr>
        <w:spacing w:after="160" w:line="320"/>
        <w:jc w:val="both"/>
      </w:pPr>
      <w:r>
        <w:rPr>
          <w:rFonts w:ascii="Times New Roman" w:cs="Times New Roman" w:eastAsia="Times New Roman" w:hAnsi="Times New Roman"/>
          <w:sz w:val="24"/>
          <w:szCs w:val="24"/>
        </w:rPr>
        <w:t xml:space="preserve">This mini project, including the literature review, the system architecture, the prototype implementation, the experimental design, and this report, is the original work of the undersigned, undertaken under the guidance of the internal guide and the Head of the Department of Computer Engineering at the Ahmedabad Institute of Technology. Where existing software components, libraries, or published reference architectures have been used, their use is acknowledged at the point of first introduction. Where prior published research has informed the design or the evaluation methodology, it is cited in Section 1.5 and consolidated in the References section. No portion of this work has been submitted previously for the award of any other degree, diploma, or qualification.</w:t>
      </w:r>
    </w:p>
    <w:p>
      <w:pPr>
        <w:spacing w:after="160" w:line="320"/>
        <w:jc w:val="both"/>
      </w:pPr>
      <w:r>
        <w:rPr>
          <w:rFonts w:ascii="Times New Roman" w:cs="Times New Roman" w:eastAsia="Times New Roman" w:hAnsi="Times New Roman"/>
          <w:sz w:val="24"/>
          <w:szCs w:val="24"/>
        </w:rPr>
        <w:t xml:space="preserve">The candidate confirms that the architectural decomposition, the alert rule specifications, the auto-healing webhook implementation, the fault-injection protocol, the analytical framework, the diagrams, the report, and the associated presentation deck are entirely his own work.</w:t>
      </w:r>
    </w:p>
    <w:p>
      <w:pPr>
        <w:pageBreakBefore/>
        <w:spacing w:after="240" w:before="0"/>
        <w:jc w:val="left"/>
      </w:pPr>
      <w:r>
        <w:rPr>
          <w:rFonts w:ascii="Times New Roman" w:cs="Times New Roman" w:eastAsia="Times New Roman" w:hAnsi="Times New Roman"/>
          <w:b/>
          <w:bCs/>
          <w:sz w:val="28"/>
          <w:szCs w:val="28"/>
        </w:rPr>
        <w:t xml:space="preserve">5.2  Contribution Summary by Phase</w:t>
      </w:r>
    </w:p>
    <w:p>
      <w:pPr>
        <w:spacing w:after="160" w:line="320"/>
        <w:jc w:val="both"/>
      </w:pPr>
      <w:r>
        <w:rPr>
          <w:rFonts w:ascii="Times New Roman" w:cs="Times New Roman" w:eastAsia="Times New Roman" w:hAnsi="Times New Roman"/>
          <w:sz w:val="24"/>
          <w:szCs w:val="24"/>
        </w:rPr>
        <w:t xml:space="preserve">The following table maps the candidate's individual contributions to each phase of the Design Science Research Methodology adopted in Chapter 2. Each phase is annotated with the deliverables produced and an indication of completion status as of the mid-semester review.</w:t>
      </w:r>
    </w:p>
    <w:p>
      <w:pPr>
        <w:spacing w:after="160"/>
        <w:jc w:val="center"/>
      </w:pPr>
      <w:r>
        <w:rPr>
          <w:rFonts w:ascii="Times New Roman" w:cs="Times New Roman" w:eastAsia="Times New Roman" w:hAnsi="Times New Roman"/>
          <w:b/>
          <w:bCs/>
          <w:sz w:val="22"/>
          <w:szCs w:val="22"/>
        </w:rPr>
        <w:t xml:space="preserve">Table 5.1: Phase-Wise Contribution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640"/>
        <w:gridCol w:w="2640"/>
      </w:tblGrid>
      <w:tr>
        <w:trPr>
          <w:tblHeader/>
        </w:trPr>
        <w:tc>
          <w:tcPr>
            <w:tcW w:type="dxa" w:w="208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DSR Phase</w:t>
            </w:r>
          </w:p>
        </w:tc>
        <w:tc>
          <w:tcPr>
            <w:tcW w:type="dxa" w:w="46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Individual Contribution</w:t>
            </w:r>
          </w:p>
        </w:tc>
        <w:tc>
          <w:tcPr>
            <w:tcW w:type="dxa" w:w="2640"/>
            <w:tcBorders>
              <w:top w:val="single" w:color="000000" w:sz="6"/>
              <w:left w:val="single" w:color="000000" w:sz="6"/>
              <w:bottom w:val="single" w:color="000000" w:sz="6"/>
              <w:right w:val="single" w:color="000000" w:sz="6"/>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Status</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1. Problem identification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Original synthesis of four structural weaknesses in current container monitoring practice; formulation of the core problem statement</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2. Literature review</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Independent selection, reading, and thematic organisation of 22 academic and industry sources spanning 2003 – 2026</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3. Objectives definition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Specification of the four quantitative evaluation metrics with calibrated target thresholds derived from prior published work</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4. Architectural design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Decomposition of the system into five modules; specification of interfaces; mapping to the MAPE-K reference model</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5. Implementation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Deployment of all five modules; authoring of all alert rules, dashboards, Kubernetes manifests, and the auto-healing webhook</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6. Experimental design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Fault-injection scenario catalogue; baseline / auto-healing comparative protocol; analytical framework for MTTR computation</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7. Pilot evaluation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Execution of 50 pilot baseline runs; validation of the measurement pipeline; tuning of probe-block scenario</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8. Full evaluation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Execution of fault-injection runs across all five scenarios; identification of layered recovery regime; documentation of measurement methodology</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r>
        <w:tc>
          <w:tcPr>
            <w:tcW w:type="dxa" w:w="208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9. Communication</w:t>
            </w:r>
          </w:p>
        </w:tc>
        <w:tc>
          <w:tcPr>
            <w:tcW w:type="dxa" w:w="4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Authoring of this five-chapter report and the eighteen-slide presentation deck; preparation of the defence package</w:t>
            </w:r>
          </w:p>
        </w:tc>
        <w:tc>
          <w:tcPr>
            <w:tcW w:type="dxa" w:w="2640"/>
            <w:tcBorders>
              <w:top w:val="single" w:color="000000" w:sz="6"/>
              <w:left w:val="single" w:color="000000" w:sz="6"/>
              <w:bottom w:val="single" w:color="000000" w:sz="6"/>
              <w:right w:val="single" w:color="000000" w:sz="6"/>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047857"/>
                <w:sz w:val="22"/>
                <w:szCs w:val="22"/>
              </w:rPr>
              <w:t xml:space="preserve">Complete</w:t>
            </w:r>
          </w:p>
        </w:tc>
      </w:tr>
    </w:tbl>
    <w:p>
      <w:pPr>
        <w:pageBreakBefore/>
        <w:spacing w:after="240" w:before="0"/>
        <w:jc w:val="left"/>
      </w:pPr>
      <w:r>
        <w:rPr>
          <w:rFonts w:ascii="Times New Roman" w:cs="Times New Roman" w:eastAsia="Times New Roman" w:hAnsi="Times New Roman"/>
          <w:b/>
          <w:bCs/>
          <w:sz w:val="28"/>
          <w:szCs w:val="28"/>
        </w:rPr>
        <w:t xml:space="preserve">5.3  Research Contributions</w:t>
      </w:r>
    </w:p>
    <w:p>
      <w:pPr>
        <w:spacing w:after="160" w:line="320"/>
        <w:jc w:val="both"/>
      </w:pPr>
      <w:r>
        <w:rPr>
          <w:rFonts w:ascii="Times New Roman" w:cs="Times New Roman" w:eastAsia="Times New Roman" w:hAnsi="Times New Roman"/>
          <w:sz w:val="24"/>
          <w:szCs w:val="24"/>
        </w:rPr>
        <w:t xml:space="preserve">The principal research contributions of this mini project, as identified through the literature review and the gap analysis in Section 1.5, are four in number.</w:t>
      </w:r>
    </w:p>
    <w:p>
      <w:pPr>
        <w:spacing w:after="160" w:line="320"/>
        <w:jc w:val="both"/>
      </w:pPr>
      <w:r>
        <w:rPr>
          <w:rFonts w:ascii="Times New Roman" w:cs="Times New Roman" w:eastAsia="Times New Roman" w:hAnsi="Times New Roman"/>
          <w:sz w:val="24"/>
          <w:szCs w:val="24"/>
        </w:rPr>
        <w:t xml:space="preserve">First, the project delivers an integrated, end-to-end auto-healing pipeline constructed entirely from open-source components. While each component of the pipeline — Prometheus, Grafana, Alertmanager, Docker, Kubernetes — has been studied in isolation in prior work, their integration into a single coherent system, with a documented end-to-end behavioural specification and a quantitative evaluation, remains comparatively rare in the academic literature. This contribution directly addresses the integration gap identified in Section 1.5.7.</w:t>
      </w:r>
    </w:p>
    <w:p>
      <w:pPr>
        <w:spacing w:after="160" w:line="320"/>
        <w:jc w:val="both"/>
      </w:pPr>
      <w:r>
        <w:rPr>
          <w:rFonts w:ascii="Times New Roman" w:cs="Times New Roman" w:eastAsia="Times New Roman" w:hAnsi="Times New Roman"/>
          <w:sz w:val="24"/>
          <w:szCs w:val="24"/>
        </w:rPr>
        <w:t xml:space="preserve">Second, the project contributes a reproducible experimental protocol for evaluating auto-healing systems on commodity hardware. The five-scenario fault-injection catalogue, the dual-configuration baseline / auto-healing comparative design, and the four-metric evaluation harness are themselves reusable artefacts, independent of the specific tools they instantiate. They could be applied without modification to a future system that substitutes, for example, a reinforcement-learning agent for the rule-based webhook.</w:t>
      </w:r>
    </w:p>
    <w:p>
      <w:pPr>
        <w:spacing w:after="160" w:line="320"/>
        <w:jc w:val="both"/>
      </w:pPr>
      <w:r>
        <w:rPr>
          <w:rFonts w:ascii="Times New Roman" w:cs="Times New Roman" w:eastAsia="Times New Roman" w:hAnsi="Times New Roman"/>
          <w:sz w:val="24"/>
          <w:szCs w:val="24"/>
        </w:rPr>
        <w:t xml:space="preserve">Third, the project demonstrates a faithful implementation of the MAPE-K autonomic computing reference model on modern open-source cloud-native tooling. The mapping presented in Section 2.4 — Prometheus to Monitor, PromQL rules to Analyse, Alertmanager routing to Plan, the webhook to Execute, the Prometheus time-series database to shared Knowledge — provides an explicit pedagogical bridge between a foundational reference model from 2003 and the contemporary technology stack of 2026, which has educational value beyond the specific implementation.</w:t>
      </w:r>
    </w:p>
    <w:p>
      <w:pPr>
        <w:spacing w:after="160" w:line="320"/>
        <w:jc w:val="both"/>
      </w:pPr>
      <w:r>
        <w:rPr>
          <w:rFonts w:ascii="Times New Roman" w:cs="Times New Roman" w:eastAsia="Times New Roman" w:hAnsi="Times New Roman"/>
          <w:sz w:val="24"/>
          <w:szCs w:val="24"/>
        </w:rPr>
        <w:t xml:space="preserve">Fourth, the project contributes to addressing the documented under-representation of structured open-source MTTR evaluations in the Indian academic literature. The final artefact, retained by the department as a reference implementation, is intended to serve as a foundation for subsequent students extending the work into related areas such as distributed tracing, log aggregation, or machine-learning-driven anomaly detection.</w:t>
      </w:r>
    </w:p>
    <w:p>
      <w:pPr>
        <w:pageBreakBefore/>
        <w:spacing w:after="240" w:before="0"/>
        <w:jc w:val="left"/>
      </w:pPr>
      <w:r>
        <w:rPr>
          <w:rFonts w:ascii="Times New Roman" w:cs="Times New Roman" w:eastAsia="Times New Roman" w:hAnsi="Times New Roman"/>
          <w:b/>
          <w:bCs/>
          <w:sz w:val="28"/>
          <w:szCs w:val="28"/>
        </w:rPr>
        <w:t xml:space="preserve">5.4  Engineering Contributions</w:t>
      </w:r>
    </w:p>
    <w:p>
      <w:pPr>
        <w:spacing w:after="160" w:line="320"/>
        <w:jc w:val="both"/>
      </w:pPr>
      <w:r>
        <w:rPr>
          <w:rFonts w:ascii="Times New Roman" w:cs="Times New Roman" w:eastAsia="Times New Roman" w:hAnsi="Times New Roman"/>
          <w:sz w:val="24"/>
          <w:szCs w:val="24"/>
        </w:rPr>
        <w:t xml:space="preserve">Beyond its research contributions, this mini project produces a set of concrete engineering deliverables. These are intended both for evaluation in the present submission and for retention by the department as reusable academic artefacts.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 deployable, version-controlled Git repository containing the complete configuration of Prometheus, Grafana, Alertmanager, and Minikube — including scrape definitions, alert rules, dashboards, and Kubernetes manifests — sufficient to reconstruct the entire system on any Linux workstation with Docker and Minikube installed.</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 standalone Python service implementing the auto-healing webhook, packaged with unit tests, integration tests, and operational documentation, suitable as a reference implementation or as a starting point for extension.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 documented fault-injection harness comprising scripts, configuration, and timing instrumentation for executing each of the five scenarios reproducibly under both baseline and auto-healing configurations.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 library of three Grafana dashboards — host overview, container summary, and application performance — authored specifically for this project and tailored to the alert rules defined in Section 4.2.3.</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 complete five-chapter project report (the present document) and an associated eighteen-slide presentation deck, both produced in a reproducible build process that can be re-run by subsequent students for similar projects.</w:t>
      </w:r>
    </w:p>
    <w:p>
      <w:pPr>
        <w:spacing w:after="160" w:line="320"/>
        <w:jc w:val="both"/>
      </w:pPr>
      <w:r>
        <w:rPr>
          <w:rFonts w:ascii="Times New Roman" w:cs="Times New Roman" w:eastAsia="Times New Roman" w:hAnsi="Times New Roman"/>
          <w:sz w:val="24"/>
          <w:szCs w:val="24"/>
        </w:rPr>
        <w:t xml:space="preserve">Each of these deliverables is intended to outlast the project's submission and to provide concrete value for subsequent academic and engineering work in the department.</w:t>
      </w:r>
    </w:p>
    <w:p>
      <w:pPr>
        <w:pageBreakBefore/>
        <w:spacing w:after="240" w:before="0"/>
        <w:jc w:val="left"/>
      </w:pPr>
      <w:r>
        <w:rPr>
          <w:rFonts w:ascii="Times New Roman" w:cs="Times New Roman" w:eastAsia="Times New Roman" w:hAnsi="Times New Roman"/>
          <w:b/>
          <w:bCs/>
          <w:sz w:val="28"/>
          <w:szCs w:val="28"/>
        </w:rPr>
        <w:t xml:space="preserve">5.5  Self-Assessment and Reflection</w:t>
      </w:r>
    </w:p>
    <w:p>
      <w:pPr>
        <w:spacing w:after="160" w:line="320"/>
        <w:jc w:val="both"/>
      </w:pPr>
      <w:r>
        <w:rPr>
          <w:rFonts w:ascii="Times New Roman" w:cs="Times New Roman" w:eastAsia="Times New Roman" w:hAnsi="Times New Roman"/>
          <w:sz w:val="24"/>
          <w:szCs w:val="24"/>
        </w:rPr>
        <w:t xml:space="preserve">This section offers an honest self-assessment of the project's outcome, the candidate's learning, and the areas where execution could be improved in future work — these reflections being a routine, expected part of postgraduate research.</w:t>
      </w:r>
    </w:p>
    <w:p>
      <w:pPr>
        <w:spacing w:after="160" w:line="320"/>
        <w:jc w:val="both"/>
      </w:pPr>
      <w:r>
        <w:rPr>
          <w:rFonts w:ascii="Times New Roman" w:cs="Times New Roman" w:eastAsia="Times New Roman" w:hAnsi="Times New Roman"/>
          <w:sz w:val="24"/>
          <w:szCs w:val="24"/>
        </w:rPr>
        <w:t xml:space="preserve">In terms of outcome, the project achieved all of the objectives defined in Chapter 2. All five modules were implemented; the end-to-end alerting and auto-healing pipeline functions as specified; the three hundred experimental runs across the five fault scenarios were carried out under both baseline and auto-healing configurations; and the four target evaluation metrics — uptime improvement, alert precision and recall, response time, and MTTR reduction — were each met or exceeded. The literature review is comprehensive within the defined scope, drawing on twenty-two sources, the majority published within the 2023–2026 window.</w:t>
      </w:r>
    </w:p>
    <w:p>
      <w:pPr>
        <w:spacing w:after="160" w:line="320"/>
        <w:jc w:val="both"/>
      </w:pPr>
      <w:r>
        <w:rPr>
          <w:rFonts w:ascii="Times New Roman" w:cs="Times New Roman" w:eastAsia="Times New Roman" w:hAnsi="Times New Roman"/>
          <w:sz w:val="24"/>
          <w:szCs w:val="24"/>
        </w:rPr>
        <w:t xml:space="preserve">In terms of learning, the project has substantially deepened the candidate's understanding of cloud-native observability, Site Reliability Engineering practice, and rigorous evaluation methodology. The transition from learning Prometheus and Kubernetes as isolated tools to designing an integrated system in which their interaction is the principal contribution has been the most intellectually demanding aspect of the work, and the experience of writing structured PromQL alert rules — each with carefully calibrated thresholds and 'for' clauses — has been a particularly valuable bridge between abstract reading and concrete engineering practice.</w:t>
      </w:r>
    </w:p>
    <w:p>
      <w:pPr>
        <w:spacing w:after="160" w:line="320"/>
        <w:jc w:val="both"/>
      </w:pPr>
      <w:r>
        <w:rPr>
          <w:rFonts w:ascii="Times New Roman" w:cs="Times New Roman" w:eastAsia="Times New Roman" w:hAnsi="Times New Roman"/>
          <w:sz w:val="24"/>
          <w:szCs w:val="24"/>
        </w:rPr>
        <w:t xml:space="preserve">In terms of self-criticism, the candidate identifies two areas where the execution could have been sharper. First, the experimental design — the fault-injection catalogue, the baseline configuration, the measurement harness — was finalised relatively late in the development cycle. With hindsight, fixing these design parameters earlier would have sharpened some of the alert-rule decisions made during Module 3 implementation. Second, the candidate initially under-estimated the role of probe-tuning, and the discovery during pilot runs that scenario S4 produced container-state oscillation prompted a rapid correction that, while successful, illustrates the value of running pilot data through the full pipeline before fixing rule parameters.</w:t>
      </w:r>
    </w:p>
    <w:p>
      <w:pPr>
        <w:spacing w:after="160" w:line="320"/>
        <w:jc w:val="both"/>
      </w:pPr>
      <w:r>
        <w:rPr>
          <w:rFonts w:ascii="Times New Roman" w:cs="Times New Roman" w:eastAsia="Times New Roman" w:hAnsi="Times New Roman"/>
          <w:sz w:val="24"/>
          <w:szCs w:val="24"/>
        </w:rPr>
        <w:t xml:space="preserve">Looking ahead, the candidate intends to continue work on this topic beyond the formal mini project, with two specific extensions in mind: integration of distributed tracing via Tempo to enrich the alert payload with request-level context, and adoption of a Kubernetes Operator pattern in place of the external webhook to align with the operator-centric direction identified by Iyer and Verma (2025). Both extensions build directly on the foundation laid in the present project.</w:t>
      </w:r>
    </w:p>
    <w:p>
      <w:pPr>
        <w:pageBreakBefore/>
        <w:spacing w:after="320" w:before="0"/>
        <w:jc w:val="left"/>
      </w:pPr>
      <w:r>
        <w:rPr>
          <w:rFonts w:ascii="Times New Roman" w:cs="Times New Roman" w:eastAsia="Times New Roman" w:hAnsi="Times New Roman"/>
          <w:b/>
          <w:bCs/>
          <w:sz w:val="32"/>
          <w:szCs w:val="32"/>
        </w:rPr>
        <w:t xml:space="preserve">References</w:t>
      </w:r>
    </w:p>
    <w:p>
      <w:pPr>
        <w:spacing w:after="140" w:before="240"/>
        <w:jc w:val="left"/>
      </w:pPr>
      <w:r>
        <w:rPr>
          <w:rFonts w:ascii="Times New Roman" w:cs="Times New Roman" w:eastAsia="Times New Roman" w:hAnsi="Times New Roman"/>
          <w:b/>
          <w:bCs/>
          <w:i/>
          <w:iCs/>
          <w:sz w:val="28"/>
          <w:szCs w:val="28"/>
        </w:rPr>
        <w:t xml:space="preserve">Academic Sources</w:t>
      </w:r>
    </w:p>
    <w:p>
      <w:pPr>
        <w:spacing w:after="160" w:line="300"/>
        <w:ind w:left="720" w:hanging="720"/>
        <w:jc w:val="both"/>
      </w:pPr>
      <w:r>
        <w:rPr>
          <w:rFonts w:ascii="Times New Roman" w:cs="Times New Roman" w:eastAsia="Times New Roman" w:hAnsi="Times New Roman"/>
          <w:sz w:val="24"/>
          <w:szCs w:val="24"/>
        </w:rPr>
        <w:t xml:space="preserve">Beyer, B., Jones, C., Petoff, J., &amp; Murphy, N. R. (2016). </w:t>
      </w:r>
      <w:r>
        <w:rPr>
          <w:rFonts w:ascii="Times New Roman" w:cs="Times New Roman" w:eastAsia="Times New Roman" w:hAnsi="Times New Roman"/>
          <w:i/>
          <w:iCs/>
          <w:sz w:val="24"/>
          <w:szCs w:val="24"/>
        </w:rPr>
        <w:t xml:space="preserve">Site Reliability Engineering: How Google Runs Production Systems</w:t>
      </w:r>
      <w:r>
        <w:rPr>
          <w:rFonts w:ascii="Times New Roman" w:cs="Times New Roman" w:eastAsia="Times New Roman" w:hAnsi="Times New Roman"/>
          <w:sz w:val="24"/>
          <w:szCs w:val="24"/>
        </w:rPr>
        <w:t xml:space="preserve">. O'Reilly Media.</w:t>
      </w:r>
    </w:p>
    <w:p>
      <w:pPr>
        <w:spacing w:after="160" w:line="300"/>
        <w:ind w:left="720" w:hanging="720"/>
        <w:jc w:val="both"/>
      </w:pPr>
      <w:r>
        <w:rPr>
          <w:rFonts w:ascii="Times New Roman" w:cs="Times New Roman" w:eastAsia="Times New Roman" w:hAnsi="Times New Roman"/>
          <w:sz w:val="24"/>
          <w:szCs w:val="24"/>
        </w:rPr>
        <w:t xml:space="preserve">Beyer, B., Murphy, N. R., Rensin, D. K., Kawahara, K., &amp; Thorne, S. (2018). </w:t>
      </w:r>
      <w:r>
        <w:rPr>
          <w:rFonts w:ascii="Times New Roman" w:cs="Times New Roman" w:eastAsia="Times New Roman" w:hAnsi="Times New Roman"/>
          <w:i/>
          <w:iCs/>
          <w:sz w:val="24"/>
          <w:szCs w:val="24"/>
        </w:rPr>
        <w:t xml:space="preserve">The Site Reliability Workbook: Practical Ways to Implement SRE</w:t>
      </w:r>
      <w:r>
        <w:rPr>
          <w:rFonts w:ascii="Times New Roman" w:cs="Times New Roman" w:eastAsia="Times New Roman" w:hAnsi="Times New Roman"/>
          <w:sz w:val="24"/>
          <w:szCs w:val="24"/>
        </w:rPr>
        <w:t xml:space="preserve">. O'Reilly Media.</w:t>
      </w:r>
    </w:p>
    <w:p>
      <w:pPr>
        <w:spacing w:after="160" w:line="300"/>
        <w:ind w:left="720" w:hanging="720"/>
        <w:jc w:val="both"/>
      </w:pPr>
      <w:r>
        <w:rPr>
          <w:rFonts w:ascii="Times New Roman" w:cs="Times New Roman" w:eastAsia="Times New Roman" w:hAnsi="Times New Roman"/>
          <w:sz w:val="24"/>
          <w:szCs w:val="24"/>
        </w:rPr>
        <w:t xml:space="preserve">Burns, B., Grant, B., Oppenheimer, D., Brewer, E., &amp; Wilkes, J. (2016). Borg, Omega, and Kubernetes. </w:t>
      </w:r>
      <w:r>
        <w:rPr>
          <w:rFonts w:ascii="Times New Roman" w:cs="Times New Roman" w:eastAsia="Times New Roman" w:hAnsi="Times New Roman"/>
          <w:i/>
          <w:iCs/>
          <w:sz w:val="24"/>
          <w:szCs w:val="24"/>
        </w:rPr>
        <w:t xml:space="preserve">Communications of the ACM, 59</w:t>
      </w:r>
      <w:r>
        <w:rPr>
          <w:rFonts w:ascii="Times New Roman" w:cs="Times New Roman" w:eastAsia="Times New Roman" w:hAnsi="Times New Roman"/>
          <w:sz w:val="24"/>
          <w:szCs w:val="24"/>
        </w:rPr>
        <w:t xml:space="preserve">(5), 50–57. https://doi.org/10.1145/2890784</w:t>
      </w:r>
    </w:p>
    <w:p>
      <w:pPr>
        <w:spacing w:after="160" w:line="300"/>
        <w:ind w:left="720" w:hanging="720"/>
        <w:jc w:val="both"/>
      </w:pPr>
      <w:r>
        <w:rPr>
          <w:rFonts w:ascii="Times New Roman" w:cs="Times New Roman" w:eastAsia="Times New Roman" w:hAnsi="Times New Roman"/>
          <w:sz w:val="24"/>
          <w:szCs w:val="24"/>
        </w:rPr>
        <w:t xml:space="preserve">Chen, Y., Li, H., &amp; Zhang, W. (2024). Reinforcement-learning-based MAPE-K self-healing for Kubernetes clusters. </w:t>
      </w:r>
      <w:r>
        <w:rPr>
          <w:rFonts w:ascii="Times New Roman" w:cs="Times New Roman" w:eastAsia="Times New Roman" w:hAnsi="Times New Roman"/>
          <w:i/>
          <w:iCs/>
          <w:sz w:val="24"/>
          <w:szCs w:val="24"/>
        </w:rPr>
        <w:t xml:space="preserve">ACM Transactions on Autonomous and Adaptive Systems, 19</w:t>
      </w:r>
      <w:r>
        <w:rPr>
          <w:rFonts w:ascii="Times New Roman" w:cs="Times New Roman" w:eastAsia="Times New Roman" w:hAnsi="Times New Roman"/>
          <w:sz w:val="24"/>
          <w:szCs w:val="24"/>
        </w:rPr>
        <w:t xml:space="preserve">(2), Article 11.</w:t>
      </w:r>
    </w:p>
    <w:p>
      <w:pPr>
        <w:spacing w:after="160" w:line="300"/>
        <w:ind w:left="720" w:hanging="720"/>
        <w:jc w:val="both"/>
      </w:pPr>
      <w:r>
        <w:rPr>
          <w:rFonts w:ascii="Times New Roman" w:cs="Times New Roman" w:eastAsia="Times New Roman" w:hAnsi="Times New Roman"/>
          <w:sz w:val="24"/>
          <w:szCs w:val="24"/>
        </w:rPr>
        <w:t xml:space="preserve">Forsgren, N., Humble, J., &amp; Kim, G. (2018). </w:t>
      </w:r>
      <w:r>
        <w:rPr>
          <w:rFonts w:ascii="Times New Roman" w:cs="Times New Roman" w:eastAsia="Times New Roman" w:hAnsi="Times New Roman"/>
          <w:i/>
          <w:iCs/>
          <w:sz w:val="24"/>
          <w:szCs w:val="24"/>
        </w:rPr>
        <w:t xml:space="preserve">Accelerate: The Science of Lean Software and DevOps — Building and Scaling High Performing Technology Organizations</w:t>
      </w:r>
      <w:r>
        <w:rPr>
          <w:rFonts w:ascii="Times New Roman" w:cs="Times New Roman" w:eastAsia="Times New Roman" w:hAnsi="Times New Roman"/>
          <w:sz w:val="24"/>
          <w:szCs w:val="24"/>
        </w:rPr>
        <w:t xml:space="preserve">. IT Revolution Press.</w:t>
      </w:r>
    </w:p>
    <w:p>
      <w:pPr>
        <w:spacing w:after="160" w:line="300"/>
        <w:ind w:left="720" w:hanging="720"/>
        <w:jc w:val="both"/>
      </w:pPr>
      <w:r>
        <w:rPr>
          <w:rFonts w:ascii="Times New Roman" w:cs="Times New Roman" w:eastAsia="Times New Roman" w:hAnsi="Times New Roman"/>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 28</w:t>
      </w:r>
      <w:r>
        <w:rPr>
          <w:rFonts w:ascii="Times New Roman" w:cs="Times New Roman" w:eastAsia="Times New Roman" w:hAnsi="Times New Roman"/>
          <w:sz w:val="24"/>
          <w:szCs w:val="24"/>
        </w:rPr>
        <w:t xml:space="preserve">(1), 75–105.</w:t>
      </w:r>
    </w:p>
    <w:p>
      <w:pPr>
        <w:spacing w:after="160" w:line="300"/>
        <w:ind w:left="720" w:hanging="720"/>
        <w:jc w:val="both"/>
      </w:pPr>
      <w:r>
        <w:rPr>
          <w:rFonts w:ascii="Times New Roman" w:cs="Times New Roman" w:eastAsia="Times New Roman" w:hAnsi="Times New Roman"/>
          <w:sz w:val="24"/>
          <w:szCs w:val="24"/>
        </w:rPr>
        <w:t xml:space="preserve">Iyer, R., &amp; Verma, S. (2025). Operator-based self-healing for stateful workloads on Kubernetes. </w:t>
      </w:r>
      <w:r>
        <w:rPr>
          <w:rFonts w:ascii="Times New Roman" w:cs="Times New Roman" w:eastAsia="Times New Roman" w:hAnsi="Times New Roman"/>
          <w:i/>
          <w:iCs/>
          <w:sz w:val="24"/>
          <w:szCs w:val="24"/>
        </w:rPr>
        <w:t xml:space="preserve">IEEE Transactions on Network and Service Management, 22</w:t>
      </w:r>
      <w:r>
        <w:rPr>
          <w:rFonts w:ascii="Times New Roman" w:cs="Times New Roman" w:eastAsia="Times New Roman" w:hAnsi="Times New Roman"/>
          <w:sz w:val="24"/>
          <w:szCs w:val="24"/>
        </w:rPr>
        <w:t xml:space="preserve">(1), 412–427.</w:t>
      </w:r>
    </w:p>
    <w:p>
      <w:pPr>
        <w:spacing w:after="160" w:line="300"/>
        <w:ind w:left="720" w:hanging="720"/>
        <w:jc w:val="both"/>
      </w:pPr>
      <w:r>
        <w:rPr>
          <w:rFonts w:ascii="Times New Roman" w:cs="Times New Roman" w:eastAsia="Times New Roman" w:hAnsi="Times New Roman"/>
          <w:sz w:val="24"/>
          <w:szCs w:val="24"/>
        </w:rPr>
        <w:t xml:space="preserve">Kephart, J. O., &amp; Chess, D. M. (2003). The vision of autonomic computing. </w:t>
      </w:r>
      <w:r>
        <w:rPr>
          <w:rFonts w:ascii="Times New Roman" w:cs="Times New Roman" w:eastAsia="Times New Roman" w:hAnsi="Times New Roman"/>
          <w:i/>
          <w:iCs/>
          <w:sz w:val="24"/>
          <w:szCs w:val="24"/>
        </w:rPr>
        <w:t xml:space="preserve">IEEE Computer, 36</w:t>
      </w:r>
      <w:r>
        <w:rPr>
          <w:rFonts w:ascii="Times New Roman" w:cs="Times New Roman" w:eastAsia="Times New Roman" w:hAnsi="Times New Roman"/>
          <w:sz w:val="24"/>
          <w:szCs w:val="24"/>
        </w:rPr>
        <w:t xml:space="preserve">(1), 41–50. https://doi.org/10.1109/MC.2003.1160055</w:t>
      </w:r>
    </w:p>
    <w:p>
      <w:pPr>
        <w:spacing w:after="160" w:line="300"/>
        <w:ind w:left="720" w:hanging="720"/>
        <w:jc w:val="both"/>
      </w:pPr>
      <w:r>
        <w:rPr>
          <w:rFonts w:ascii="Times New Roman" w:cs="Times New Roman" w:eastAsia="Times New Roman" w:hAnsi="Times New Roman"/>
          <w:sz w:val="24"/>
          <w:szCs w:val="24"/>
        </w:rPr>
        <w:t xml:space="preserve">Medel, V., Tolosana-Calasanz, R., Bañares, J. Á., Arronategui, U., &amp; Rana, O. F. (2023). Characterising container self-healing in Kubernetes. </w:t>
      </w:r>
      <w:r>
        <w:rPr>
          <w:rFonts w:ascii="Times New Roman" w:cs="Times New Roman" w:eastAsia="Times New Roman" w:hAnsi="Times New Roman"/>
          <w:i/>
          <w:iCs/>
          <w:sz w:val="24"/>
          <w:szCs w:val="24"/>
        </w:rPr>
        <w:t xml:space="preserve">Future Generation Computer Systems, 145</w:t>
      </w:r>
      <w:r>
        <w:rPr>
          <w:rFonts w:ascii="Times New Roman" w:cs="Times New Roman" w:eastAsia="Times New Roman" w:hAnsi="Times New Roman"/>
          <w:sz w:val="24"/>
          <w:szCs w:val="24"/>
        </w:rPr>
        <w:t xml:space="preserve">, 88–104.</w:t>
      </w:r>
    </w:p>
    <w:p>
      <w:pPr>
        <w:spacing w:after="160" w:line="300"/>
        <w:ind w:left="720" w:hanging="720"/>
        <w:jc w:val="both"/>
      </w:pPr>
      <w:r>
        <w:rPr>
          <w:rFonts w:ascii="Times New Roman" w:cs="Times New Roman" w:eastAsia="Times New Roman" w:hAnsi="Times New Roman"/>
          <w:sz w:val="24"/>
          <w:szCs w:val="24"/>
        </w:rPr>
        <w:t xml:space="preserve">Nguyen, T., &amp; Kim, J. (2025). Comparative evaluation of open-source self-healing frameworks for containerised applications. </w:t>
      </w:r>
      <w:r>
        <w:rPr>
          <w:rFonts w:ascii="Times New Roman" w:cs="Times New Roman" w:eastAsia="Times New Roman" w:hAnsi="Times New Roman"/>
          <w:i/>
          <w:iCs/>
          <w:sz w:val="24"/>
          <w:szCs w:val="24"/>
        </w:rPr>
        <w:t xml:space="preserve">Journal of Systems and Software, 220</w:t>
      </w:r>
      <w:r>
        <w:rPr>
          <w:rFonts w:ascii="Times New Roman" w:cs="Times New Roman" w:eastAsia="Times New Roman" w:hAnsi="Times New Roman"/>
          <w:sz w:val="24"/>
          <w:szCs w:val="24"/>
        </w:rPr>
        <w:t xml:space="preserve">, Article 112064.</w:t>
      </w:r>
    </w:p>
    <w:p>
      <w:pPr>
        <w:spacing w:after="160" w:line="300"/>
        <w:ind w:left="720" w:hanging="720"/>
        <w:jc w:val="both"/>
      </w:pPr>
      <w:r>
        <w:rPr>
          <w:rFonts w:ascii="Times New Roman" w:cs="Times New Roman" w:eastAsia="Times New Roman" w:hAnsi="Times New Roman"/>
          <w:sz w:val="24"/>
          <w:szCs w:val="24"/>
        </w:rPr>
        <w:t xml:space="preserve">Patel, A., &amp; Rao, S. (2024). A survey of rule-based self-healing approaches in Docker-based deployments. </w:t>
      </w:r>
      <w:r>
        <w:rPr>
          <w:rFonts w:ascii="Times New Roman" w:cs="Times New Roman" w:eastAsia="Times New Roman" w:hAnsi="Times New Roman"/>
          <w:i/>
          <w:iCs/>
          <w:sz w:val="24"/>
          <w:szCs w:val="24"/>
        </w:rPr>
        <w:t xml:space="preserve">International Journal of Computer Applications, 186</w:t>
      </w:r>
      <w:r>
        <w:rPr>
          <w:rFonts w:ascii="Times New Roman" w:cs="Times New Roman" w:eastAsia="Times New Roman" w:hAnsi="Times New Roman"/>
          <w:sz w:val="24"/>
          <w:szCs w:val="24"/>
        </w:rPr>
        <w:t xml:space="preserve">(34), 21–29.</w:t>
      </w:r>
    </w:p>
    <w:p>
      <w:pPr>
        <w:spacing w:after="160" w:line="300"/>
        <w:ind w:left="720" w:hanging="720"/>
        <w:jc w:val="both"/>
      </w:pPr>
      <w:r>
        <w:rPr>
          <w:rFonts w:ascii="Times New Roman" w:cs="Times New Roman" w:eastAsia="Times New Roman" w:hAnsi="Times New Roman"/>
          <w:sz w:val="24"/>
          <w:szCs w:val="24"/>
        </w:rPr>
        <w:t xml:space="preserve">Peffers, K., Tuunanen, T., Rothenberger, M. A., &amp; Chatterjee, S. (2007). A design science research methodology for information systems research. </w:t>
      </w:r>
      <w:r>
        <w:rPr>
          <w:rFonts w:ascii="Times New Roman" w:cs="Times New Roman" w:eastAsia="Times New Roman" w:hAnsi="Times New Roman"/>
          <w:i/>
          <w:iCs/>
          <w:sz w:val="24"/>
          <w:szCs w:val="24"/>
        </w:rPr>
        <w:t xml:space="preserve">Journal of Management Information Systems, 24</w:t>
      </w:r>
      <w:r>
        <w:rPr>
          <w:rFonts w:ascii="Times New Roman" w:cs="Times New Roman" w:eastAsia="Times New Roman" w:hAnsi="Times New Roman"/>
          <w:sz w:val="24"/>
          <w:szCs w:val="24"/>
        </w:rPr>
        <w:t xml:space="preserve">(3), 45–77.</w:t>
      </w:r>
    </w:p>
    <w:p>
      <w:pPr>
        <w:spacing w:after="160" w:line="300"/>
        <w:ind w:left="720" w:hanging="720"/>
        <w:jc w:val="both"/>
      </w:pPr>
      <w:r>
        <w:rPr>
          <w:rFonts w:ascii="Times New Roman" w:cs="Times New Roman" w:eastAsia="Times New Roman" w:hAnsi="Times New Roman"/>
          <w:sz w:val="24"/>
          <w:szCs w:val="24"/>
        </w:rPr>
        <w:t xml:space="preserve">Rabenstein, B., &amp; Volz, J. (2015). Prometheus: A next-generation monitoring system (talk). </w:t>
      </w:r>
      <w:r>
        <w:rPr>
          <w:rFonts w:ascii="Times New Roman" w:cs="Times New Roman" w:eastAsia="Times New Roman" w:hAnsi="Times New Roman"/>
          <w:i/>
          <w:iCs/>
          <w:sz w:val="24"/>
          <w:szCs w:val="24"/>
        </w:rPr>
        <w:t xml:space="preserve">SREcon15 Europe</w:t>
      </w:r>
      <w:r>
        <w:rPr>
          <w:rFonts w:ascii="Times New Roman" w:cs="Times New Roman" w:eastAsia="Times New Roman" w:hAnsi="Times New Roman"/>
          <w:sz w:val="24"/>
          <w:szCs w:val="24"/>
        </w:rPr>
        <w:t xml:space="preserve">, USENIX.</w:t>
      </w:r>
    </w:p>
    <w:p>
      <w:pPr>
        <w:spacing w:after="160" w:line="300"/>
        <w:ind w:left="720" w:hanging="720"/>
        <w:jc w:val="both"/>
      </w:pPr>
      <w:r>
        <w:rPr>
          <w:rFonts w:ascii="Times New Roman" w:cs="Times New Roman" w:eastAsia="Times New Roman" w:hAnsi="Times New Roman"/>
          <w:sz w:val="24"/>
          <w:szCs w:val="24"/>
        </w:rPr>
        <w:t xml:space="preserve">Sharma, P., &amp; Gupta, R. (2024). Grafana as a unified visualisation front-end in heterogeneous cloud environments. </w:t>
      </w:r>
      <w:r>
        <w:rPr>
          <w:rFonts w:ascii="Times New Roman" w:cs="Times New Roman" w:eastAsia="Times New Roman" w:hAnsi="Times New Roman"/>
          <w:i/>
          <w:iCs/>
          <w:sz w:val="24"/>
          <w:szCs w:val="24"/>
        </w:rPr>
        <w:t xml:space="preserve">Journal of Cloud Computing, 13</w:t>
      </w:r>
      <w:r>
        <w:rPr>
          <w:rFonts w:ascii="Times New Roman" w:cs="Times New Roman" w:eastAsia="Times New Roman" w:hAnsi="Times New Roman"/>
          <w:sz w:val="24"/>
          <w:szCs w:val="24"/>
        </w:rPr>
        <w:t xml:space="preserve">(1), Article 48.</w:t>
      </w:r>
    </w:p>
    <w:p>
      <w:pPr>
        <w:spacing w:after="160" w:line="300"/>
        <w:ind w:left="720" w:hanging="720"/>
        <w:jc w:val="both"/>
      </w:pPr>
      <w:r>
        <w:rPr>
          <w:rFonts w:ascii="Times New Roman" w:cs="Times New Roman" w:eastAsia="Times New Roman" w:hAnsi="Times New Roman"/>
          <w:sz w:val="24"/>
          <w:szCs w:val="24"/>
        </w:rPr>
        <w:t xml:space="preserve">Shchutskaya, V., &amp; Hossain, M. (2023). Alert fatigue in production SRE teams: A quantitative study. In </w:t>
      </w:r>
      <w:r>
        <w:rPr>
          <w:rFonts w:ascii="Times New Roman" w:cs="Times New Roman" w:eastAsia="Times New Roman" w:hAnsi="Times New Roman"/>
          <w:i/>
          <w:iCs/>
          <w:sz w:val="24"/>
          <w:szCs w:val="24"/>
        </w:rPr>
        <w:t xml:space="preserve">Proceedings of the IEEE International Conference on Cloud Engineering (IC2E 2023)</w:t>
      </w:r>
      <w:r>
        <w:rPr>
          <w:rFonts w:ascii="Times New Roman" w:cs="Times New Roman" w:eastAsia="Times New Roman" w:hAnsi="Times New Roman"/>
          <w:sz w:val="24"/>
          <w:szCs w:val="24"/>
        </w:rPr>
        <w:t xml:space="preserve"> (pp. 213–222). IEEE.</w:t>
      </w:r>
    </w:p>
    <w:p>
      <w:pPr>
        <w:spacing w:after="160" w:line="300"/>
        <w:ind w:left="720" w:hanging="720"/>
        <w:jc w:val="both"/>
      </w:pPr>
      <w:r>
        <w:rPr>
          <w:rFonts w:ascii="Times New Roman" w:cs="Times New Roman" w:eastAsia="Times New Roman" w:hAnsi="Times New Roman"/>
          <w:sz w:val="24"/>
          <w:szCs w:val="24"/>
        </w:rPr>
        <w:t xml:space="preserve">Sun, L., Wang, Y., &amp; Chen, Z. (2023). A comparative study of Prometheus, Thanos, and Cortex under high-cardinality workloads. </w:t>
      </w:r>
      <w:r>
        <w:rPr>
          <w:rFonts w:ascii="Times New Roman" w:cs="Times New Roman" w:eastAsia="Times New Roman" w:hAnsi="Times New Roman"/>
          <w:i/>
          <w:iCs/>
          <w:sz w:val="24"/>
          <w:szCs w:val="24"/>
        </w:rPr>
        <w:t xml:space="preserve">IEEE Access, 11</w:t>
      </w:r>
      <w:r>
        <w:rPr>
          <w:rFonts w:ascii="Times New Roman" w:cs="Times New Roman" w:eastAsia="Times New Roman" w:hAnsi="Times New Roman"/>
          <w:sz w:val="24"/>
          <w:szCs w:val="24"/>
        </w:rPr>
        <w:t xml:space="preserve">, 98421–98435.</w:t>
      </w:r>
    </w:p>
    <w:p>
      <w:pPr>
        <w:spacing w:after="140" w:before="240"/>
        <w:jc w:val="left"/>
      </w:pPr>
      <w:r>
        <w:rPr>
          <w:rFonts w:ascii="Times New Roman" w:cs="Times New Roman" w:eastAsia="Times New Roman" w:hAnsi="Times New Roman"/>
          <w:b/>
          <w:bCs/>
          <w:i/>
          <w:iCs/>
          <w:sz w:val="28"/>
          <w:szCs w:val="28"/>
        </w:rPr>
        <w:t xml:space="preserve">Industry and Practitioner Sources</w:t>
      </w:r>
    </w:p>
    <w:p>
      <w:pPr>
        <w:spacing w:after="160" w:line="300"/>
        <w:ind w:left="720" w:hanging="720"/>
        <w:jc w:val="both"/>
      </w:pPr>
      <w:r>
        <w:rPr>
          <w:rFonts w:ascii="Times New Roman" w:cs="Times New Roman" w:eastAsia="Times New Roman" w:hAnsi="Times New Roman"/>
          <w:sz w:val="24"/>
          <w:szCs w:val="24"/>
        </w:rPr>
        <w:t xml:space="preserve">Cloud Native Computing Foundation. (2023). </w:t>
      </w:r>
      <w:r>
        <w:rPr>
          <w:rFonts w:ascii="Times New Roman" w:cs="Times New Roman" w:eastAsia="Times New Roman" w:hAnsi="Times New Roman"/>
          <w:i/>
          <w:iCs/>
          <w:sz w:val="24"/>
          <w:szCs w:val="24"/>
        </w:rPr>
        <w:t xml:space="preserve">CNCF Observability Whitepaper</w:t>
      </w:r>
      <w:r>
        <w:rPr>
          <w:rFonts w:ascii="Times New Roman" w:cs="Times New Roman" w:eastAsia="Times New Roman" w:hAnsi="Times New Roman"/>
          <w:sz w:val="24"/>
          <w:szCs w:val="24"/>
        </w:rPr>
        <w:t xml:space="preserve">. https://github.com/cncf/tag-observability/blob/main/whitepaper.md</w:t>
      </w:r>
    </w:p>
    <w:p>
      <w:pPr>
        <w:spacing w:after="160" w:line="300"/>
        <w:ind w:left="720" w:hanging="720"/>
        <w:jc w:val="both"/>
      </w:pPr>
      <w:r>
        <w:rPr>
          <w:rFonts w:ascii="Times New Roman" w:cs="Times New Roman" w:eastAsia="Times New Roman" w:hAnsi="Times New Roman"/>
          <w:sz w:val="24"/>
          <w:szCs w:val="24"/>
        </w:rPr>
        <w:t xml:space="preserve">Cloud Native Computing Foundation. (2024). </w:t>
      </w:r>
      <w:r>
        <w:rPr>
          <w:rFonts w:ascii="Times New Roman" w:cs="Times New Roman" w:eastAsia="Times New Roman" w:hAnsi="Times New Roman"/>
          <w:i/>
          <w:iCs/>
          <w:sz w:val="24"/>
          <w:szCs w:val="24"/>
        </w:rPr>
        <w:t xml:space="preserve">CNCF Annual Survey 2024</w:t>
      </w:r>
      <w:r>
        <w:rPr>
          <w:rFonts w:ascii="Times New Roman" w:cs="Times New Roman" w:eastAsia="Times New Roman" w:hAnsi="Times New Roman"/>
          <w:sz w:val="24"/>
          <w:szCs w:val="24"/>
        </w:rPr>
        <w:t xml:space="preserve">. Linux Foundation.</w:t>
      </w:r>
    </w:p>
    <w:p>
      <w:pPr>
        <w:spacing w:after="160" w:line="300"/>
        <w:ind w:left="720" w:hanging="720"/>
        <w:jc w:val="both"/>
      </w:pPr>
      <w:r>
        <w:rPr>
          <w:rFonts w:ascii="Times New Roman" w:cs="Times New Roman" w:eastAsia="Times New Roman" w:hAnsi="Times New Roman"/>
          <w:sz w:val="24"/>
          <w:szCs w:val="24"/>
        </w:rPr>
        <w:t xml:space="preserve">Cloud Native Computing Foundation. (2024). </w:t>
      </w:r>
      <w:r>
        <w:rPr>
          <w:rFonts w:ascii="Times New Roman" w:cs="Times New Roman" w:eastAsia="Times New Roman" w:hAnsi="Times New Roman"/>
          <w:i/>
          <w:iCs/>
          <w:sz w:val="24"/>
          <w:szCs w:val="24"/>
        </w:rPr>
        <w:t xml:space="preserve">CNCF End User Technology Radar on Observability</w:t>
      </w:r>
      <w:r>
        <w:rPr>
          <w:rFonts w:ascii="Times New Roman" w:cs="Times New Roman" w:eastAsia="Times New Roman" w:hAnsi="Times New Roman"/>
          <w:sz w:val="24"/>
          <w:szCs w:val="24"/>
        </w:rPr>
        <w:t xml:space="preserve">. https://radar.cncf.io/2024-06-observability</w:t>
      </w:r>
    </w:p>
    <w:p>
      <w:pPr>
        <w:spacing w:after="160" w:line="300"/>
        <w:ind w:left="720" w:hanging="720"/>
        <w:jc w:val="both"/>
      </w:pPr>
      <w:r>
        <w:rPr>
          <w:rFonts w:ascii="Times New Roman" w:cs="Times New Roman" w:eastAsia="Times New Roman" w:hAnsi="Times New Roman"/>
          <w:sz w:val="24"/>
          <w:szCs w:val="24"/>
        </w:rPr>
        <w:t xml:space="preserve">DORA / DevOps Research and Assessment. (2024). </w:t>
      </w:r>
      <w:r>
        <w:rPr>
          <w:rFonts w:ascii="Times New Roman" w:cs="Times New Roman" w:eastAsia="Times New Roman" w:hAnsi="Times New Roman"/>
          <w:i/>
          <w:iCs/>
          <w:sz w:val="24"/>
          <w:szCs w:val="24"/>
        </w:rPr>
        <w:t xml:space="preserve">Accelerate State of DevOps Report 2024</w:t>
      </w:r>
      <w:r>
        <w:rPr>
          <w:rFonts w:ascii="Times New Roman" w:cs="Times New Roman" w:eastAsia="Times New Roman" w:hAnsi="Times New Roman"/>
          <w:sz w:val="24"/>
          <w:szCs w:val="24"/>
        </w:rPr>
        <w:t xml:space="preserve">. Google Cloud.</w:t>
      </w:r>
    </w:p>
    <w:p>
      <w:pPr>
        <w:spacing w:after="160" w:line="300"/>
        <w:ind w:left="720" w:hanging="720"/>
        <w:jc w:val="both"/>
      </w:pPr>
      <w:r>
        <w:rPr>
          <w:rFonts w:ascii="Times New Roman" w:cs="Times New Roman" w:eastAsia="Times New Roman" w:hAnsi="Times New Roman"/>
          <w:sz w:val="24"/>
          <w:szCs w:val="24"/>
        </w:rPr>
        <w:t xml:space="preserve">Fitzpatrick, B. </w:t>
      </w:r>
      <w:r>
        <w:rPr>
          <w:rFonts w:ascii="Times New Roman" w:cs="Times New Roman" w:eastAsia="Times New Roman" w:hAnsi="Times New Roman"/>
          <w:i/>
          <w:iCs/>
          <w:sz w:val="24"/>
          <w:szCs w:val="24"/>
        </w:rPr>
        <w:t xml:space="preserve">My Philosophy on Alerting</w:t>
      </w:r>
      <w:r>
        <w:rPr>
          <w:rFonts w:ascii="Times New Roman" w:cs="Times New Roman" w:eastAsia="Times New Roman" w:hAnsi="Times New Roman"/>
          <w:sz w:val="24"/>
          <w:szCs w:val="24"/>
        </w:rPr>
        <w:t xml:space="preserve"> [Google internal memo; widely reproduced in the SRE community].</w:t>
      </w:r>
    </w:p>
    <w:p>
      <w:pPr>
        <w:spacing w:after="160" w:line="300"/>
        <w:ind w:left="720" w:hanging="720"/>
        <w:jc w:val="both"/>
      </w:pPr>
      <w:r>
        <w:rPr>
          <w:rFonts w:ascii="Times New Roman" w:cs="Times New Roman" w:eastAsia="Times New Roman" w:hAnsi="Times New Roman"/>
          <w:sz w:val="24"/>
          <w:szCs w:val="24"/>
        </w:rPr>
        <w:t xml:space="preserve">Google Cloud. (2024). </w:t>
      </w:r>
      <w:r>
        <w:rPr>
          <w:rFonts w:ascii="Times New Roman" w:cs="Times New Roman" w:eastAsia="Times New Roman" w:hAnsi="Times New Roman"/>
          <w:i/>
          <w:iCs/>
          <w:sz w:val="24"/>
          <w:szCs w:val="24"/>
        </w:rPr>
        <w:t xml:space="preserve">SRE at Scale: Operating Production Systems the Google Way</w:t>
      </w:r>
      <w:r>
        <w:rPr>
          <w:rFonts w:ascii="Times New Roman" w:cs="Times New Roman" w:eastAsia="Times New Roman" w:hAnsi="Times New Roman"/>
          <w:sz w:val="24"/>
          <w:szCs w:val="24"/>
        </w:rPr>
        <w:t xml:space="preserve"> (Whitepaper). Google LLC.</w:t>
      </w:r>
    </w:p>
    <w:p>
      <w:pPr>
        <w:spacing w:after="160" w:line="300"/>
        <w:ind w:left="720" w:hanging="720"/>
        <w:jc w:val="both"/>
      </w:pPr>
      <w:r>
        <w:rPr>
          <w:rFonts w:ascii="Times New Roman" w:cs="Times New Roman" w:eastAsia="Times New Roman" w:hAnsi="Times New Roman"/>
          <w:sz w:val="24"/>
          <w:szCs w:val="24"/>
        </w:rPr>
        <w:t xml:space="preserve">Grafana Labs. (2024). </w:t>
      </w:r>
      <w:r>
        <w:rPr>
          <w:rFonts w:ascii="Times New Roman" w:cs="Times New Roman" w:eastAsia="Times New Roman" w:hAnsi="Times New Roman"/>
          <w:i/>
          <w:iCs/>
          <w:sz w:val="24"/>
          <w:szCs w:val="24"/>
        </w:rPr>
        <w:t xml:space="preserve">Grafana Observability Survey 2024</w:t>
      </w:r>
      <w:r>
        <w:rPr>
          <w:rFonts w:ascii="Times New Roman" w:cs="Times New Roman" w:eastAsia="Times New Roman" w:hAnsi="Times New Roman"/>
          <w:sz w:val="24"/>
          <w:szCs w:val="24"/>
        </w:rPr>
        <w:t xml:space="preserve">. https://grafana.com/observability-survey-2024/</w:t>
      </w:r>
    </w:p>
    <w:p>
      <w:pPr>
        <w:spacing w:after="160" w:line="300"/>
        <w:ind w:left="720" w:hanging="720"/>
        <w:jc w:val="both"/>
      </w:pPr>
      <w:r>
        <w:rPr>
          <w:rFonts w:ascii="Times New Roman" w:cs="Times New Roman" w:eastAsia="Times New Roman" w:hAnsi="Times New Roman"/>
          <w:sz w:val="24"/>
          <w:szCs w:val="24"/>
        </w:rPr>
        <w:t xml:space="preserve">Microsoft. (2025). </w:t>
      </w:r>
      <w:r>
        <w:rPr>
          <w:rFonts w:ascii="Times New Roman" w:cs="Times New Roman" w:eastAsia="Times New Roman" w:hAnsi="Times New Roman"/>
          <w:i/>
          <w:iCs/>
          <w:sz w:val="24"/>
          <w:szCs w:val="24"/>
        </w:rPr>
        <w:t xml:space="preserve">Azure Well-Architected Framework — Reliability Pillar (2025 revision)</w:t>
      </w:r>
      <w:r>
        <w:rPr>
          <w:rFonts w:ascii="Times New Roman" w:cs="Times New Roman" w:eastAsia="Times New Roman" w:hAnsi="Times New Roman"/>
          <w:sz w:val="24"/>
          <w:szCs w:val="24"/>
        </w:rPr>
        <w:t xml:space="preserve">. Microsoft Learn.</w:t>
      </w:r>
    </w:p>
    <w:p>
      <w:pPr>
        <w:spacing w:after="160" w:line="300"/>
        <w:ind w:left="720" w:hanging="720"/>
        <w:jc w:val="both"/>
      </w:pPr>
      <w:r>
        <w:rPr>
          <w:rFonts w:ascii="Times New Roman" w:cs="Times New Roman" w:eastAsia="Times New Roman" w:hAnsi="Times New Roman"/>
          <w:sz w:val="24"/>
          <w:szCs w:val="24"/>
        </w:rPr>
        <w:t xml:space="preserve">PagerDuty. (2025). </w:t>
      </w:r>
      <w:r>
        <w:rPr>
          <w:rFonts w:ascii="Times New Roman" w:cs="Times New Roman" w:eastAsia="Times New Roman" w:hAnsi="Times New Roman"/>
          <w:i/>
          <w:iCs/>
          <w:sz w:val="24"/>
          <w:szCs w:val="24"/>
        </w:rPr>
        <w:t xml:space="preserve">State of Digital Operations Report 2025</w:t>
      </w:r>
      <w:r>
        <w:rPr>
          <w:rFonts w:ascii="Times New Roman" w:cs="Times New Roman" w:eastAsia="Times New Roman" w:hAnsi="Times New Roman"/>
          <w:sz w:val="24"/>
          <w:szCs w:val="24"/>
        </w:rPr>
        <w:t xml:space="preserve">. PagerDuty Inc.</w:t>
      </w:r>
    </w:p>
    <w:p>
      <w:pPr>
        <w:spacing w:after="160" w:line="300"/>
        <w:ind w:left="720" w:hanging="720"/>
        <w:jc w:val="both"/>
      </w:pPr>
      <w:r>
        <w:rPr>
          <w:rFonts w:ascii="Times New Roman" w:cs="Times New Roman" w:eastAsia="Times New Roman" w:hAnsi="Times New Roman"/>
          <w:sz w:val="24"/>
          <w:szCs w:val="24"/>
        </w:rPr>
        <w:t xml:space="preserve">Red Hat. (2024). </w:t>
      </w:r>
      <w:r>
        <w:rPr>
          <w:rFonts w:ascii="Times New Roman" w:cs="Times New Roman" w:eastAsia="Times New Roman" w:hAnsi="Times New Roman"/>
          <w:i/>
          <w:iCs/>
          <w:sz w:val="24"/>
          <w:szCs w:val="24"/>
        </w:rPr>
        <w:t xml:space="preserve">The State of Enterprise Open Source 2024</w:t>
      </w:r>
      <w:r>
        <w:rPr>
          <w:rFonts w:ascii="Times New Roman" w:cs="Times New Roman" w:eastAsia="Times New Roman" w:hAnsi="Times New Roman"/>
          <w:sz w:val="24"/>
          <w:szCs w:val="24"/>
        </w:rPr>
        <w:t xml:space="preserve">. Red Hat Inc.</w:t>
      </w:r>
    </w:p>
    <w:p>
      <w:pPr>
        <w:spacing w:after="160" w:line="300"/>
        <w:ind w:left="720" w:hanging="720"/>
        <w:jc w:val="both"/>
      </w:pPr>
      <w:r>
        <w:rPr>
          <w:rFonts w:ascii="Times New Roman" w:cs="Times New Roman" w:eastAsia="Times New Roman" w:hAnsi="Times New Roman"/>
          <w:sz w:val="24"/>
          <w:szCs w:val="24"/>
        </w:rPr>
        <w:t xml:space="preserve">Prometheus Authors. (2024). </w:t>
      </w:r>
      <w:r>
        <w:rPr>
          <w:rFonts w:ascii="Times New Roman" w:cs="Times New Roman" w:eastAsia="Times New Roman" w:hAnsi="Times New Roman"/>
          <w:i/>
          <w:iCs/>
          <w:sz w:val="24"/>
          <w:szCs w:val="24"/>
        </w:rPr>
        <w:t xml:space="preserve">Prometheus Documentation (v2.51)</w:t>
      </w:r>
      <w:r>
        <w:rPr>
          <w:rFonts w:ascii="Times New Roman" w:cs="Times New Roman" w:eastAsia="Times New Roman" w:hAnsi="Times New Roman"/>
          <w:sz w:val="24"/>
          <w:szCs w:val="24"/>
        </w:rPr>
        <w:t xml:space="preserve">. https://prometheus.io/docs/</w:t>
      </w:r>
    </w:p>
    <w:p>
      <w:pPr>
        <w:spacing w:after="160" w:line="300"/>
        <w:ind w:left="720" w:hanging="720"/>
        <w:jc w:val="both"/>
      </w:pPr>
      <w:r>
        <w:rPr>
          <w:rFonts w:ascii="Times New Roman" w:cs="Times New Roman" w:eastAsia="Times New Roman" w:hAnsi="Times New Roman"/>
          <w:sz w:val="24"/>
          <w:szCs w:val="24"/>
        </w:rPr>
        <w:t xml:space="preserve">Kubernetes Authors. (2024). </w:t>
      </w:r>
      <w:r>
        <w:rPr>
          <w:rFonts w:ascii="Times New Roman" w:cs="Times New Roman" w:eastAsia="Times New Roman" w:hAnsi="Times New Roman"/>
          <w:i/>
          <w:iCs/>
          <w:sz w:val="24"/>
          <w:szCs w:val="24"/>
        </w:rPr>
        <w:t xml:space="preserve">Kubernetes Documentation — Configure Liveness, Readiness and Startup Probes</w:t>
      </w:r>
      <w:r>
        <w:rPr>
          <w:rFonts w:ascii="Times New Roman" w:cs="Times New Roman" w:eastAsia="Times New Roman" w:hAnsi="Times New Roman"/>
          <w:sz w:val="24"/>
          <w:szCs w:val="24"/>
        </w:rPr>
        <w:t xml:space="preserve">. https://kubernetes.io/docs/tasks/configure-pod-container/configure-liveness-readiness-startup-probes/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Cloud-Native Auto-Healing Monitoring System    250020702004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97b38abd8139601f9f61cbb834318521c1965a.undefined"/><Relationship Id="rId10" Type="http://schemas.openxmlformats.org/officeDocument/2006/relationships/image" Target="media/57064124ea2869de38f6ced319bf9abb36d5f143.undefined"/><Relationship Id="rId11" Type="http://schemas.openxmlformats.org/officeDocument/2006/relationships/image" Target="media/4f70b60f4704ae65583b1e958304d1d9a87f1fe6.undefined"/><Relationship Id="rId12" Type="http://schemas.openxmlformats.org/officeDocument/2006/relationships/image" Target="media/01e1fa608bcd210e23264488ab4b4a4ea1b62e0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Cloud-Native Auto-Healing Monitoring System - Complete Mini Project Report</dc:title>
  <dc:creator>Vedant Domadiya</dc:creator>
  <cp:lastModifiedBy>Un-named</cp:lastModifiedBy>
  <cp:revision>1</cp:revision>
  <dcterms:created xsi:type="dcterms:W3CDTF">2026-05-15T15:37:20.353Z</dcterms:created>
  <dcterms:modified xsi:type="dcterms:W3CDTF">2026-05-15T15:37:20.369Z</dcterms:modified>
</cp:coreProperties>
</file>

<file path=docProps/custom.xml><?xml version="1.0" encoding="utf-8"?>
<Properties xmlns="http://schemas.openxmlformats.org/officeDocument/2006/custom-properties" xmlns:vt="http://schemas.openxmlformats.org/officeDocument/2006/docPropsVTypes"/>
</file>