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56"/>
          <w:szCs w:val="56"/>
        </w:rPr>
        <w:t xml:space="preserve">LEXIS</w:t>
      </w:r>
    </w:p>
    <w:p>
      <w:pPr>
        <w:spacing w:after="40"/>
        <w:jc w:val="center"/>
      </w:pPr>
      <w:r>
        <w:rPr>
          <w:i/>
          <w:iCs/>
          <w:color w:val="595959"/>
          <w:sz w:val="26"/>
          <w:szCs w:val="26"/>
        </w:rPr>
        <w:t xml:space="preserve">Legal Expert Intelligence System</w:t>
      </w:r>
    </w:p>
    <w:p>
      <w:pPr>
        <w:spacing w:after="300"/>
        <w:jc w:val="center"/>
      </w:pPr>
      <w:r>
        <w:rPr>
          <w:b/>
          <w:bCs/>
          <w:color w:val="9E2B25"/>
          <w:sz w:val="24"/>
          <w:szCs w:val="24"/>
        </w:rPr>
        <w:t xml:space="preserve">Cybersecurity Plan — Detailed Security Architecture &amp; Implementation Guide</w:t>
      </w:r>
    </w:p>
    <w:p>
      <w:pPr>
        <w:spacing w:after="480"/>
        <w:jc w:val="center"/>
      </w:pPr>
      <w:r>
        <w:rPr>
          <w:color w:val="595959"/>
          <w:sz w:val="20"/>
          <w:szCs w:val="20"/>
        </w:rPr>
        <w:t xml:space="preserve">Prepared for Group 07 — Sanjivani College of Engineering, Kopargaon</w:t>
      </w:r>
    </w:p>
    <w:p>
      <w:pPr>
        <w:pStyle w:val="Heading1"/>
        <w:spacing w:after="160" w:before="360"/>
      </w:pPr>
      <w:r>
        <w:t xml:space="preserve">1. Threat Model — What You're Actually Defending Against</w:t>
      </w:r>
    </w:p>
    <w:p>
      <w:pPr>
        <w:spacing w:after="140" w:line="276"/>
      </w:pPr>
      <w:r>
        <w:rPr>
          <w:sz w:val="22"/>
          <w:szCs w:val="22"/>
        </w:rPr>
        <w:t xml:space="preserve">LEXIS is not just a web app — it's a multi-agent LLM system that ingests untrusted documents, voice, and images and produces legally actionable outputs. That combination creates risk categories most student projects never consider, on top of standard web-app risks.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66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Threat category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 risk in LEXIS</w:t>
            </w:r>
          </w:p>
        </w:tc>
        <w:tc>
          <w:tcPr>
            <w:tcW w:type="dxa" w:w="26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Malicious text hidden in an uploaded rental agreement/PDF (“ignore previous instructions…”) reaches the Rights/Document Analyzer agent</w:t>
            </w:r>
          </w:p>
        </w:tc>
        <w:tc>
          <w:tcPr>
            <w:tcW w:type="dxa" w:w="2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Wrong legal guidance delivered as if verified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upload abuse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Malicious PDFs/images (zip bombs, polyglot files, EXIF exploits, oversized OCR targets)</w:t>
            </w:r>
          </w:p>
        </w:tc>
        <w:tc>
          <w:tcPr>
            <w:tcW w:type="dxa" w:w="26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DoS, server compromise, resource exhaustion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injection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CSV/seed-data imports (scam patterns, law data) containing formula injection (=CMD(…))</w:t>
            </w:r>
          </w:p>
        </w:tc>
        <w:tc>
          <w:tcPr>
            <w:tcW w:type="dxa" w:w="2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execution if opened in Excel by an admin, or backend injection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 abuse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OTP/brute force on login, session hijacking, JWT tampering</w:t>
            </w:r>
          </w:p>
        </w:tc>
        <w:tc>
          <w:tcPr>
            <w:tcW w:type="dxa" w:w="26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 takeover, access to Vault documents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abuse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Unthrottled calls to LLM-backed endpoints</w:t>
            </w:r>
          </w:p>
        </w:tc>
        <w:tc>
          <w:tcPr>
            <w:tcW w:type="dxa" w:w="2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 exhaustion (real money), DoS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exposure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Vault stores lease/passport/legal docs; DB or logs leak PII</w:t>
            </w:r>
          </w:p>
        </w:tc>
        <w:tc>
          <w:tcPr>
            <w:tcW w:type="dxa" w:w="26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Privacy breach, legal liability under India’s DPDP Act 2023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 poisoning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Bad data in the Qdrant legal knowledge base</w:t>
            </w:r>
          </w:p>
        </w:tc>
        <w:tc>
          <w:tcPr>
            <w:tcW w:type="dxa" w:w="2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Confidently wrong legal citations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misbehavior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Orchestrator loops, one compromised agent influencing another via shared scratchpad</w:t>
            </w:r>
          </w:p>
        </w:tc>
        <w:tc>
          <w:tcPr>
            <w:tcW w:type="dxa" w:w="26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Runaway cost, incorrect multi-agent output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Supply chain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Vulnerable npm/pip packages</w:t>
            </w:r>
          </w:p>
        </w:tc>
        <w:tc>
          <w:tcPr>
            <w:tcW w:type="dxa" w:w="26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Remote code execution</w:t>
            </w:r>
          </w:p>
        </w:tc>
      </w:tr>
    </w:tbl>
    <w:p>
      <w:pPr>
        <w:spacing w:after="100" w:before="200"/>
      </w:pPr>
      <w:r>
        <w:rPr>
          <w:sz w:val="22"/>
          <w:szCs w:val="22"/>
        </w:rPr>
        <w:t xml:space="preserve">Treat the last four rows — RAG poisoning, agent misbehavior, prompt injection, and LLM output integrity — as this project's differentiator. </w:t>
      </w:r>
      <w:r>
        <w:rPr>
          <w:i/>
          <w:iCs/>
          <w:sz w:val="22"/>
          <w:szCs w:val="22"/>
        </w:rPr>
        <w:t xml:space="preserve">Almost no other student project will address agentic-AI-specific security, and judges will notice if you can articulate it clearly.</w:t>
      </w:r>
    </w:p>
    <w:p>
      <w:pPr>
        <w:pStyle w:val="Heading1"/>
        <w:spacing w:after="160" w:before="360"/>
      </w:pPr>
      <w:r>
        <w:t xml:space="preserve">2. Security Architecture Mapped to the 8 System Layers</w:t>
      </w:r>
    </w:p>
    <w:p>
      <w:pPr>
        <w:spacing w:after="140" w:line="276"/>
      </w:pPr>
      <w:r>
        <w:rPr>
          <w:sz w:val="22"/>
          <w:szCs w:val="22"/>
        </w:rPr>
        <w:t xml:space="preserve">Defense-in-depth applied across the agentic pipeline, not bolted on as a single perimeter layer: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60"/>
      </w:tblGrid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L1 — User</w:t>
            </w:r>
          </w:p>
        </w:tc>
        <w:tc>
          <w:tcPr>
            <w:tcW w:type="dxa" w:w="6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TLS everywhere; no security logic here, just transport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L2 — Input</w:t>
            </w:r>
          </w:p>
        </w:tc>
        <w:tc>
          <w:tcPr>
            <w:tcW w:type="dxa" w:w="68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Sanitization + prompt-injection filtering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L3 — Orchestrator</w:t>
            </w:r>
          </w:p>
        </w:tc>
        <w:tc>
          <w:tcPr>
            <w:tcW w:type="dxa" w:w="6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Per-request cost/loop guardrails, agent permission scoping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L4 — Agents</w:t>
            </w:r>
          </w:p>
        </w:tc>
        <w:tc>
          <w:tcPr>
            <w:tcW w:type="dxa" w:w="68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Least-privilege tool access, output validation before handoff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L5 — Knowledge</w:t>
            </w:r>
          </w:p>
        </w:tc>
        <w:tc>
          <w:tcPr>
            <w:tcW w:type="dxa" w:w="6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 integrity controls, admin-only write access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L6 — Reflection</w:t>
            </w:r>
          </w:p>
        </w:tc>
        <w:tc>
          <w:tcPr>
            <w:tcW w:type="dxa" w:w="68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Citation-grounding as a security control, not just a quality one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L7 — Output</w:t>
            </w:r>
          </w:p>
        </w:tc>
        <w:tc>
          <w:tcPr>
            <w:tcW w:type="dxa" w:w="6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 filtering — no leaked system prompts, no PII echo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L8 — Action</w:t>
            </w:r>
          </w:p>
        </w:tc>
        <w:tc>
          <w:tcPr>
            <w:tcW w:type="dxa" w:w="68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Explicit user confirmation required before any external submission</w:t>
            </w:r>
          </w:p>
        </w:tc>
      </w:tr>
    </w:tbl>
    <w:p>
      <w:pPr>
        <w:spacing w:before="200"/>
      </w:pPr>
      <w:r>
        <w:rPr>
          <w:i/>
          <w:iCs/>
          <w:sz w:val="22"/>
          <w:szCs w:val="22"/>
        </w:rPr>
        <w:t xml:space="preserve">This “defense in depth across agent layers” framing is worth stating explicitly in the final report — it demonstrates security was designed into the agentic pipeline, not added afterward.</w:t>
      </w:r>
    </w:p>
    <w:p>
      <w:pPr>
        <w:pStyle w:val="Heading1"/>
        <w:spacing w:after="160" w:before="360"/>
      </w:pPr>
      <w:r>
        <w:t xml:space="preserve">3. Identity &amp; Access Management</w:t>
      </w:r>
    </w:p>
    <w:p>
      <w:pPr>
        <w:spacing w:after="140" w:line="276"/>
      </w:pPr>
      <w:r>
        <w:rPr>
          <w:sz w:val="22"/>
          <w:szCs w:val="22"/>
        </w:rPr>
        <w:t xml:space="preserve">Expands the IAM module already scoped for Track A / Module 1: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sz w:val="22"/>
          <w:szCs w:val="22"/>
        </w:rPr>
        <w:t xml:space="preserve">Password auth: </w:t>
      </w:r>
      <w:r>
        <w:rPr>
          <w:sz w:val="22"/>
          <w:szCs w:val="22"/>
        </w:rPr>
        <w:t xml:space="preserve">bcrypt (cost factor ≥12), never plaintext, never logged.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sz w:val="22"/>
          <w:szCs w:val="22"/>
        </w:rPr>
        <w:t xml:space="preserve">OTP login: </w:t>
      </w:r>
      <w:r>
        <w:rPr>
          <w:sz w:val="22"/>
          <w:szCs w:val="22"/>
        </w:rPr>
        <w:t xml:space="preserve">rate-limited 5/15 min per IP + account, OTP expiry ≤5 min, no OTP reuse.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sz w:val="22"/>
          <w:szCs w:val="22"/>
        </w:rPr>
        <w:t xml:space="preserve">JWT: </w:t>
      </w:r>
      <w:r>
        <w:rPr>
          <w:sz w:val="22"/>
          <w:szCs w:val="22"/>
        </w:rPr>
        <w:t xml:space="preserve">short-lived access token (15 min) + httpOnly, secure, SameSite=Strict refresh cookie; rotate refresh tokens on use and detect replay.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sz w:val="22"/>
          <w:szCs w:val="22"/>
        </w:rPr>
        <w:t xml:space="preserve">RBAC: </w:t>
      </w:r>
      <w:r>
        <w:rPr>
          <w:sz w:val="22"/>
          <w:szCs w:val="22"/>
        </w:rPr>
        <w:t xml:space="preserve">citizen role now; lawyer/admin roles stubbed with explicit deny-by-default — don't leave stub roles with implicit access.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sz w:val="22"/>
          <w:szCs w:val="22"/>
        </w:rPr>
        <w:t xml:space="preserve">Anonymous Mode: </w:t>
      </w:r>
      <w:r>
        <w:rPr>
          <w:sz w:val="22"/>
          <w:szCs w:val="22"/>
        </w:rPr>
        <w:t xml:space="preserve">guest session with a temporary ID; hard-block Vault/Deadline Agent access at the middleware level — enforced server-side, never trusted to the frontend.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sz w:val="22"/>
          <w:szCs w:val="22"/>
        </w:rPr>
        <w:t xml:space="preserve">Session invalidation: </w:t>
      </w:r>
      <w:r>
        <w:rPr>
          <w:sz w:val="22"/>
          <w:szCs w:val="22"/>
        </w:rPr>
        <w:t xml:space="preserve">on logout, on password change, and on suspicious geo/IP jump.</w:t>
      </w:r>
    </w:p>
    <w:p>
      <w:pPr>
        <w:pStyle w:val="Heading1"/>
        <w:spacing w:after="160" w:before="360"/>
      </w:pPr>
      <w:r>
        <w:t xml:space="preserve">4. Input Sanitization &amp; Prompt-Injection Defense</w:t>
      </w:r>
    </w:p>
    <w:p>
      <w:pPr>
        <w:spacing w:after="140" w:line="276"/>
      </w:pPr>
      <w:r>
        <w:rPr>
          <w:sz w:val="22"/>
          <w:szCs w:val="22"/>
        </w:rPr>
        <w:t xml:space="preserve">This is the project's real differentiator — a dedicated sub-layer sitting between Input and Orchestrator: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sz w:val="22"/>
          <w:szCs w:val="22"/>
        </w:rPr>
        <w:t xml:space="preserve">Pattern-based filtering: </w:t>
      </w:r>
      <w:r>
        <w:rPr>
          <w:sz w:val="22"/>
          <w:szCs w:val="22"/>
        </w:rPr>
        <w:t xml:space="preserve">detect known injection markers (“ignore previous instructions,” “you are now,” “system:”, “act as”) in OCR'd text and uploaded documents before they reach any agent.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sz w:val="22"/>
          <w:szCs w:val="22"/>
        </w:rPr>
        <w:t xml:space="preserve">Instruction/data separation: </w:t>
      </w:r>
      <w:r>
        <w:rPr>
          <w:sz w:val="22"/>
          <w:szCs w:val="22"/>
        </w:rPr>
        <w:t xml:space="preserve">when passing document content to an LLM, wrap it in clearly delimited blocks and instruct the agent explicitly that content inside is data to analyze, never instructions to follow.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sz w:val="22"/>
          <w:szCs w:val="22"/>
        </w:rPr>
        <w:t xml:space="preserve">Privilege separation between agents: </w:t>
      </w:r>
      <w:r>
        <w:rPr>
          <w:sz w:val="22"/>
          <w:szCs w:val="22"/>
        </w:rPr>
        <w:t xml:space="preserve">the Document Analyzer should not have instruction-following trust over content it extracts — feed extracted text into agents as untrusted context, always.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sz w:val="22"/>
          <w:szCs w:val="22"/>
        </w:rPr>
        <w:t xml:space="preserve">Test suite: </w:t>
      </w:r>
      <w:r>
        <w:rPr>
          <w:sz w:val="22"/>
          <w:szCs w:val="22"/>
        </w:rPr>
        <w:t xml:space="preserve">build 15–20 adversarial documents (hidden instructions in white text, in footnotes, in metadata) and run them through Document Analyzer / Drafter as a security regression test — a strong final-report artifact.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sz w:val="22"/>
          <w:szCs w:val="22"/>
        </w:rPr>
        <w:t xml:space="preserve">Output validation: </w:t>
      </w:r>
      <w:r>
        <w:rPr>
          <w:sz w:val="22"/>
          <w:szCs w:val="22"/>
        </w:rPr>
        <w:t xml:space="preserve">after generation, check that agent output doesn't contain leaked system prompts, other users' data, or unescaped executable content.</w:t>
      </w:r>
    </w:p>
    <w:p>
      <w:pPr>
        <w:pStyle w:val="Heading1"/>
        <w:spacing w:after="160" w:before="360"/>
      </w:pPr>
      <w:r>
        <w:t xml:space="preserve">5. Document &amp; File Upload Security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File type + MIME validation (magic-byte check, not just extension) for PDFs/images.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Size limits to prevent DoS via huge OCR targets.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Malware / zip-bomb scanning before processing (ClamAV is free and sufficient for MVP).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OCR sandboxing: run Tesseract in a restricted, read-only temp directory with no network access and no exec permissions.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Strip EXIF/metadata from uploaded images before storage — privacy protection and prevents exploit payloads hiding in metadata.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CSV formula injection: if any admin-side bulk import (scam patterns, law data, filing authorities) accepts CSV, escape leading =, +, -, @ characters before storage/display. Relevant even though this is an internal/admin path, not just user-facing.</w:t>
      </w:r>
    </w:p>
    <w:p>
      <w:pPr>
        <w:pStyle w:val="Heading1"/>
        <w:spacing w:after="160" w:before="360"/>
      </w:pPr>
      <w:r>
        <w:t xml:space="preserve">6. API Security Gateway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helmet.js security headers, strict CORS locked to known frontend origins.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Global rate limiting (per-IP and per-user), with a separate, tighter limit specifically on LLM-calling endpoints — a financial DoS control, since these cost real money per call, not just an availability one.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Request schema validation on every endpoint (Zod/Joi) — reject malformed payloads before they reach business logic.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API key verification for internal Node↔Python service calls — mutual auth between your own services, don't assume internal network equals trusted.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Cost/latency guardrails at the orchestrator level: max LLM calls per request, logged and alertable if a request blows budget — make sure this is enforced, not just logged.</w:t>
      </w:r>
    </w:p>
    <w:p>
      <w:pPr>
        <w:pStyle w:val="Heading1"/>
        <w:spacing w:after="160" w:before="360"/>
      </w:pPr>
      <w:r>
        <w:t xml:space="preserve">7. Data Protection &amp; Encryption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sz w:val="22"/>
          <w:szCs w:val="22"/>
        </w:rPr>
        <w:t xml:space="preserve">At rest: </w:t>
      </w:r>
      <w:r>
        <w:rPr>
          <w:sz w:val="22"/>
          <w:szCs w:val="22"/>
        </w:rPr>
        <w:t xml:space="preserve">AES-256 for Vault documents, plus application-layer encryption of sensitive fields in MongoDB (phone, email) — not just disk-level encryption.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sz w:val="22"/>
          <w:szCs w:val="22"/>
        </w:rPr>
        <w:t xml:space="preserve">In transit: </w:t>
      </w:r>
      <w:r>
        <w:rPr>
          <w:sz w:val="22"/>
          <w:szCs w:val="22"/>
        </w:rPr>
        <w:t xml:space="preserve">HTTPS everywhere, HSTS enabled.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sz w:val="22"/>
          <w:szCs w:val="22"/>
        </w:rPr>
        <w:t xml:space="preserve">Key management: </w:t>
      </w:r>
      <w:r>
        <w:rPr>
          <w:sz w:val="22"/>
          <w:szCs w:val="22"/>
        </w:rPr>
        <w:t xml:space="preserve">no hardcoded encryption keys; environment-separated secrets (local/staging/production); document a key-rotation runbook even if not fully automated for MVP.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sz w:val="22"/>
          <w:szCs w:val="22"/>
        </w:rPr>
        <w:t xml:space="preserve">Secrets: </w:t>
      </w:r>
      <w:r>
        <w:rPr>
          <w:sz w:val="22"/>
          <w:szCs w:val="22"/>
        </w:rPr>
        <w:t xml:space="preserve">all API keys in env vars, .gitignore audited, no secrets in commit history — run a git-secrets style scan once before submission.</w:t>
      </w:r>
    </w:p>
    <w:p>
      <w:pPr>
        <w:pStyle w:val="Heading1"/>
        <w:spacing w:after="160" w:before="360"/>
      </w:pPr>
      <w:r>
        <w:t xml:space="preserve">8. RAG / Vector Database Integrity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Write access to the Qdrant legal knowledge base restricted to the admin/seed pipeline only — a citizen-facing agent should never be able to write to the knowledge base it retrieves from.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Citation-grounding as a security control: if retrieval confidence is low, the agent must say so rather than fabricate; log low-confidence responses for review.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Version/checksum the seed law data so tampering or corruption of the knowledge base can be detected.</w:t>
      </w:r>
    </w:p>
    <w:p>
      <w:pPr>
        <w:pStyle w:val="Heading1"/>
        <w:spacing w:after="160" w:before="360"/>
      </w:pPr>
      <w:r>
        <w:t xml:space="preserve">9. Multi-Agent Orchestration Security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Least-privilege tool access per agent — e.g. the Scam Detection Agent shouldn't be able to call the Document Drafter's PDF generation tool.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Validate what one agent writes to the shared scratchpad before another agent trusts it — don't let a hallucinated “fact” silently propagate without passing through the Reflection Layer's check.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Bounded retries (3, then deliver-with-flag) to prevent infinite loops from becoming a cost/DoS vector.</w:t>
      </w:r>
    </w:p>
    <w:p>
      <w:pPr>
        <w:pStyle w:val="Heading1"/>
        <w:spacing w:after="160" w:before="360"/>
      </w:pPr>
      <w:r>
        <w:t xml:space="preserve">10. Intrusion Detection &amp; Logging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Centralized logging of all requests, auth events, and agent invocations — but never log raw document content or full legal queries in plaintext, since these contain PII and privileged legal detail.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Anomaly detection: repeated failed logins, unusual request volume per user, sudden spikes in LLM calls from one account.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Alerting (even a simple Slack/email webhook for MVP) on repeated auth failures, rate-limit trips, and cost-guardrail breaches.</w:t>
      </w:r>
    </w:p>
    <w:p>
      <w:pPr>
        <w:pStyle w:val="Heading1"/>
        <w:spacing w:after="160" w:before="360"/>
      </w:pPr>
      <w:r>
        <w:t xml:space="preserve">11. Privacy &amp; Compliance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India's DPDP Act 2023 is directly relevant given LEXIS processes citizens' personal and legal data — worth a paragraph in the report showing awareness of it.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Audit Anonymous Mode server-side to verify literally nothing identifying is persisted — a strong demo point (“here's our data flow showing zero persistence”).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Data retention policy plus a “delete my account and data” flow — already scoped in Module 13; keep it, it's a strong judge-facing point.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Never log sensitive document content in plaintext anywhere, including error stack traces.</w:t>
      </w:r>
    </w:p>
    <w:p>
      <w:pPr>
        <w:pStyle w:val="Heading1"/>
        <w:spacing w:after="160" w:before="360"/>
      </w:pPr>
      <w:r>
        <w:t xml:space="preserve">12. DevSecOps / Infrastructure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Dependency scanning in CI: npm audit, pip-audit; fail the build on high-severity findings.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Docker hardening: non-root container users, minimal base images, no dev dependencies in production images.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Pre-demo security checklist: no exposed .env, no default credentials, no verbose stack traces shown to end users, no debug mode enabled in production config.</w:t>
      </w:r>
    </w:p>
    <w:p>
      <w:pPr>
        <w:pStyle w:val="Heading1"/>
        <w:spacing w:after="160" w:before="360"/>
      </w:pPr>
      <w:r>
        <w:t xml:space="preserve">13. Security Testing Plan</w:t>
      </w:r>
    </w:p>
    <w:p>
      <w:pPr>
        <w:spacing w:after="140" w:line="276"/>
      </w:pPr>
      <w:r>
        <w:rPr>
          <w:sz w:val="22"/>
          <w:szCs w:val="22"/>
        </w:rPr>
        <w:t xml:space="preserve">A concrete test matrix executable in Weeks 5–6: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6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6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6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Feed 15–20 adversarial documents through each agent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 brute force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Automated script hitting login/OTP endpoints; confirm rate limit trips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upload abuse</w:t>
            </w:r>
          </w:p>
        </w:tc>
        <w:tc>
          <w:tcPr>
            <w:tcW w:type="dxa" w:w="6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Try oversized files, wrong MIME with correct extension, zip bombs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limit / cost guardrail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Script rapid LLM-endpoint calls; confirm throttling and alerting fire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Dependency scan</w:t>
            </w:r>
          </w:p>
        </w:tc>
        <w:tc>
          <w:tcPr>
            <w:tcW w:type="dxa" w:w="6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npm audit / pip-audit in CI; document findings + fixes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 security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Try using an expired/tampered JWT; confirm rejection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Anonymous mode leak check</w:t>
            </w:r>
          </w:p>
        </w:tc>
        <w:tc>
          <w:tcPr>
            <w:tcW w:type="dxa" w:w="6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Manually inspect DB after an anonymous session; confirm zero persistence</w:t>
            </w:r>
          </w:p>
        </w:tc>
      </w:tr>
    </w:tbl>
    <w:p>
      <w:pPr>
        <w:spacing w:before="200"/>
      </w:pPr>
      <w:r>
        <w:rPr>
          <w:i/>
          <w:iCs/>
          <w:sz w:val="22"/>
          <w:szCs w:val="22"/>
        </w:rPr>
        <w:t xml:space="preserve">This table doubles as the Module 13 deliverable — “a documented security review with findings + fixes” — which the project plan already flags as valuable for judges.</w:t>
      </w:r>
    </w:p>
    <w:p>
      <w:pPr>
        <w:pStyle w:val="Heading1"/>
        <w:spacing w:after="160" w:before="360"/>
      </w:pPr>
      <w:r>
        <w:t xml:space="preserve">Team Mapping Note</w:t>
      </w:r>
    </w:p>
    <w:p>
      <w:pPr>
        <w:spacing w:after="140" w:line="276"/>
      </w:pPr>
      <w:r>
        <w:rPr>
          <w:sz w:val="22"/>
          <w:szCs w:val="22"/>
        </w:rPr>
        <w:t xml:space="preserve">Vedant's four originally proposed modules map cleanly onto this plan and nothing conflicts — this document simply extends that list with the agentic-AI-specific pieces unique to LEXIS: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sz w:val="22"/>
          <w:szCs w:val="22"/>
        </w:rPr>
        <w:t xml:space="preserve">Security Sanitization </w:t>
      </w:r>
      <w:r>
        <w:rPr>
          <w:sz w:val="22"/>
          <w:szCs w:val="22"/>
        </w:rPr>
        <w:t xml:space="preserve">→ Section 5 (Document &amp; File Upload Security)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sz w:val="22"/>
          <w:szCs w:val="22"/>
        </w:rPr>
        <w:t xml:space="preserve">IAM Module </w:t>
      </w:r>
      <w:r>
        <w:rPr>
          <w:sz w:val="22"/>
          <w:szCs w:val="22"/>
        </w:rPr>
        <w:t xml:space="preserve">→ Section 3 (Identity &amp; Access Management)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sz w:val="22"/>
          <w:szCs w:val="22"/>
        </w:rPr>
        <w:t xml:space="preserve">API Security Gateway </w:t>
      </w:r>
      <w:r>
        <w:rPr>
          <w:sz w:val="22"/>
          <w:szCs w:val="22"/>
        </w:rPr>
        <w:t xml:space="preserve">→ Section 6 (API Security Gateway)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sz w:val="22"/>
          <w:szCs w:val="22"/>
        </w:rPr>
        <w:t xml:space="preserve">Intrusion Detection &amp; Logging </w:t>
      </w:r>
      <w:r>
        <w:rPr>
          <w:sz w:val="22"/>
          <w:szCs w:val="22"/>
        </w:rPr>
        <w:t xml:space="preserve">→ Section 10 (Intrusion Detection &amp; Logging)</w:t>
      </w:r>
    </w:p>
    <w:p>
      <w:pPr>
        <w:spacing w:after="140" w:line="276"/>
      </w:pPr>
      <w:r>
        <w:rPr>
          <w:sz w:val="22"/>
          <w:szCs w:val="22"/>
        </w:rPr>
        <w:t xml:space="preserve">The agentic-specific additions — prompt-injection defense (§4), RAG integrity (§8), and multi-agent orchestration security (§9) — are what differentiate this from a generic web-app security plan.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8"/>
        <w:szCs w:val="18"/>
      </w:rPr>
      <w:t xml:space="preserve">LEXIS — Cybersecurity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60" w:before="3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9E2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2026-07-17T04:58:18.376Z</dcterms:created>
  <dcterms:modified xsi:type="dcterms:W3CDTF">2026-07-17T04:58:18.389Z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