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1F3A5F"/>
          <w:sz w:val="52"/>
        </w:rPr>
        <w:t>Solution Walkthrough</w:t>
      </w:r>
    </w:p>
    <w:p>
      <w:pPr>
        <w:spacing w:after="40"/>
        <w:jc w:val="center"/>
      </w:pPr>
      <w:r>
        <w:rPr>
          <w:b w:val="0"/>
          <w:i w:val="0"/>
          <w:color w:val="555F6D"/>
          <w:sz w:val="26"/>
        </w:rPr>
        <w:t>Adaptive Red-Team / Blue-Team System for Agentic-Commerce Payment Fraud</w:t>
      </w:r>
    </w:p>
    <w:p>
      <w:pPr>
        <w:spacing w:after="280"/>
        <w:jc w:val="center"/>
      </w:pPr>
      <w:r>
        <w:rPr>
          <w:b w:val="0"/>
          <w:i w:val="0"/>
          <w:color w:val="555F6D"/>
          <w:sz w:val="21"/>
        </w:rPr>
        <w:t>Mastercard Innovation Challenge 2026</w:t>
      </w:r>
    </w:p>
    <w:tbl>
      <w:tblPr>
        <w:tblStyle w:val="TableGrid"/>
        <w:tblW w:type="auto" w:w="0"/>
        <w:tblLook w:firstColumn="1" w:firstRow="1" w:lastColumn="0" w:lastRow="0" w:noHBand="0" w:noVBand="1" w:val="04A0"/>
      </w:tblPr>
      <w:tblGrid>
        <w:gridCol w:w="9648"/>
      </w:tblGrid>
      <w:tr>
        <w:tc>
          <w:tcPr>
            <w:tcW w:type="dxa" w:w="9648"/>
            <w:shd w:val="clear" w:fill="F4F6FA"/>
          </w:tcPr>
          <w:p>
            <w:r/>
            <w:r>
              <w:rPr>
                <w:b/>
                <w:color w:val="1F3A5F"/>
                <w:sz w:val="19"/>
              </w:rPr>
              <w:t>Summary</w:t>
            </w:r>
          </w:p>
          <w:p>
            <w:pPr>
              <w:spacing w:after="40"/>
            </w:pPr>
            <w:r>
              <w:rPr>
                <w:sz w:val="19"/>
              </w:rPr>
              <w:t>When an AI agent holds payment credentials and decides what to buy on a user's behalf, cryptography still protects execution — but nothing protects the decision that built the transaction. We built an end-to-end Identify → Generate → Defend system on a faithful simulation of Google's AP2 protocol: five attack families, an adaptive Red↔Blue loop where each side learns from the other, and a hybrid detector evaluated under a three-tier generalization protocol. Every figure below is reproducible from the repository, and the negative results are reported alongside the positive ones.</w:t>
            </w:r>
          </w:p>
        </w:tc>
      </w:tr>
    </w:tbl>
    <w:p>
      <w:pPr>
        <w:spacing w:after="120"/>
      </w:pPr>
    </w:p>
    <w:p>
      <w:r>
        <w:br w:type="page"/>
      </w:r>
    </w:p>
    <w:p>
      <w:pPr>
        <w:spacing w:after="120"/>
      </w:pPr>
      <w:r>
        <w:rPr>
          <w:b/>
          <w:i w:val="0"/>
          <w:color w:val="1F3A5F"/>
          <w:sz w:val="34"/>
        </w:rPr>
        <w:t>1.  Novel Fraud Attacks Identified</w:t>
      </w:r>
    </w:p>
    <w:p>
      <w:pPr>
        <w:spacing w:after="120"/>
      </w:pPr>
      <w:r>
        <w:rPr>
          <w:b w:val="0"/>
          <w:i w:val="0"/>
        </w:rPr>
        <w:t>Agentic commerce moves the attack surface. In a conventional payment flow the adversary must defeat authentication or cryptography. When an autonomous agent selects the product, requests the credentials, and constructs the mandate, an attacker who never touches a key can still change the outcome — because the mandate is signed faithfully around a decision that was already manipulated. Every attack below produces a cryptographically valid transaction.</w:t>
      </w:r>
    </w:p>
    <w:p>
      <w:pPr>
        <w:spacing w:after="80"/>
      </w:pPr>
      <w:r>
        <w:rPr>
          <w:b/>
          <w:i w:val="0"/>
          <w:color w:val="1F3A5F"/>
          <w:sz w:val="26"/>
        </w:rPr>
        <w:t>1.1  The five implemented families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872"/>
            <w:shd w:val="clear" w:fill="1F3A5F"/>
          </w:tcPr>
          <w:p>
            <w:r/>
            <w:r>
              <w:rPr>
                <w:b/>
                <w:color w:val="FFFFFF"/>
                <w:sz w:val="18"/>
              </w:rPr>
              <w:t>Family</w:t>
            </w:r>
          </w:p>
        </w:tc>
        <w:tc>
          <w:tcPr>
            <w:tcW w:type="dxa" w:w="3888"/>
            <w:shd w:val="clear" w:fill="1F3A5F"/>
          </w:tcPr>
          <w:p>
            <w:r/>
            <w:r>
              <w:rPr>
                <w:b/>
                <w:color w:val="FFFFFF"/>
                <w:sz w:val="18"/>
              </w:rPr>
              <w:t>Mechanism</w:t>
            </w:r>
          </w:p>
        </w:tc>
        <w:tc>
          <w:tcPr>
            <w:tcW w:type="dxa" w:w="2448"/>
            <w:shd w:val="clear" w:fill="1F3A5F"/>
          </w:tcPr>
          <w:p>
            <w:r/>
            <w:r>
              <w:rPr>
                <w:b/>
                <w:color w:val="FFFFFF"/>
                <w:sz w:val="18"/>
              </w:rPr>
              <w:t>Attacker capability</w:t>
            </w:r>
          </w:p>
        </w:tc>
        <w:tc>
          <w:tcPr>
            <w:tcW w:type="dxa" w:w="1872"/>
            <w:shd w:val="clear" w:fill="1F3A5F"/>
          </w:tcPr>
          <w:p>
            <w:r/>
            <w:r>
              <w:rPr>
                <w:b/>
                <w:color w:val="FFFFFF"/>
                <w:sz w:val="18"/>
              </w:rPr>
              <w:t>Objective</w:t>
            </w:r>
          </w:p>
        </w:tc>
      </w:tr>
      <w:tr>
        <w:tc>
          <w:tcPr>
            <w:tcW w:type="dxa" w:w="1872"/>
          </w:tcPr>
          <w:p>
            <w:pPr>
              <w:spacing w:after="40"/>
            </w:pPr>
            <w:r/>
            <w:r>
              <w:rPr>
                <w:sz w:val="18"/>
              </w:rPr>
              <w:t>Branded Whisper</w:t>
            </w:r>
          </w:p>
        </w:tc>
        <w:tc>
          <w:tcPr>
            <w:tcW w:type="dxa" w:w="3888"/>
          </w:tcPr>
          <w:p>
            <w:pPr>
              <w:spacing w:after="40"/>
            </w:pPr>
            <w:r/>
            <w:r>
              <w:rPr>
                <w:sz w:val="18"/>
              </w:rPr>
              <w:t>Hidden ranking directive embedded in product metadata</w:t>
            </w:r>
          </w:p>
        </w:tc>
        <w:tc>
          <w:tcPr>
            <w:tcW w:type="dxa" w:w="2448"/>
          </w:tcPr>
          <w:p>
            <w:pPr>
              <w:spacing w:after="40"/>
            </w:pPr>
            <w:r/>
            <w:r>
              <w:rPr>
                <w:sz w:val="18"/>
              </w:rPr>
              <w:t>Controls product descriptions only</w:t>
            </w:r>
          </w:p>
        </w:tc>
        <w:tc>
          <w:tcPr>
            <w:tcW w:type="dxa" w:w="1872"/>
          </w:tcPr>
          <w:p>
            <w:pPr>
              <w:spacing w:after="40"/>
            </w:pPr>
            <w:r/>
            <w:r>
              <w:rPr>
                <w:sz w:val="18"/>
              </w:rPr>
              <w:t>Payment manipulation</w:t>
            </w:r>
          </w:p>
        </w:tc>
      </w:tr>
      <w:tr>
        <w:tc>
          <w:tcPr>
            <w:tcW w:type="dxa" w:w="1872"/>
            <w:shd w:val="clear" w:fill="F6F7F9"/>
          </w:tcPr>
          <w:p>
            <w:pPr>
              <w:spacing w:after="40"/>
            </w:pPr>
            <w:r/>
            <w:r>
              <w:rPr>
                <w:sz w:val="18"/>
              </w:rPr>
              <w:t>Vault Whisper</w:t>
            </w:r>
          </w:p>
        </w:tc>
        <w:tc>
          <w:tcPr>
            <w:tcW w:type="dxa" w:w="3888"/>
            <w:shd w:val="clear" w:fill="F6F7F9"/>
          </w:tcPr>
          <w:p>
            <w:pPr>
              <w:spacing w:after="40"/>
            </w:pPr>
            <w:r/>
            <w:r>
              <w:rPr>
                <w:sz w:val="18"/>
              </w:rPr>
              <w:t>Social-engineered request for another user's stored credentials</w:t>
            </w:r>
          </w:p>
        </w:tc>
        <w:tc>
          <w:tcPr>
            <w:tcW w:type="dxa" w:w="2448"/>
            <w:shd w:val="clear" w:fill="F6F7F9"/>
          </w:tcPr>
          <w:p>
            <w:pPr>
              <w:spacing w:after="40"/>
            </w:pPr>
            <w:r/>
            <w:r>
              <w:rPr>
                <w:sz w:val="18"/>
              </w:rPr>
              <w:t>Is an authenticated user who can type</w:t>
            </w:r>
          </w:p>
        </w:tc>
        <w:tc>
          <w:tcPr>
            <w:tcW w:type="dxa" w:w="1872"/>
            <w:shd w:val="clear" w:fill="F6F7F9"/>
          </w:tcPr>
          <w:p>
            <w:pPr>
              <w:spacing w:after="40"/>
            </w:pPr>
            <w:r/>
            <w:r>
              <w:rPr>
                <w:sz w:val="18"/>
              </w:rPr>
              <w:t>Data exposure</w:t>
            </w:r>
          </w:p>
        </w:tc>
      </w:tr>
      <w:tr>
        <w:tc>
          <w:tcPr>
            <w:tcW w:type="dxa" w:w="1872"/>
          </w:tcPr>
          <w:p>
            <w:pPr>
              <w:spacing w:after="40"/>
            </w:pPr>
            <w:r/>
            <w:r>
              <w:rPr>
                <w:sz w:val="18"/>
              </w:rPr>
              <w:t>Intent Manipulation</w:t>
            </w:r>
          </w:p>
        </w:tc>
        <w:tc>
          <w:tcPr>
            <w:tcW w:type="dxa" w:w="3888"/>
          </w:tcPr>
          <w:p>
            <w:pPr>
              <w:spacing w:after="40"/>
            </w:pPr>
            <w:r/>
            <w:r>
              <w:rPr>
                <w:sz w:val="18"/>
              </w:rPr>
              <w:t>Plausible-but-worse decoy listing — no injected instruction anywhere</w:t>
            </w:r>
          </w:p>
        </w:tc>
        <w:tc>
          <w:tcPr>
            <w:tcW w:type="dxa" w:w="2448"/>
          </w:tcPr>
          <w:p>
            <w:pPr>
              <w:spacing w:after="40"/>
            </w:pPr>
            <w:r/>
            <w:r>
              <w:rPr>
                <w:sz w:val="18"/>
              </w:rPr>
              <w:t>Can list an ordinary product</w:t>
            </w:r>
          </w:p>
        </w:tc>
        <w:tc>
          <w:tcPr>
            <w:tcW w:type="dxa" w:w="1872"/>
          </w:tcPr>
          <w:p>
            <w:pPr>
              <w:spacing w:after="40"/>
            </w:pPr>
            <w:r/>
            <w:r>
              <w:rPr>
                <w:sz w:val="18"/>
              </w:rPr>
              <w:t>Payment manipulation</w:t>
            </w:r>
          </w:p>
        </w:tc>
      </w:tr>
      <w:tr>
        <w:tc>
          <w:tcPr>
            <w:tcW w:type="dxa" w:w="1872"/>
            <w:shd w:val="clear" w:fill="F6F7F9"/>
          </w:tcPr>
          <w:p>
            <w:pPr>
              <w:spacing w:after="40"/>
            </w:pPr>
            <w:r/>
            <w:r>
              <w:rPr>
                <w:sz w:val="18"/>
              </w:rPr>
              <w:t>Delegation Abuse</w:t>
            </w:r>
          </w:p>
        </w:tc>
        <w:tc>
          <w:tcPr>
            <w:tcW w:type="dxa" w:w="3888"/>
            <w:shd w:val="clear" w:fill="F6F7F9"/>
          </w:tcPr>
          <w:p>
            <w:pPr>
              <w:spacing w:after="40"/>
            </w:pPr>
            <w:r/>
            <w:r>
              <w:rPr>
                <w:sz w:val="18"/>
              </w:rPr>
              <w:t>Transaction executed outside its delegated scope (6 violation types)</w:t>
            </w:r>
          </w:p>
        </w:tc>
        <w:tc>
          <w:tcPr>
            <w:tcW w:type="dxa" w:w="2448"/>
            <w:shd w:val="clear" w:fill="F6F7F9"/>
          </w:tcPr>
          <w:p>
            <w:pPr>
              <w:spacing w:after="40"/>
            </w:pPr>
            <w:r/>
            <w:r>
              <w:rPr>
                <w:sz w:val="18"/>
              </w:rPr>
              <w:t>Controls a delegated sub-agent</w:t>
            </w:r>
          </w:p>
        </w:tc>
        <w:tc>
          <w:tcPr>
            <w:tcW w:type="dxa" w:w="1872"/>
            <w:shd w:val="clear" w:fill="F6F7F9"/>
          </w:tcPr>
          <w:p>
            <w:pPr>
              <w:spacing w:after="40"/>
            </w:pPr>
            <w:r/>
            <w:r>
              <w:rPr>
                <w:sz w:val="18"/>
              </w:rPr>
              <w:t>Payment manipulation</w:t>
            </w:r>
          </w:p>
        </w:tc>
      </w:tr>
      <w:tr>
        <w:tc>
          <w:tcPr>
            <w:tcW w:type="dxa" w:w="1872"/>
          </w:tcPr>
          <w:p>
            <w:pPr>
              <w:spacing w:after="40"/>
            </w:pPr>
            <w:r/>
            <w:r>
              <w:rPr>
                <w:sz w:val="18"/>
              </w:rPr>
              <w:t>Sequence Anomaly</w:t>
            </w:r>
          </w:p>
        </w:tc>
        <w:tc>
          <w:tcPr>
            <w:tcW w:type="dxa" w:w="3888"/>
          </w:tcPr>
          <w:p>
            <w:pPr>
              <w:spacing w:after="40"/>
            </w:pPr>
            <w:r/>
            <w:r>
              <w:rPr>
                <w:sz w:val="18"/>
              </w:rPr>
              <w:t>Compromised session: ATO burst, category drift, or slow drain</w:t>
            </w:r>
          </w:p>
        </w:tc>
        <w:tc>
          <w:tcPr>
            <w:tcW w:type="dxa" w:w="2448"/>
          </w:tcPr>
          <w:p>
            <w:pPr>
              <w:spacing w:after="40"/>
            </w:pPr>
            <w:r/>
            <w:r>
              <w:rPr>
                <w:sz w:val="18"/>
              </w:rPr>
              <w:t>Controls a compromised session</w:t>
            </w:r>
          </w:p>
        </w:tc>
        <w:tc>
          <w:tcPr>
            <w:tcW w:type="dxa" w:w="1872"/>
          </w:tcPr>
          <w:p>
            <w:pPr>
              <w:spacing w:after="40"/>
            </w:pPr>
            <w:r/>
            <w:r>
              <w:rPr>
                <w:sz w:val="18"/>
              </w:rPr>
              <w:t>Payment manipulation</w:t>
            </w:r>
          </w:p>
        </w:tc>
      </w:tr>
    </w:tbl>
    <w:p>
      <w:pPr>
        <w:spacing w:after="120"/>
      </w:pPr>
    </w:p>
    <w:p>
      <w:pPr>
        <w:spacing w:after="80"/>
      </w:pPr>
      <w:r>
        <w:rPr>
          <w:b/>
          <w:i w:val="0"/>
          <w:color w:val="1F3A5F"/>
          <w:sz w:val="26"/>
        </w:rPr>
        <w:t>1.2  What is genuinely novel here</w:t>
      </w:r>
    </w:p>
    <w:p>
      <w:pPr>
        <w:spacing w:after="120"/>
      </w:pPr>
      <w:r>
        <w:rPr>
          <w:b/>
          <w:i w:val="0"/>
        </w:rPr>
        <w:t xml:space="preserve">Automation of hand-crafted attacks. </w:t>
      </w:r>
      <w:r>
        <w:rPr>
          <w:b w:val="0"/>
          <w:i w:val="0"/>
        </w:rPr>
        <w:t>The two papers grounding this work hand-crafted one or two attacks per class and measured them over roughly ten trials. Both name the absence of automated generation as their own limitation. Our Red team generates, mutates and evolves those same attack classes automatically against a Blue detector that retrains in response.</w:t>
      </w:r>
    </w:p>
    <w:p>
      <w:pPr>
        <w:spacing w:after="120"/>
      </w:pPr>
      <w:r>
        <w:rPr>
          <w:b/>
          <w:i w:val="0"/>
        </w:rPr>
        <w:t xml:space="preserve">Intent manipulation without injection. </w:t>
      </w:r>
      <w:r>
        <w:rPr>
          <w:b w:val="0"/>
          <w:i w:val="0"/>
        </w:rPr>
        <w:t>A distinct family in which no adversarial instruction exists anywhere in the trace — every content item has contains_injection = False. The attack is purely catalogue ambiguity. This matters because every injection-detection defence is structurally blind to it.</w:t>
      </w:r>
    </w:p>
    <w:p>
      <w:pPr>
        <w:spacing w:after="120"/>
      </w:pPr>
      <w:r>
        <w:rPr>
          <w:b/>
          <w:i w:val="0"/>
        </w:rPr>
        <w:t xml:space="preserve">A quantified detectability frontier. </w:t>
      </w:r>
      <w:r>
        <w:rPr>
          <w:b w:val="0"/>
          <w:i w:val="0"/>
        </w:rPr>
        <w:t>We did not merely observe that slow-drain attacks evade detection; we established the point at which they become statistically undetectable by ANY method given the observable history, and validated that limit against closed-form statistical power analysis (Section 3.5).</w:t>
      </w:r>
    </w:p>
    <w:p>
      <w:pPr>
        <w:spacing w:after="120"/>
      </w:pPr>
      <w:r>
        <w:rPr>
          <w:b/>
          <w:i w:val="0"/>
        </w:rPr>
        <w:t xml:space="preserve">A demonstrated reward-hacking failure mode. </w:t>
      </w:r>
      <w:r>
        <w:rPr>
          <w:b w:val="0"/>
          <w:i w:val="0"/>
        </w:rPr>
        <w:t>Given a slightly wider search space, a reward-maximising optimiser abandoned stealth entirely and converged on high-volume ordinary spending — scoring 5.6× a genuine attack while being less harmful. We report this because it is a real hazard for any automated red-teaming system, and we hardened the reward against it.</w:t>
      </w:r>
    </w:p>
    <w:p>
      <w:r>
        <w:br w:type="page"/>
      </w:r>
    </w:p>
    <w:p>
      <w:pPr>
        <w:spacing w:after="120"/>
      </w:pPr>
      <w:r>
        <w:rPr>
          <w:b/>
          <w:i w:val="0"/>
          <w:color w:val="1F3A5F"/>
          <w:sz w:val="34"/>
        </w:rPr>
        <w:t>2.  How the System Generates and Simulates Attacks</w:t>
      </w:r>
    </w:p>
    <w:p>
      <w:pPr>
        <w:spacing w:after="80"/>
      </w:pPr>
      <w:r>
        <w:rPr>
          <w:b/>
          <w:i w:val="0"/>
          <w:color w:val="1F3A5F"/>
          <w:sz w:val="26"/>
        </w:rPr>
        <w:t>2.1  The simulated environment</w:t>
      </w:r>
    </w:p>
    <w:p>
      <w:pPr>
        <w:spacing w:after="120"/>
      </w:pPr>
      <w:r>
        <w:rPr>
          <w:b w:val="0"/>
          <w:i w:val="0"/>
        </w:rPr>
        <w:t>We model AP2's actual architecture rather than a generic marketplace: a Shopping Agent, Merchant Agent, Credentials Provider Agent and Merchant Payment Processor Agent, connected by a three-mandate chain (Intent → Cart → Payment). Two design choices are deliberate:</w:t>
      </w:r>
    </w:p>
    <w:p>
      <w:pPr>
        <w:pStyle w:val="ListBullet"/>
        <w:spacing w:after="60"/>
        <w:ind w:left="360"/>
      </w:pPr>
      <w:r>
        <w:t>The environment is undefended by default. Mandates always sign; the credentials provider releases whatever it is asked for. Blue is the only thing between an attack and a completed transaction, which is what makes its contribution measurable.</w:t>
      </w:r>
    </w:p>
    <w:p>
      <w:pPr>
        <w:pStyle w:val="ListBullet"/>
        <w:spacing w:after="60"/>
        <w:ind w:left="360"/>
      </w:pPr>
      <w:r>
        <w:t>A real LLM plays the Shopping Agent. Product selection and credential requests are genuine model calls, so agent decisions are actually manipulable rather than scripted to fail — several of our findings depend on the agent sometimes resisting.</w:t>
      </w:r>
    </w:p>
    <w:p>
      <w:pPr>
        <w:spacing w:after="80"/>
      </w:pPr>
      <w:r>
        <w:rPr>
          <w:b/>
          <w:i w:val="0"/>
          <w:color w:val="1F3A5F"/>
          <w:sz w:val="26"/>
        </w:rPr>
        <w:t>2.2  The Red generation pipeline</w:t>
      </w:r>
    </w:p>
    <w:p>
      <w:pPr>
        <w:spacing w:after="160"/>
        <w:ind w:left="288"/>
      </w:pPr>
      <w:r>
        <w:rPr>
          <w:rFonts w:ascii="Consolas" w:hAnsi="Consolas"/>
          <w:sz w:val="17"/>
        </w:rPr>
        <w:t>seed()      27 scenarios across 5 families — spending profiles, price tiers, categories,</w:t>
        <w:br/>
        <w:t xml:space="preserve">            cadences. Seed 0 of each family is paper-exact and frozen.</w:t>
        <w:br/>
        <w:t xml:space="preserve">   ↓</w:t>
        <w:br/>
        <w:t>mutate()    LLM families rewrite adversarial text; deterministic families move numeric</w:t>
        <w:br/>
        <w:t xml:space="preserve">            levers within clamped bounds. Driven by structured feedback: the specific</w:t>
        <w:br/>
        <w:t xml:space="preserve">            detection reasons from a caught round steer which lever moves next.</w:t>
        <w:br/>
        <w:t xml:space="preserve">   ↓</w:t>
        <w:br/>
        <w:t>simulate()  Run through the real AP2 chain against the live LLM agent.</w:t>
        <w:br/>
        <w:t xml:space="preserve">   ↓</w:t>
        <w:br/>
        <w:t>score()     R = intent_deviation x log1p(payment_impact) x realism x novelty</w:t>
        <w:br/>
        <w:t xml:space="preserve">                                                        - detection_probability</w:t>
        <w:br/>
        <w:t xml:space="preserve">   ↓</w:t>
        <w:br/>
        <w:t>memory      Deduplicate, measure novelty against everything already tried, retain</w:t>
        <w:br/>
        <w:t xml:space="preserve">            survivors as parents for the next generation.</w:t>
      </w:r>
    </w:p>
    <w:p>
      <w:pPr>
        <w:spacing w:after="120"/>
      </w:pPr>
      <w:r>
        <w:rPr>
          <w:b w:val="0"/>
          <w:i w:val="0"/>
        </w:rPr>
        <w:t>The reward is multiplicative by design: an attack with no impact that evades perfectly still scores near zero, which blocks the degenerate "never attack, never get caught" strategy. Two terms required hardening after we observed them being exploited:</w:t>
      </w:r>
    </w:p>
    <w:tbl>
      <w:tblPr>
        <w:tblStyle w:val="TableGrid"/>
        <w:tblW w:type="auto" w:w="0"/>
        <w:jc w:val="center"/>
        <w:tblLook w:firstColumn="1" w:firstRow="1" w:lastColumn="0" w:lastRow="0" w:noHBand="0" w:noVBand="1" w:val="04A0"/>
      </w:tblPr>
      <w:tblGrid>
        <w:gridCol w:w="3216"/>
        <w:gridCol w:w="3216"/>
        <w:gridCol w:w="3216"/>
      </w:tblGrid>
      <w:tr>
        <w:tc>
          <w:tcPr>
            <w:tcW w:type="dxa" w:w="1728"/>
            <w:shd w:val="clear" w:fill="1F3A5F"/>
          </w:tcPr>
          <w:p>
            <w:r/>
            <w:r>
              <w:rPr>
                <w:b/>
                <w:color w:val="FFFFFF"/>
                <w:sz w:val="18"/>
              </w:rPr>
              <w:t>Term</w:t>
            </w:r>
          </w:p>
        </w:tc>
        <w:tc>
          <w:tcPr>
            <w:tcW w:type="dxa" w:w="4032"/>
            <w:shd w:val="clear" w:fill="1F3A5F"/>
          </w:tcPr>
          <w:p>
            <w:r/>
            <w:r>
              <w:rPr>
                <w:b/>
                <w:color w:val="FFFFFF"/>
                <w:sz w:val="18"/>
              </w:rPr>
              <w:t>Problem found</w:t>
            </w:r>
          </w:p>
        </w:tc>
        <w:tc>
          <w:tcPr>
            <w:tcW w:type="dxa" w:w="4320"/>
            <w:shd w:val="clear" w:fill="1F3A5F"/>
          </w:tcPr>
          <w:p>
            <w:r/>
            <w:r>
              <w:rPr>
                <w:b/>
                <w:color w:val="FFFFFF"/>
                <w:sz w:val="18"/>
              </w:rPr>
              <w:t>Fix</w:t>
            </w:r>
          </w:p>
        </w:tc>
      </w:tr>
      <w:tr>
        <w:tc>
          <w:tcPr>
            <w:tcW w:type="dxa" w:w="1728"/>
          </w:tcPr>
          <w:p>
            <w:pPr>
              <w:spacing w:after="40"/>
            </w:pPr>
            <w:r/>
            <w:r>
              <w:rPr>
                <w:sz w:val="18"/>
              </w:rPr>
              <w:t>payment_impact</w:t>
            </w:r>
          </w:p>
        </w:tc>
        <w:tc>
          <w:tcPr>
            <w:tcW w:type="dxa" w:w="4032"/>
          </w:tcPr>
          <w:p>
            <w:pPr>
              <w:spacing w:after="40"/>
            </w:pPr>
            <w:r/>
            <w:r>
              <w:rPr>
                <w:sz w:val="18"/>
              </w:rPr>
              <w:t>Grew linearly with transaction count, so emitting more transactions beat being stealthier</w:t>
            </w:r>
          </w:p>
        </w:tc>
        <w:tc>
          <w:tcPr>
            <w:tcW w:type="dxa" w:w="4320"/>
          </w:tcPr>
          <w:p>
            <w:pPr>
              <w:spacing w:after="40"/>
            </w:pPr>
            <w:r/>
            <w:r>
              <w:rPr>
                <w:sz w:val="18"/>
              </w:rPr>
              <w:t>log1p saturation — ordering preserved, marginal value of each added transaction falls</w:t>
            </w:r>
          </w:p>
        </w:tc>
      </w:tr>
      <w:tr>
        <w:tc>
          <w:tcPr>
            <w:tcW w:type="dxa" w:w="1728"/>
            <w:shd w:val="clear" w:fill="F6F7F9"/>
          </w:tcPr>
          <w:p>
            <w:pPr>
              <w:spacing w:after="40"/>
            </w:pPr>
            <w:r/>
            <w:r>
              <w:rPr>
                <w:sz w:val="18"/>
              </w:rPr>
              <w:t>realism</w:t>
            </w:r>
          </w:p>
        </w:tc>
        <w:tc>
          <w:tcPr>
            <w:tcW w:type="dxa" w:w="4032"/>
            <w:shd w:val="clear" w:fill="F6F7F9"/>
          </w:tcPr>
          <w:p>
            <w:pPr>
              <w:spacing w:after="40"/>
            </w:pPr>
            <w:r/>
            <w:r>
              <w:rPr>
                <w:sz w:val="18"/>
              </w:rPr>
              <w:t>Hardcoded constant, so it could not penalise anything despite being a multiplicative term</w:t>
            </w:r>
          </w:p>
        </w:tc>
        <w:tc>
          <w:tcPr>
            <w:tcW w:type="dxa" w:w="4320"/>
            <w:shd w:val="clear" w:fill="F6F7F9"/>
          </w:tcPr>
          <w:p>
            <w:pPr>
              <w:spacing w:after="40"/>
            </w:pPr>
            <w:r/>
            <w:r>
              <w:rPr>
                <w:sz w:val="18"/>
              </w:rPr>
              <w:t>Measured per family against a benign profile (volume, cadence, amount plausibility)</w:t>
            </w:r>
          </w:p>
        </w:tc>
      </w:tr>
    </w:tbl>
    <w:p>
      <w:pPr>
        <w:spacing w:after="120"/>
      </w:pPr>
    </w:p>
    <w:p>
      <w:pPr>
        <w:spacing w:after="80"/>
      </w:pPr>
      <w:r>
        <w:rPr>
          <w:b/>
          <w:i w:val="0"/>
          <w:color w:val="1F3A5F"/>
          <w:sz w:val="26"/>
        </w:rPr>
        <w:t>2.3  The adaptive Red ↔ Blue loop</w:t>
      </w:r>
    </w:p>
    <w:p>
      <w:pPr>
        <w:spacing w:after="160"/>
        <w:ind w:left="288"/>
      </w:pPr>
      <w:r>
        <w:rPr>
          <w:rFonts w:ascii="Consolas" w:hAnsi="Consolas"/>
          <w:sz w:val="17"/>
        </w:rPr>
        <w:t>Generation N</w:t>
        <w:br/>
        <w:t xml:space="preserve">   ↓  Red population search against the CURRENT Blue</w:t>
        <w:br/>
        <w:t xml:space="preserve">   ↓  Pre-fit check — which attacks got through?</w:t>
        <w:br/>
        <w:t xml:space="preserve">   ↓  Split by LINEAGE ROOT into train / test</w:t>
        <w:br/>
        <w:t xml:space="preserve">   ↓  Blue fits (supervised) and calibrates (one-class) on TRAIN only</w:t>
        <w:br/>
        <w:t xml:space="preserve">   ↓  Post-fit recovery — did Blue close the gap it just had?</w:t>
        <w:br/>
        <w:t xml:space="preserve">   ↓  Metrics computed on TEST only</w:t>
        <w:br/>
        <w:t>Generation N+1 — Red mutates from the surviving lineages</w:t>
      </w:r>
    </w:p>
    <w:p>
      <w:pPr>
        <w:spacing w:after="120"/>
      </w:pPr>
      <w:r>
        <w:rPr>
          <w:b w:val="0"/>
          <w:i w:val="0"/>
        </w:rPr>
        <w:t>Two disciplines make the resulting numbers trustworthy:</w:t>
      </w:r>
    </w:p>
    <w:p>
      <w:pPr>
        <w:pStyle w:val="ListBullet"/>
        <w:spacing w:after="60"/>
        <w:ind w:left="360"/>
      </w:pPr>
      <w:r>
        <w:t>Lineage-root splitting. A mutated child is near-identical to its parent (we measured a 92% duplicate rate for one preset), so a naive per-trace split places near-twins on both sides. We hash the lineage root, keeping whole families of variants together.</w:t>
      </w:r>
    </w:p>
    <w:p>
      <w:pPr>
        <w:pStyle w:val="ListBullet"/>
        <w:spacing w:after="60"/>
        <w:ind w:left="360"/>
      </w:pPr>
      <w:r>
        <w:t>Separated memories. Red's store suppresses similarity, which is what makes its novelty metric meaningful; Blue's store accumulates it, because training wants coverage. Sharing one store was a defect that silently starved Blue's training pool.</w:t>
      </w:r>
    </w:p>
    <w:p>
      <w:r>
        <w:br w:type="page"/>
      </w:r>
    </w:p>
    <w:p>
      <w:pPr>
        <w:spacing w:after="120"/>
      </w:pPr>
      <w:r>
        <w:rPr>
          <w:b/>
          <w:i w:val="0"/>
          <w:color w:val="1F3A5F"/>
          <w:sz w:val="34"/>
        </w:rPr>
        <w:t>3.  Detection &amp; Mitigation Model, with Efficacy Results</w:t>
      </w:r>
    </w:p>
    <w:p>
      <w:pPr>
        <w:spacing w:after="80"/>
      </w:pPr>
      <w:r>
        <w:rPr>
          <w:b/>
          <w:i w:val="0"/>
          <w:color w:val="1F3A5F"/>
          <w:sz w:val="26"/>
        </w:rPr>
        <w:t>3.1  Why a hybrid detector</w:t>
      </w:r>
    </w:p>
    <w:p>
      <w:pPr>
        <w:spacing w:after="120"/>
      </w:pPr>
      <w:r>
        <w:rPr>
          <w:b w:val="0"/>
          <w:i w:val="0"/>
        </w:rPr>
        <w:t>Our central technical finding is that supervised learning cannot generalise to an unseen attack strategy here — and this is provable rather than incidental. In a training pool containing only loud attacks, the feature that identifies a slow-drain attack carries no label information: benign values span and exceed the attack values. The coefficient on that feature is therefore statistically unidentified, and its fitted sign is set by sampling noise. No supervised model of any complexity can recover a coefficient the data does not constrain.</w:t>
      </w:r>
    </w:p>
    <w:tbl>
      <w:tblPr>
        <w:tblStyle w:val="TableGrid"/>
        <w:tblW w:type="auto" w:w="0"/>
        <w:tblLook w:firstColumn="1" w:firstRow="1" w:lastColumn="0" w:lastRow="0" w:noHBand="0" w:noVBand="1" w:val="04A0"/>
      </w:tblPr>
      <w:tblGrid>
        <w:gridCol w:w="9648"/>
      </w:tblGrid>
      <w:tr>
        <w:tc>
          <w:tcPr>
            <w:tcW w:type="dxa" w:w="9648"/>
            <w:shd w:val="clear" w:fill="F4F6FA"/>
          </w:tcPr>
          <w:p>
            <w:r/>
            <w:r>
              <w:rPr>
                <w:b/>
                <w:color w:val="8B2E2E"/>
                <w:sz w:val="19"/>
              </w:rPr>
              <w:t>How we caught this</w:t>
            </w:r>
          </w:p>
          <w:p>
            <w:pPr>
              <w:spacing w:after="40"/>
            </w:pPr>
            <w:r>
              <w:rPr>
                <w:sz w:val="19"/>
              </w:rPr>
              <w:t>The same held-out experiment returned 0/13 in one run and 13/15 in another. Rather than report the favourable number, we traced the discrepancy to training-pool composition and established that we had been reading a coefficient-sign lottery as a result.</w:t>
            </w:r>
          </w:p>
        </w:tc>
      </w:tr>
    </w:tbl>
    <w:p>
      <w:pPr>
        <w:spacing w:after="120"/>
      </w:pPr>
    </w:p>
    <w:p>
      <w:pPr>
        <w:spacing w:after="120"/>
      </w:pPr>
      <w:r>
        <w:rPr>
          <w:b w:val="0"/>
          <w:i w:val="0"/>
        </w:rPr>
        <w:t>Blue therefore has two halves. The supervised half (logistic regression over six two-sided behavioural features) is strong on strategies it has labels for. The one-class half calibrates thresholds on attack-free traces only — it never sees an attack label, so a strategy it has never encountered is scored on exactly the same footing as a familiar one.</w:t>
      </w:r>
    </w:p>
    <w:p>
      <w:pPr>
        <w:spacing w:after="80"/>
      </w:pPr>
      <w:r>
        <w:rPr>
          <w:b/>
          <w:i w:val="0"/>
          <w:color w:val="1F3A5F"/>
          <w:sz w:val="26"/>
        </w:rPr>
        <w:t>3.2  Four outcomes, not two</w:t>
      </w:r>
    </w:p>
    <w:p>
      <w:pPr>
        <w:spacing w:after="120"/>
      </w:pPr>
      <w:r>
        <w:rPr>
          <w:b w:val="0"/>
          <w:i w:val="0"/>
        </w:rPr>
        <w:t>This distinction governs every number that follows:</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val="clear" w:fill="1F3A5F"/>
          </w:tcPr>
          <w:p>
            <w:r/>
            <w:r>
              <w:rPr>
                <w:b/>
                <w:color w:val="FFFFFF"/>
                <w:sz w:val="18"/>
              </w:rPr>
            </w:r>
          </w:p>
        </w:tc>
        <w:tc>
          <w:tcPr>
            <w:tcW w:type="dxa" w:w="3744"/>
            <w:shd w:val="clear" w:fill="1F3A5F"/>
          </w:tcPr>
          <w:p>
            <w:r/>
            <w:r>
              <w:rPr>
                <w:b/>
                <w:color w:val="FFFFFF"/>
                <w:sz w:val="18"/>
              </w:rPr>
              <w:t>Blue caught it</w:t>
            </w:r>
          </w:p>
        </w:tc>
        <w:tc>
          <w:tcPr>
            <w:tcW w:type="dxa" w:w="3744"/>
            <w:shd w:val="clear" w:fill="1F3A5F"/>
          </w:tcPr>
          <w:p>
            <w:r/>
            <w:r>
              <w:rPr>
                <w:b/>
                <w:color w:val="FFFFFF"/>
                <w:sz w:val="18"/>
              </w:rPr>
              <w:t>Blue missed it</w:t>
            </w:r>
          </w:p>
        </w:tc>
      </w:tr>
      <w:tr>
        <w:tc>
          <w:tcPr>
            <w:tcW w:type="dxa" w:w="2160"/>
          </w:tcPr>
          <w:p>
            <w:pPr>
              <w:spacing w:after="40"/>
            </w:pPr>
            <w:r/>
            <w:r>
              <w:rPr>
                <w:sz w:val="18"/>
              </w:rPr>
              <w:t>Attack succeeded</w:t>
            </w:r>
          </w:p>
        </w:tc>
        <w:tc>
          <w:tcPr>
            <w:tcW w:type="dxa" w:w="3744"/>
          </w:tcPr>
          <w:p>
            <w:pPr>
              <w:spacing w:after="40"/>
            </w:pPr>
            <w:r/>
            <w:r>
              <w:rPr>
                <w:sz w:val="18"/>
              </w:rPr>
              <w:t>Case B — harm, but caught</w:t>
            </w:r>
          </w:p>
        </w:tc>
        <w:tc>
          <w:tcPr>
            <w:tcW w:type="dxa" w:w="3744"/>
          </w:tcPr>
          <w:p>
            <w:pPr>
              <w:spacing w:after="40"/>
            </w:pPr>
            <w:r/>
            <w:r>
              <w:rPr>
                <w:sz w:val="18"/>
              </w:rPr>
              <w:t>Case C — harm, undetected</w:t>
            </w:r>
          </w:p>
        </w:tc>
      </w:tr>
      <w:tr>
        <w:tc>
          <w:tcPr>
            <w:tcW w:type="dxa" w:w="2160"/>
            <w:shd w:val="clear" w:fill="F6F7F9"/>
          </w:tcPr>
          <w:p>
            <w:pPr>
              <w:spacing w:after="40"/>
            </w:pPr>
            <w:r/>
            <w:r>
              <w:rPr>
                <w:sz w:val="18"/>
              </w:rPr>
              <w:t>Attack failed</w:t>
            </w:r>
          </w:p>
        </w:tc>
        <w:tc>
          <w:tcPr>
            <w:tcW w:type="dxa" w:w="3744"/>
            <w:shd w:val="clear" w:fill="F6F7F9"/>
          </w:tcPr>
          <w:p>
            <w:pPr>
              <w:spacing w:after="40"/>
            </w:pPr>
            <w:r/>
            <w:r>
              <w:rPr>
                <w:sz w:val="18"/>
              </w:rPr>
              <w:t>Case A — caught, low stakes</w:t>
            </w:r>
          </w:p>
        </w:tc>
        <w:tc>
          <w:tcPr>
            <w:tcW w:type="dxa" w:w="3744"/>
            <w:shd w:val="clear" w:fill="F6F7F9"/>
          </w:tcPr>
          <w:p>
            <w:pPr>
              <w:spacing w:after="40"/>
            </w:pPr>
            <w:r/>
            <w:r>
              <w:rPr>
                <w:sz w:val="18"/>
              </w:rPr>
              <w:t>Case D — blind spot, no harm yet</w:t>
            </w:r>
          </w:p>
        </w:tc>
      </w:tr>
    </w:tbl>
    <w:p>
      <w:pPr>
        <w:spacing w:after="200"/>
      </w:pPr>
      <w:r>
        <w:rPr>
          <w:b w:val="0"/>
          <w:i/>
          <w:color w:val="555F6D"/>
          <w:sz w:val="17"/>
        </w:rPr>
        <w:t>Case C is the metric that matters. An attack that fails on its own is not a defence success, and high recall means little if the misses concentrate in the attacks that worked.</w:t>
      </w:r>
    </w:p>
    <w:p>
      <w:pPr>
        <w:spacing w:after="80"/>
      </w:pPr>
      <w:r>
        <w:rPr>
          <w:b/>
          <w:i w:val="0"/>
          <w:color w:val="1F3A5F"/>
          <w:sz w:val="26"/>
        </w:rPr>
        <w:t>3.3  Adaptive loop results (3 generations, 164 traces, 156 LLM calls)</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720"/>
            <w:shd w:val="clear" w:fill="1F3A5F"/>
          </w:tcPr>
          <w:p>
            <w:r/>
            <w:r>
              <w:rPr>
                <w:b/>
                <w:color w:val="FFFFFF"/>
                <w:sz w:val="18"/>
              </w:rPr>
              <w:t>Gen</w:t>
            </w:r>
          </w:p>
        </w:tc>
        <w:tc>
          <w:tcPr>
            <w:tcW w:type="dxa" w:w="2448"/>
            <w:shd w:val="clear" w:fill="1F3A5F"/>
          </w:tcPr>
          <w:p>
            <w:r/>
            <w:r>
              <w:rPr>
                <w:b/>
                <w:color w:val="FFFFFF"/>
                <w:sz w:val="18"/>
              </w:rPr>
              <w:t>Family</w:t>
            </w:r>
          </w:p>
        </w:tc>
        <w:tc>
          <w:tcPr>
            <w:tcW w:type="dxa" w:w="1296"/>
            <w:shd w:val="clear" w:fill="1F3A5F"/>
          </w:tcPr>
          <w:p>
            <w:r/>
            <w:r>
              <w:rPr>
                <w:b/>
                <w:color w:val="FFFFFF"/>
                <w:sz w:val="18"/>
              </w:rPr>
              <w:t>Red ASR</w:t>
            </w:r>
          </w:p>
        </w:tc>
        <w:tc>
          <w:tcPr>
            <w:tcW w:type="dxa" w:w="1008"/>
            <w:shd w:val="clear" w:fill="1F3A5F"/>
          </w:tcPr>
          <w:p>
            <w:r/>
            <w:r>
              <w:rPr>
                <w:b/>
                <w:color w:val="FFFFFF"/>
                <w:sz w:val="18"/>
              </w:rPr>
              <w:t>Recall</w:t>
            </w:r>
          </w:p>
        </w:tc>
        <w:tc>
          <w:tcPr>
            <w:tcW w:type="dxa" w:w="864"/>
            <w:shd w:val="clear" w:fill="1F3A5F"/>
          </w:tcPr>
          <w:p>
            <w:r/>
            <w:r>
              <w:rPr>
                <w:b/>
                <w:color w:val="FFFFFF"/>
                <w:sz w:val="18"/>
              </w:rPr>
              <w:t>FPR</w:t>
            </w:r>
          </w:p>
        </w:tc>
        <w:tc>
          <w:tcPr>
            <w:tcW w:type="dxa" w:w="864"/>
            <w:shd w:val="clear" w:fill="1F3A5F"/>
          </w:tcPr>
          <w:p>
            <w:r/>
            <w:r>
              <w:rPr>
                <w:b/>
                <w:color w:val="FFFFFF"/>
                <w:sz w:val="18"/>
              </w:rPr>
              <w:t>Case C</w:t>
            </w:r>
          </w:p>
        </w:tc>
        <w:tc>
          <w:tcPr>
            <w:tcW w:type="dxa" w:w="864"/>
            <w:shd w:val="clear" w:fill="1F3A5F"/>
          </w:tcPr>
          <w:p>
            <w:r/>
            <w:r>
              <w:rPr>
                <w:b/>
                <w:color w:val="FFFFFF"/>
                <w:sz w:val="18"/>
              </w:rPr>
              <w:t>F1</w:t>
            </w:r>
          </w:p>
        </w:tc>
        <w:tc>
          <w:tcPr>
            <w:tcW w:type="dxa" w:w="1296"/>
            <w:shd w:val="clear" w:fill="1F3A5F"/>
          </w:tcPr>
          <w:p>
            <w:r/>
            <w:r>
              <w:rPr>
                <w:b/>
                <w:color w:val="FFFFFF"/>
                <w:sz w:val="18"/>
              </w:rPr>
              <w:t>Red reward</w:t>
            </w:r>
          </w:p>
        </w:tc>
      </w:tr>
      <w:tr>
        <w:tc>
          <w:tcPr>
            <w:tcW w:type="dxa" w:w="720"/>
          </w:tcPr>
          <w:p>
            <w:pPr>
              <w:spacing w:after="40"/>
            </w:pPr>
            <w:r/>
            <w:r>
              <w:rPr>
                <w:sz w:val="18"/>
              </w:rPr>
              <w:t>1</w:t>
            </w:r>
          </w:p>
        </w:tc>
        <w:tc>
          <w:tcPr>
            <w:tcW w:type="dxa" w:w="2448"/>
          </w:tcPr>
          <w:p>
            <w:pPr>
              <w:spacing w:after="40"/>
            </w:pPr>
            <w:r/>
            <w:r>
              <w:rPr>
                <w:sz w:val="18"/>
              </w:rPr>
              <w:t>reasoning_attack</w:t>
            </w:r>
          </w:p>
        </w:tc>
        <w:tc>
          <w:tcPr>
            <w:tcW w:type="dxa" w:w="1296"/>
          </w:tcPr>
          <w:p>
            <w:pPr>
              <w:spacing w:after="40"/>
            </w:pPr>
            <w:r/>
            <w:r>
              <w:rPr>
                <w:sz w:val="18"/>
              </w:rPr>
              <w:t>0.08</w:t>
            </w:r>
          </w:p>
        </w:tc>
        <w:tc>
          <w:tcPr>
            <w:tcW w:type="dxa" w:w="1008"/>
          </w:tcPr>
          <w:p>
            <w:pPr>
              <w:spacing w:after="40"/>
            </w:pPr>
            <w:r/>
            <w:r>
              <w:rPr>
                <w:sz w:val="18"/>
              </w:rPr>
              <w:t>0.00</w:t>
            </w:r>
          </w:p>
        </w:tc>
        <w:tc>
          <w:tcPr>
            <w:tcW w:type="dxa" w:w="864"/>
          </w:tcPr>
          <w:p>
            <w:pPr>
              <w:spacing w:after="40"/>
            </w:pPr>
            <w:r/>
            <w:r>
              <w:rPr>
                <w:sz w:val="18"/>
              </w:rPr>
              <w:t>0.00</w:t>
            </w:r>
          </w:p>
        </w:tc>
        <w:tc>
          <w:tcPr>
            <w:tcW w:type="dxa" w:w="864"/>
          </w:tcPr>
          <w:p>
            <w:pPr>
              <w:spacing w:after="40"/>
            </w:pPr>
            <w:r/>
            <w:r>
              <w:rPr>
                <w:sz w:val="18"/>
              </w:rPr>
              <w:t>0</w:t>
            </w:r>
          </w:p>
        </w:tc>
        <w:tc>
          <w:tcPr>
            <w:tcW w:type="dxa" w:w="864"/>
          </w:tcPr>
          <w:p>
            <w:pPr>
              <w:spacing w:after="40"/>
            </w:pPr>
            <w:r/>
            <w:r>
              <w:rPr>
                <w:sz w:val="18"/>
              </w:rPr>
              <w:t>0.00</w:t>
            </w:r>
          </w:p>
        </w:tc>
        <w:tc>
          <w:tcPr>
            <w:tcW w:type="dxa" w:w="1296"/>
          </w:tcPr>
          <w:p>
            <w:pPr>
              <w:spacing w:after="40"/>
            </w:pPr>
            <w:r/>
            <w:r>
              <w:rPr>
                <w:sz w:val="18"/>
              </w:rPr>
              <w:t>−0.03</w:t>
            </w:r>
          </w:p>
        </w:tc>
      </w:tr>
      <w:tr>
        <w:tc>
          <w:tcPr>
            <w:tcW w:type="dxa" w:w="720"/>
            <w:shd w:val="clear" w:fill="F6F7F9"/>
          </w:tcPr>
          <w:p>
            <w:pPr>
              <w:spacing w:after="40"/>
            </w:pPr>
            <w:r/>
            <w:r>
              <w:rPr>
                <w:sz w:val="18"/>
              </w:rPr>
              <w:t>2</w:t>
            </w:r>
          </w:p>
        </w:tc>
        <w:tc>
          <w:tcPr>
            <w:tcW w:type="dxa" w:w="2448"/>
            <w:shd w:val="clear" w:fill="F6F7F9"/>
          </w:tcPr>
          <w:p>
            <w:pPr>
              <w:spacing w:after="40"/>
            </w:pPr>
            <w:r/>
            <w:r>
              <w:rPr>
                <w:sz w:val="18"/>
              </w:rPr>
              <w:t>reasoning_attack</w:t>
            </w:r>
          </w:p>
        </w:tc>
        <w:tc>
          <w:tcPr>
            <w:tcW w:type="dxa" w:w="1296"/>
            <w:shd w:val="clear" w:fill="F6F7F9"/>
          </w:tcPr>
          <w:p>
            <w:pPr>
              <w:spacing w:after="40"/>
            </w:pPr>
            <w:r/>
            <w:r>
              <w:rPr>
                <w:sz w:val="18"/>
              </w:rPr>
              <w:t>0.33</w:t>
            </w:r>
          </w:p>
        </w:tc>
        <w:tc>
          <w:tcPr>
            <w:tcW w:type="dxa" w:w="1008"/>
            <w:shd w:val="clear" w:fill="F6F7F9"/>
          </w:tcPr>
          <w:p>
            <w:pPr>
              <w:spacing w:after="40"/>
            </w:pPr>
            <w:r/>
            <w:r>
              <w:rPr>
                <w:sz w:val="18"/>
              </w:rPr>
              <w:t>0.00</w:t>
            </w:r>
          </w:p>
        </w:tc>
        <w:tc>
          <w:tcPr>
            <w:tcW w:type="dxa" w:w="864"/>
            <w:shd w:val="clear" w:fill="F6F7F9"/>
          </w:tcPr>
          <w:p>
            <w:pPr>
              <w:spacing w:after="40"/>
            </w:pPr>
            <w:r/>
            <w:r>
              <w:rPr>
                <w:sz w:val="18"/>
              </w:rPr>
              <w:t>0.00</w:t>
            </w:r>
          </w:p>
        </w:tc>
        <w:tc>
          <w:tcPr>
            <w:tcW w:type="dxa" w:w="864"/>
            <w:shd w:val="clear" w:fill="F6F7F9"/>
          </w:tcPr>
          <w:p>
            <w:pPr>
              <w:spacing w:after="40"/>
            </w:pPr>
            <w:r/>
            <w:r>
              <w:rPr>
                <w:sz w:val="18"/>
              </w:rPr>
              <w:t>0</w:t>
            </w:r>
          </w:p>
        </w:tc>
        <w:tc>
          <w:tcPr>
            <w:tcW w:type="dxa" w:w="864"/>
            <w:shd w:val="clear" w:fill="F6F7F9"/>
          </w:tcPr>
          <w:p>
            <w:pPr>
              <w:spacing w:after="40"/>
            </w:pPr>
            <w:r/>
            <w:r>
              <w:rPr>
                <w:sz w:val="18"/>
              </w:rPr>
              <w:t>0.00</w:t>
            </w:r>
          </w:p>
        </w:tc>
        <w:tc>
          <w:tcPr>
            <w:tcW w:type="dxa" w:w="1296"/>
            <w:shd w:val="clear" w:fill="F6F7F9"/>
          </w:tcPr>
          <w:p>
            <w:pPr>
              <w:spacing w:after="40"/>
            </w:pPr>
            <w:r/>
            <w:r>
              <w:rPr>
                <w:sz w:val="18"/>
              </w:rPr>
              <w:t>−0.52</w:t>
            </w:r>
          </w:p>
        </w:tc>
      </w:tr>
      <w:tr>
        <w:tc>
          <w:tcPr>
            <w:tcW w:type="dxa" w:w="720"/>
          </w:tcPr>
          <w:p>
            <w:pPr>
              <w:spacing w:after="40"/>
            </w:pPr>
            <w:r/>
            <w:r>
              <w:rPr>
                <w:sz w:val="18"/>
              </w:rPr>
              <w:t>3</w:t>
            </w:r>
          </w:p>
        </w:tc>
        <w:tc>
          <w:tcPr>
            <w:tcW w:type="dxa" w:w="2448"/>
          </w:tcPr>
          <w:p>
            <w:pPr>
              <w:spacing w:after="40"/>
            </w:pPr>
            <w:r/>
            <w:r>
              <w:rPr>
                <w:sz w:val="18"/>
              </w:rPr>
              <w:t>reasoning_attack</w:t>
            </w:r>
          </w:p>
        </w:tc>
        <w:tc>
          <w:tcPr>
            <w:tcW w:type="dxa" w:w="1296"/>
          </w:tcPr>
          <w:p>
            <w:pPr>
              <w:spacing w:after="40"/>
            </w:pPr>
            <w:r/>
            <w:r>
              <w:rPr>
                <w:sz w:val="18"/>
              </w:rPr>
              <w:t>0.17</w:t>
            </w:r>
          </w:p>
        </w:tc>
        <w:tc>
          <w:tcPr>
            <w:tcW w:type="dxa" w:w="1008"/>
          </w:tcPr>
          <w:p>
            <w:pPr>
              <w:spacing w:after="40"/>
            </w:pPr>
            <w:r/>
            <w:r>
              <w:rPr>
                <w:sz w:val="18"/>
              </w:rPr>
              <w:t>0.00</w:t>
            </w:r>
          </w:p>
        </w:tc>
        <w:tc>
          <w:tcPr>
            <w:tcW w:type="dxa" w:w="864"/>
          </w:tcPr>
          <w:p>
            <w:pPr>
              <w:spacing w:after="40"/>
            </w:pPr>
            <w:r/>
            <w:r>
              <w:rPr>
                <w:sz w:val="18"/>
              </w:rPr>
              <w:t>0.00</w:t>
            </w:r>
          </w:p>
        </w:tc>
        <w:tc>
          <w:tcPr>
            <w:tcW w:type="dxa" w:w="864"/>
          </w:tcPr>
          <w:p>
            <w:pPr>
              <w:spacing w:after="40"/>
            </w:pPr>
            <w:r/>
            <w:r>
              <w:rPr>
                <w:sz w:val="18"/>
              </w:rPr>
              <w:t>0</w:t>
            </w:r>
          </w:p>
        </w:tc>
        <w:tc>
          <w:tcPr>
            <w:tcW w:type="dxa" w:w="864"/>
          </w:tcPr>
          <w:p>
            <w:pPr>
              <w:spacing w:after="40"/>
            </w:pPr>
            <w:r/>
            <w:r>
              <w:rPr>
                <w:sz w:val="18"/>
              </w:rPr>
              <w:t>0.00</w:t>
            </w:r>
          </w:p>
        </w:tc>
        <w:tc>
          <w:tcPr>
            <w:tcW w:type="dxa" w:w="1296"/>
          </w:tcPr>
          <w:p>
            <w:pPr>
              <w:spacing w:after="40"/>
            </w:pPr>
            <w:r/>
            <w:r>
              <w:rPr>
                <w:sz w:val="18"/>
              </w:rPr>
              <w:t>−0.51</w:t>
            </w:r>
          </w:p>
        </w:tc>
      </w:tr>
      <w:tr>
        <w:tc>
          <w:tcPr>
            <w:tcW w:type="dxa" w:w="720"/>
            <w:shd w:val="clear" w:fill="F6F7F9"/>
          </w:tcPr>
          <w:p>
            <w:pPr>
              <w:spacing w:after="40"/>
            </w:pPr>
            <w:r/>
            <w:r>
              <w:rPr>
                <w:sz w:val="18"/>
              </w:rPr>
              <w:t>1</w:t>
            </w:r>
          </w:p>
        </w:tc>
        <w:tc>
          <w:tcPr>
            <w:tcW w:type="dxa" w:w="2448"/>
            <w:shd w:val="clear" w:fill="F6F7F9"/>
          </w:tcPr>
          <w:p>
            <w:pPr>
              <w:spacing w:after="40"/>
            </w:pPr>
            <w:r/>
            <w:r>
              <w:rPr>
                <w:sz w:val="18"/>
              </w:rPr>
              <w:t>intent_manipulation</w:t>
            </w:r>
          </w:p>
        </w:tc>
        <w:tc>
          <w:tcPr>
            <w:tcW w:type="dxa" w:w="1296"/>
            <w:shd w:val="clear" w:fill="F6F7F9"/>
          </w:tcPr>
          <w:p>
            <w:pPr>
              <w:spacing w:after="40"/>
            </w:pPr>
            <w:r/>
            <w:r>
              <w:rPr>
                <w:sz w:val="18"/>
              </w:rPr>
              <w:t>0.00</w:t>
            </w:r>
          </w:p>
        </w:tc>
        <w:tc>
          <w:tcPr>
            <w:tcW w:type="dxa" w:w="1008"/>
            <w:shd w:val="clear" w:fill="F6F7F9"/>
          </w:tcPr>
          <w:p>
            <w:pPr>
              <w:spacing w:after="40"/>
            </w:pPr>
            <w:r/>
            <w:r>
              <w:rPr>
                <w:sz w:val="18"/>
              </w:rPr>
              <w:t>0.33</w:t>
            </w:r>
          </w:p>
        </w:tc>
        <w:tc>
          <w:tcPr>
            <w:tcW w:type="dxa" w:w="864"/>
            <w:shd w:val="clear" w:fill="F6F7F9"/>
          </w:tcPr>
          <w:p>
            <w:pPr>
              <w:spacing w:after="40"/>
            </w:pPr>
            <w:r/>
            <w:r>
              <w:rPr>
                <w:sz w:val="18"/>
              </w:rPr>
              <w:t>0.00</w:t>
            </w:r>
          </w:p>
        </w:tc>
        <w:tc>
          <w:tcPr>
            <w:tcW w:type="dxa" w:w="864"/>
            <w:shd w:val="clear" w:fill="F6F7F9"/>
          </w:tcPr>
          <w:p>
            <w:pPr>
              <w:spacing w:after="40"/>
            </w:pPr>
            <w:r/>
            <w:r>
              <w:rPr>
                <w:sz w:val="18"/>
              </w:rPr>
              <w:t>0</w:t>
            </w:r>
          </w:p>
        </w:tc>
        <w:tc>
          <w:tcPr>
            <w:tcW w:type="dxa" w:w="864"/>
            <w:shd w:val="clear" w:fill="F6F7F9"/>
          </w:tcPr>
          <w:p>
            <w:pPr>
              <w:spacing w:after="40"/>
            </w:pPr>
            <w:r/>
            <w:r>
              <w:rPr>
                <w:sz w:val="18"/>
              </w:rPr>
              <w:t>0.50</w:t>
            </w:r>
          </w:p>
        </w:tc>
        <w:tc>
          <w:tcPr>
            <w:tcW w:type="dxa" w:w="1296"/>
            <w:shd w:val="clear" w:fill="F6F7F9"/>
          </w:tcPr>
          <w:p>
            <w:pPr>
              <w:spacing w:after="40"/>
            </w:pPr>
            <w:r/>
            <w:r>
              <w:rPr>
                <w:sz w:val="18"/>
              </w:rPr>
              <w:t>0.00</w:t>
            </w:r>
          </w:p>
        </w:tc>
      </w:tr>
      <w:tr>
        <w:tc>
          <w:tcPr>
            <w:tcW w:type="dxa" w:w="720"/>
          </w:tcPr>
          <w:p>
            <w:pPr>
              <w:spacing w:after="40"/>
            </w:pPr>
            <w:r/>
            <w:r>
              <w:rPr>
                <w:sz w:val="18"/>
              </w:rPr>
              <w:t>2</w:t>
            </w:r>
          </w:p>
        </w:tc>
        <w:tc>
          <w:tcPr>
            <w:tcW w:type="dxa" w:w="2448"/>
          </w:tcPr>
          <w:p>
            <w:pPr>
              <w:spacing w:after="40"/>
            </w:pPr>
            <w:r/>
            <w:r>
              <w:rPr>
                <w:sz w:val="18"/>
              </w:rPr>
              <w:t>intent_manipulation</w:t>
            </w:r>
          </w:p>
        </w:tc>
        <w:tc>
          <w:tcPr>
            <w:tcW w:type="dxa" w:w="1296"/>
          </w:tcPr>
          <w:p>
            <w:pPr>
              <w:spacing w:after="40"/>
            </w:pPr>
            <w:r/>
            <w:r>
              <w:rPr>
                <w:sz w:val="18"/>
              </w:rPr>
              <w:t>0.00</w:t>
            </w:r>
          </w:p>
        </w:tc>
        <w:tc>
          <w:tcPr>
            <w:tcW w:type="dxa" w:w="1008"/>
          </w:tcPr>
          <w:p>
            <w:pPr>
              <w:spacing w:after="40"/>
            </w:pPr>
            <w:r/>
            <w:r>
              <w:rPr>
                <w:sz w:val="18"/>
              </w:rPr>
              <w:t>0.67</w:t>
            </w:r>
          </w:p>
        </w:tc>
        <w:tc>
          <w:tcPr>
            <w:tcW w:type="dxa" w:w="864"/>
          </w:tcPr>
          <w:p>
            <w:pPr>
              <w:spacing w:after="40"/>
            </w:pPr>
            <w:r/>
            <w:r>
              <w:rPr>
                <w:sz w:val="18"/>
              </w:rPr>
              <w:t>0.00</w:t>
            </w:r>
          </w:p>
        </w:tc>
        <w:tc>
          <w:tcPr>
            <w:tcW w:type="dxa" w:w="864"/>
          </w:tcPr>
          <w:p>
            <w:pPr>
              <w:spacing w:after="40"/>
            </w:pPr>
            <w:r/>
            <w:r>
              <w:rPr>
                <w:sz w:val="18"/>
              </w:rPr>
              <w:t>0</w:t>
            </w:r>
          </w:p>
        </w:tc>
        <w:tc>
          <w:tcPr>
            <w:tcW w:type="dxa" w:w="864"/>
          </w:tcPr>
          <w:p>
            <w:pPr>
              <w:spacing w:after="40"/>
            </w:pPr>
            <w:r/>
            <w:r>
              <w:rPr>
                <w:sz w:val="18"/>
              </w:rPr>
              <w:t>0.80</w:t>
            </w:r>
          </w:p>
        </w:tc>
        <w:tc>
          <w:tcPr>
            <w:tcW w:type="dxa" w:w="1296"/>
          </w:tcPr>
          <w:p>
            <w:pPr>
              <w:spacing w:after="40"/>
            </w:pPr>
            <w:r/>
            <w:r>
              <w:rPr>
                <w:sz w:val="18"/>
              </w:rPr>
              <w:t>−0.75</w:t>
            </w:r>
          </w:p>
        </w:tc>
      </w:tr>
      <w:tr>
        <w:tc>
          <w:tcPr>
            <w:tcW w:type="dxa" w:w="720"/>
            <w:shd w:val="clear" w:fill="F6F7F9"/>
          </w:tcPr>
          <w:p>
            <w:pPr>
              <w:spacing w:after="40"/>
            </w:pPr>
            <w:r/>
            <w:r>
              <w:rPr>
                <w:sz w:val="18"/>
              </w:rPr>
              <w:t>3</w:t>
            </w:r>
          </w:p>
        </w:tc>
        <w:tc>
          <w:tcPr>
            <w:tcW w:type="dxa" w:w="2448"/>
            <w:shd w:val="clear" w:fill="F6F7F9"/>
          </w:tcPr>
          <w:p>
            <w:pPr>
              <w:spacing w:after="40"/>
            </w:pPr>
            <w:r/>
            <w:r>
              <w:rPr>
                <w:sz w:val="18"/>
              </w:rPr>
              <w:t>intent_manipulation</w:t>
            </w:r>
          </w:p>
        </w:tc>
        <w:tc>
          <w:tcPr>
            <w:tcW w:type="dxa" w:w="1296"/>
            <w:shd w:val="clear" w:fill="F6F7F9"/>
          </w:tcPr>
          <w:p>
            <w:pPr>
              <w:spacing w:after="40"/>
            </w:pPr>
            <w:r/>
            <w:r>
              <w:rPr>
                <w:sz w:val="18"/>
              </w:rPr>
              <w:t>0.00</w:t>
            </w:r>
          </w:p>
        </w:tc>
        <w:tc>
          <w:tcPr>
            <w:tcW w:type="dxa" w:w="1008"/>
            <w:shd w:val="clear" w:fill="F6F7F9"/>
          </w:tcPr>
          <w:p>
            <w:pPr>
              <w:spacing w:after="40"/>
            </w:pPr>
            <w:r/>
            <w:r>
              <w:rPr>
                <w:sz w:val="18"/>
              </w:rPr>
              <w:t>0.72</w:t>
            </w:r>
          </w:p>
        </w:tc>
        <w:tc>
          <w:tcPr>
            <w:tcW w:type="dxa" w:w="864"/>
            <w:shd w:val="clear" w:fill="F6F7F9"/>
          </w:tcPr>
          <w:p>
            <w:pPr>
              <w:spacing w:after="40"/>
            </w:pPr>
            <w:r/>
            <w:r>
              <w:rPr>
                <w:sz w:val="18"/>
              </w:rPr>
              <w:t>0.00</w:t>
            </w:r>
          </w:p>
        </w:tc>
        <w:tc>
          <w:tcPr>
            <w:tcW w:type="dxa" w:w="864"/>
            <w:shd w:val="clear" w:fill="F6F7F9"/>
          </w:tcPr>
          <w:p>
            <w:pPr>
              <w:spacing w:after="40"/>
            </w:pPr>
            <w:r/>
            <w:r>
              <w:rPr>
                <w:sz w:val="18"/>
              </w:rPr>
              <w:t>0</w:t>
            </w:r>
          </w:p>
        </w:tc>
        <w:tc>
          <w:tcPr>
            <w:tcW w:type="dxa" w:w="864"/>
            <w:shd w:val="clear" w:fill="F6F7F9"/>
          </w:tcPr>
          <w:p>
            <w:pPr>
              <w:spacing w:after="40"/>
            </w:pPr>
            <w:r/>
            <w:r>
              <w:rPr>
                <w:sz w:val="18"/>
              </w:rPr>
              <w:t>0.84</w:t>
            </w:r>
          </w:p>
        </w:tc>
        <w:tc>
          <w:tcPr>
            <w:tcW w:type="dxa" w:w="1296"/>
            <w:shd w:val="clear" w:fill="F6F7F9"/>
          </w:tcPr>
          <w:p>
            <w:pPr>
              <w:spacing w:after="40"/>
            </w:pPr>
            <w:r/>
            <w:r>
              <w:rPr>
                <w:sz w:val="18"/>
              </w:rPr>
              <w:t>−0.70</w:t>
            </w:r>
          </w:p>
        </w:tc>
      </w:tr>
      <w:tr>
        <w:tc>
          <w:tcPr>
            <w:tcW w:type="dxa" w:w="720"/>
            <w:shd w:val="clear" w:fill="EEF3F9"/>
          </w:tcPr>
          <w:p>
            <w:pPr>
              <w:spacing w:after="40"/>
            </w:pPr>
            <w:r/>
            <w:r>
              <w:rPr>
                <w:b/>
                <w:sz w:val="18"/>
              </w:rPr>
              <w:t>1–3</w:t>
            </w:r>
          </w:p>
        </w:tc>
        <w:tc>
          <w:tcPr>
            <w:tcW w:type="dxa" w:w="2448"/>
            <w:shd w:val="clear" w:fill="EEF3F9"/>
          </w:tcPr>
          <w:p>
            <w:pPr>
              <w:spacing w:after="40"/>
            </w:pPr>
            <w:r/>
            <w:r>
              <w:rPr>
                <w:b/>
                <w:sz w:val="18"/>
              </w:rPr>
              <w:t>sequence_anomaly</w:t>
            </w:r>
          </w:p>
        </w:tc>
        <w:tc>
          <w:tcPr>
            <w:tcW w:type="dxa" w:w="1296"/>
            <w:shd w:val="clear" w:fill="EEF3F9"/>
          </w:tcPr>
          <w:p>
            <w:pPr>
              <w:spacing w:after="40"/>
            </w:pPr>
            <w:r/>
            <w:r>
              <w:rPr>
                <w:b/>
                <w:sz w:val="18"/>
              </w:rPr>
              <w:t>1.00→0.83</w:t>
            </w:r>
          </w:p>
        </w:tc>
        <w:tc>
          <w:tcPr>
            <w:tcW w:type="dxa" w:w="1008"/>
            <w:shd w:val="clear" w:fill="EEF3F9"/>
          </w:tcPr>
          <w:p>
            <w:pPr>
              <w:spacing w:after="40"/>
            </w:pPr>
            <w:r/>
            <w:r>
              <w:rPr>
                <w:b/>
                <w:sz w:val="18"/>
              </w:rPr>
              <w:t>1.00</w:t>
            </w:r>
          </w:p>
        </w:tc>
        <w:tc>
          <w:tcPr>
            <w:tcW w:type="dxa" w:w="864"/>
            <w:shd w:val="clear" w:fill="EEF3F9"/>
          </w:tcPr>
          <w:p>
            <w:pPr>
              <w:spacing w:after="40"/>
            </w:pPr>
            <w:r/>
            <w:r>
              <w:rPr>
                <w:b/>
                <w:sz w:val="18"/>
              </w:rPr>
              <w:t>0.00</w:t>
            </w:r>
          </w:p>
        </w:tc>
        <w:tc>
          <w:tcPr>
            <w:tcW w:type="dxa" w:w="864"/>
            <w:shd w:val="clear" w:fill="EEF3F9"/>
          </w:tcPr>
          <w:p>
            <w:pPr>
              <w:spacing w:after="40"/>
            </w:pPr>
            <w:r/>
            <w:r>
              <w:rPr>
                <w:b/>
                <w:sz w:val="18"/>
              </w:rPr>
              <w:t>0</w:t>
            </w:r>
          </w:p>
        </w:tc>
        <w:tc>
          <w:tcPr>
            <w:tcW w:type="dxa" w:w="864"/>
            <w:shd w:val="clear" w:fill="EEF3F9"/>
          </w:tcPr>
          <w:p>
            <w:pPr>
              <w:spacing w:after="40"/>
            </w:pPr>
            <w:r/>
            <w:r>
              <w:rPr>
                <w:b/>
                <w:sz w:val="18"/>
              </w:rPr>
              <w:t>1.00</w:t>
            </w:r>
          </w:p>
        </w:tc>
        <w:tc>
          <w:tcPr>
            <w:tcW w:type="dxa" w:w="1296"/>
            <w:shd w:val="clear" w:fill="EEF3F9"/>
          </w:tcPr>
          <w:p>
            <w:pPr>
              <w:spacing w:after="40"/>
            </w:pPr>
            <w:r/>
            <w:r>
              <w:rPr>
                <w:b/>
                <w:sz w:val="18"/>
              </w:rPr>
              <w:t>−0.91</w:t>
            </w:r>
          </w:p>
        </w:tc>
      </w:tr>
      <w:tr>
        <w:tc>
          <w:tcPr>
            <w:tcW w:type="dxa" w:w="720"/>
            <w:shd w:val="clear" w:fill="EEF3F9"/>
          </w:tcPr>
          <w:p>
            <w:pPr>
              <w:spacing w:after="40"/>
            </w:pPr>
            <w:r/>
            <w:r>
              <w:rPr>
                <w:b/>
                <w:sz w:val="18"/>
              </w:rPr>
              <w:t>1–3</w:t>
            </w:r>
          </w:p>
        </w:tc>
        <w:tc>
          <w:tcPr>
            <w:tcW w:type="dxa" w:w="2448"/>
            <w:shd w:val="clear" w:fill="EEF3F9"/>
          </w:tcPr>
          <w:p>
            <w:pPr>
              <w:spacing w:after="40"/>
            </w:pPr>
            <w:r/>
            <w:r>
              <w:rPr>
                <w:b/>
                <w:sz w:val="18"/>
              </w:rPr>
              <w:t>delegation_abuse (control)</w:t>
            </w:r>
          </w:p>
        </w:tc>
        <w:tc>
          <w:tcPr>
            <w:tcW w:type="dxa" w:w="1296"/>
            <w:shd w:val="clear" w:fill="EEF3F9"/>
          </w:tcPr>
          <w:p>
            <w:pPr>
              <w:spacing w:after="40"/>
            </w:pPr>
            <w:r/>
            <w:r>
              <w:rPr>
                <w:b/>
                <w:sz w:val="18"/>
              </w:rPr>
              <w:t>1.00</w:t>
            </w:r>
          </w:p>
        </w:tc>
        <w:tc>
          <w:tcPr>
            <w:tcW w:type="dxa" w:w="1008"/>
            <w:shd w:val="clear" w:fill="EEF3F9"/>
          </w:tcPr>
          <w:p>
            <w:pPr>
              <w:spacing w:after="40"/>
            </w:pPr>
            <w:r/>
            <w:r>
              <w:rPr>
                <w:b/>
                <w:sz w:val="18"/>
              </w:rPr>
              <w:t>1.00</w:t>
            </w:r>
          </w:p>
        </w:tc>
        <w:tc>
          <w:tcPr>
            <w:tcW w:type="dxa" w:w="864"/>
            <w:shd w:val="clear" w:fill="EEF3F9"/>
          </w:tcPr>
          <w:p>
            <w:pPr>
              <w:spacing w:after="40"/>
            </w:pPr>
            <w:r/>
            <w:r>
              <w:rPr>
                <w:b/>
                <w:sz w:val="18"/>
              </w:rPr>
              <w:t>0.00</w:t>
            </w:r>
          </w:p>
        </w:tc>
        <w:tc>
          <w:tcPr>
            <w:tcW w:type="dxa" w:w="864"/>
            <w:shd w:val="clear" w:fill="EEF3F9"/>
          </w:tcPr>
          <w:p>
            <w:pPr>
              <w:spacing w:after="40"/>
            </w:pPr>
            <w:r/>
            <w:r>
              <w:rPr>
                <w:b/>
                <w:sz w:val="18"/>
              </w:rPr>
              <w:t>0</w:t>
            </w:r>
          </w:p>
        </w:tc>
        <w:tc>
          <w:tcPr>
            <w:tcW w:type="dxa" w:w="864"/>
            <w:shd w:val="clear" w:fill="EEF3F9"/>
          </w:tcPr>
          <w:p>
            <w:pPr>
              <w:spacing w:after="40"/>
            </w:pPr>
            <w:r/>
            <w:r>
              <w:rPr>
                <w:b/>
                <w:sz w:val="18"/>
              </w:rPr>
              <w:t>1.00</w:t>
            </w:r>
          </w:p>
        </w:tc>
        <w:tc>
          <w:tcPr>
            <w:tcW w:type="dxa" w:w="1296"/>
            <w:shd w:val="clear" w:fill="EEF3F9"/>
          </w:tcPr>
          <w:p>
            <w:pPr>
              <w:spacing w:after="40"/>
            </w:pPr>
            <w:r/>
            <w:r>
              <w:rPr>
                <w:b/>
                <w:sz w:val="18"/>
              </w:rPr>
              <w:t>n/a</w:t>
            </w:r>
          </w:p>
        </w:tc>
      </w:tr>
    </w:tbl>
    <w:p>
      <w:pPr>
        <w:spacing w:after="120"/>
      </w:pPr>
    </w:p>
    <w:p>
      <w:pPr>
        <w:spacing w:after="60"/>
      </w:pPr>
      <w:r>
        <w:rPr>
          <w:b/>
          <w:i w:val="0"/>
        </w:rPr>
        <w:t>Four caveats, because this table flatters more than it should:</w:t>
      </w:r>
    </w:p>
    <w:p>
      <w:pPr>
        <w:pStyle w:val="ListBullet"/>
        <w:spacing w:after="60"/>
        <w:ind w:left="360"/>
      </w:pPr>
      <w:r>
        <w:t>intent_manipulation's zero Case C is trivial — no attack ever succeeded, so there was nothing to miss.</w:t>
      </w:r>
    </w:p>
    <w:p>
      <w:pPr>
        <w:pStyle w:val="ListBullet"/>
        <w:spacing w:after="60"/>
        <w:ind w:left="360"/>
      </w:pPr>
      <w:r>
        <w:t>delegation_abuse's flat 1.00 is true by construction: its verifier provably covers all six violation types. It validates the harness; it is not a defensive achievement.</w:t>
      </w:r>
    </w:p>
    <w:p>
      <w:pPr>
        <w:pStyle w:val="ListBullet"/>
        <w:spacing w:after="60"/>
        <w:ind w:left="360"/>
      </w:pPr>
      <w:r>
        <w:t>reasoning_attack shows 0.00 recall in later generations on test pools of n = 2–3. Case C is zero because the successes landed in the training split, not because Blue caught them.</w:t>
      </w:r>
    </w:p>
    <w:p>
      <w:pPr>
        <w:pStyle w:val="ListBullet"/>
        <w:spacing w:after="60"/>
        <w:ind w:left="360"/>
      </w:pPr>
      <w:r>
        <w:t>Test pools are small throughout (n = 1–19). Single-generation numbers are indicative only.</w:t>
      </w:r>
    </w:p>
    <w:p>
      <w:pPr>
        <w:spacing w:after="200"/>
      </w:pPr>
      <w:r>
        <w:rPr>
          <w:b w:val="0"/>
          <w:i w:val="0"/>
        </w:rPr>
        <w:t>Red's mean reward turns sharply negative by generation 2–3 in every learnable family — the clearest single signal that Blue wins the in-distribution arms race.</w:t>
      </w:r>
    </w:p>
    <w:p>
      <w:pPr>
        <w:spacing w:after="80"/>
      </w:pPr>
      <w:r>
        <w:rPr>
          <w:b/>
          <w:i w:val="0"/>
          <w:color w:val="1F3A5F"/>
          <w:sz w:val="26"/>
        </w:rPr>
        <w:t>3.4  Generalization: three tiers that must never be conflated</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2448"/>
            <w:shd w:val="clear" w:fill="1F3A5F"/>
          </w:tcPr>
          <w:p>
            <w:r/>
            <w:r>
              <w:rPr>
                <w:b/>
                <w:color w:val="FFFFFF"/>
                <w:sz w:val="18"/>
              </w:rPr>
              <w:t>Tier</w:t>
            </w:r>
          </w:p>
        </w:tc>
        <w:tc>
          <w:tcPr>
            <w:tcW w:type="dxa" w:w="3312"/>
            <w:shd w:val="clear" w:fill="1F3A5F"/>
          </w:tcPr>
          <w:p>
            <w:r/>
            <w:r>
              <w:rPr>
                <w:b/>
                <w:color w:val="FFFFFF"/>
                <w:sz w:val="18"/>
              </w:rPr>
              <w:t>Question</w:t>
            </w:r>
          </w:p>
        </w:tc>
        <w:tc>
          <w:tcPr>
            <w:tcW w:type="dxa" w:w="1296"/>
            <w:shd w:val="clear" w:fill="1F3A5F"/>
          </w:tcPr>
          <w:p>
            <w:r/>
            <w:r>
              <w:rPr>
                <w:b/>
                <w:color w:val="FFFFFF"/>
                <w:sz w:val="18"/>
              </w:rPr>
              <w:t>Supervised</w:t>
            </w:r>
          </w:p>
        </w:tc>
        <w:tc>
          <w:tcPr>
            <w:tcW w:type="dxa" w:w="1296"/>
            <w:shd w:val="clear" w:fill="1F3A5F"/>
          </w:tcPr>
          <w:p>
            <w:r/>
            <w:r>
              <w:rPr>
                <w:b/>
                <w:color w:val="FFFFFF"/>
                <w:sz w:val="18"/>
              </w:rPr>
              <w:t>One-class</w:t>
            </w:r>
          </w:p>
        </w:tc>
        <w:tc>
          <w:tcPr>
            <w:tcW w:type="dxa" w:w="1152"/>
            <w:shd w:val="clear" w:fill="1F3A5F"/>
          </w:tcPr>
          <w:p>
            <w:r/>
            <w:r>
              <w:rPr>
                <w:b/>
                <w:color w:val="FFFFFF"/>
                <w:sz w:val="18"/>
              </w:rPr>
              <w:t>Hybrid</w:t>
            </w:r>
          </w:p>
        </w:tc>
      </w:tr>
      <w:tr>
        <w:tc>
          <w:tcPr>
            <w:tcW w:type="dxa" w:w="2448"/>
          </w:tcPr>
          <w:p>
            <w:pPr>
              <w:spacing w:after="40"/>
            </w:pPr>
            <w:r/>
            <w:r>
              <w:rPr>
                <w:sz w:val="18"/>
              </w:rPr>
              <w:t>1. In-distribution</w:t>
            </w:r>
          </w:p>
        </w:tc>
        <w:tc>
          <w:tcPr>
            <w:tcW w:type="dxa" w:w="3312"/>
          </w:tcPr>
          <w:p>
            <w:pPr>
              <w:spacing w:after="40"/>
            </w:pPr>
            <w:r/>
            <w:r>
              <w:rPr>
                <w:sz w:val="18"/>
              </w:rPr>
              <w:t>Attacks like those trained on?</w:t>
            </w:r>
          </w:p>
        </w:tc>
        <w:tc>
          <w:tcPr>
            <w:tcW w:type="dxa" w:w="1296"/>
          </w:tcPr>
          <w:p>
            <w:pPr>
              <w:spacing w:after="40"/>
            </w:pPr>
            <w:r/>
            <w:r>
              <w:rPr>
                <w:sz w:val="18"/>
              </w:rPr>
              <w:t>0.95</w:t>
            </w:r>
          </w:p>
        </w:tc>
        <w:tc>
          <w:tcPr>
            <w:tcW w:type="dxa" w:w="1296"/>
          </w:tcPr>
          <w:p>
            <w:pPr>
              <w:spacing w:after="40"/>
            </w:pPr>
            <w:r/>
            <w:r>
              <w:rPr>
                <w:sz w:val="18"/>
              </w:rPr>
              <w:t>0.87</w:t>
            </w:r>
          </w:p>
        </w:tc>
        <w:tc>
          <w:tcPr>
            <w:tcW w:type="dxa" w:w="1152"/>
          </w:tcPr>
          <w:p>
            <w:pPr>
              <w:spacing w:after="40"/>
            </w:pPr>
            <w:r/>
            <w:r>
              <w:rPr>
                <w:sz w:val="18"/>
              </w:rPr>
              <w:t>0.95</w:t>
            </w:r>
          </w:p>
        </w:tc>
      </w:tr>
      <w:tr>
        <w:tc>
          <w:tcPr>
            <w:tcW w:type="dxa" w:w="2448"/>
            <w:shd w:val="clear" w:fill="F6F7F9"/>
          </w:tcPr>
          <w:p>
            <w:pPr>
              <w:spacing w:after="40"/>
            </w:pPr>
            <w:r/>
            <w:r>
              <w:rPr>
                <w:sz w:val="18"/>
              </w:rPr>
              <w:t>2. Strength extrapolation</w:t>
            </w:r>
          </w:p>
        </w:tc>
        <w:tc>
          <w:tcPr>
            <w:tcW w:type="dxa" w:w="3312"/>
            <w:shd w:val="clear" w:fill="F6F7F9"/>
          </w:tcPr>
          <w:p>
            <w:pPr>
              <w:spacing w:after="40"/>
            </w:pPr>
            <w:r/>
            <w:r>
              <w:rPr>
                <w:sz w:val="18"/>
              </w:rPr>
              <w:t>Unseen parameters, known strategy?</w:t>
            </w:r>
          </w:p>
        </w:tc>
        <w:tc>
          <w:tcPr>
            <w:tcW w:type="dxa" w:w="1296"/>
            <w:shd w:val="clear" w:fill="F6F7F9"/>
          </w:tcPr>
          <w:p>
            <w:pPr>
              <w:spacing w:after="40"/>
            </w:pPr>
            <w:r/>
            <w:r>
              <w:rPr>
                <w:sz w:val="18"/>
              </w:rPr>
              <w:t>0.41</w:t>
            </w:r>
          </w:p>
        </w:tc>
        <w:tc>
          <w:tcPr>
            <w:tcW w:type="dxa" w:w="1296"/>
            <w:shd w:val="clear" w:fill="F6F7F9"/>
          </w:tcPr>
          <w:p>
            <w:pPr>
              <w:spacing w:after="40"/>
            </w:pPr>
            <w:r/>
            <w:r>
              <w:rPr>
                <w:sz w:val="18"/>
              </w:rPr>
              <w:t>0.04</w:t>
            </w:r>
          </w:p>
        </w:tc>
        <w:tc>
          <w:tcPr>
            <w:tcW w:type="dxa" w:w="1152"/>
            <w:shd w:val="clear" w:fill="F6F7F9"/>
          </w:tcPr>
          <w:p>
            <w:pPr>
              <w:spacing w:after="40"/>
            </w:pPr>
            <w:r/>
            <w:r>
              <w:rPr>
                <w:sz w:val="18"/>
              </w:rPr>
              <w:t>0.41</w:t>
            </w:r>
          </w:p>
        </w:tc>
      </w:tr>
      <w:tr>
        <w:tc>
          <w:tcPr>
            <w:tcW w:type="dxa" w:w="2448"/>
          </w:tcPr>
          <w:p>
            <w:pPr>
              <w:spacing w:after="40"/>
            </w:pPr>
            <w:r/>
            <w:r>
              <w:rPr>
                <w:sz w:val="18"/>
              </w:rPr>
              <w:t>3. Cross-strategy @0.85</w:t>
            </w:r>
          </w:p>
        </w:tc>
        <w:tc>
          <w:tcPr>
            <w:tcW w:type="dxa" w:w="3312"/>
          </w:tcPr>
          <w:p>
            <w:pPr>
              <w:spacing w:after="40"/>
            </w:pPr>
            <w:r/>
            <w:r>
              <w:rPr>
                <w:sz w:val="18"/>
              </w:rPr>
              <w:t>An entirely unseen strategy?</w:t>
            </w:r>
          </w:p>
        </w:tc>
        <w:tc>
          <w:tcPr>
            <w:tcW w:type="dxa" w:w="1296"/>
          </w:tcPr>
          <w:p>
            <w:pPr>
              <w:spacing w:after="40"/>
            </w:pPr>
            <w:r/>
            <w:r>
              <w:rPr>
                <w:sz w:val="18"/>
              </w:rPr>
              <w:t>0.05</w:t>
            </w:r>
          </w:p>
        </w:tc>
        <w:tc>
          <w:tcPr>
            <w:tcW w:type="dxa" w:w="1296"/>
          </w:tcPr>
          <w:p>
            <w:pPr>
              <w:spacing w:after="40"/>
            </w:pPr>
            <w:r/>
            <w:r>
              <w:rPr>
                <w:sz w:val="18"/>
              </w:rPr>
              <w:t>0.25</w:t>
            </w:r>
          </w:p>
        </w:tc>
        <w:tc>
          <w:tcPr>
            <w:tcW w:type="dxa" w:w="1152"/>
          </w:tcPr>
          <w:p>
            <w:pPr>
              <w:spacing w:after="40"/>
            </w:pPr>
            <w:r/>
            <w:r>
              <w:rPr>
                <w:sz w:val="18"/>
              </w:rPr>
              <w:t>0.25</w:t>
            </w:r>
          </w:p>
        </w:tc>
      </w:tr>
      <w:tr>
        <w:tc>
          <w:tcPr>
            <w:tcW w:type="dxa" w:w="2448"/>
            <w:shd w:val="clear" w:fill="EEF3F9"/>
          </w:tcPr>
          <w:p>
            <w:pPr>
              <w:spacing w:after="40"/>
            </w:pPr>
            <w:r/>
            <w:r>
              <w:rPr>
                <w:b/>
                <w:sz w:val="18"/>
              </w:rPr>
              <w:t>3. Cross-strategy @0.90</w:t>
            </w:r>
          </w:p>
        </w:tc>
        <w:tc>
          <w:tcPr>
            <w:tcW w:type="dxa" w:w="3312"/>
            <w:shd w:val="clear" w:fill="EEF3F9"/>
          </w:tcPr>
          <w:p>
            <w:pPr>
              <w:spacing w:after="40"/>
            </w:pPr>
            <w:r/>
            <w:r>
              <w:rPr>
                <w:b/>
                <w:sz w:val="18"/>
              </w:rPr>
              <w:t>(weaker attack)</w:t>
            </w:r>
          </w:p>
        </w:tc>
        <w:tc>
          <w:tcPr>
            <w:tcW w:type="dxa" w:w="1296"/>
            <w:shd w:val="clear" w:fill="EEF3F9"/>
          </w:tcPr>
          <w:p>
            <w:pPr>
              <w:spacing w:after="40"/>
            </w:pPr>
            <w:r/>
            <w:r>
              <w:rPr>
                <w:b/>
                <w:sz w:val="18"/>
              </w:rPr>
              <w:t>0.00</w:t>
            </w:r>
          </w:p>
        </w:tc>
        <w:tc>
          <w:tcPr>
            <w:tcW w:type="dxa" w:w="1296"/>
            <w:shd w:val="clear" w:fill="EEF3F9"/>
          </w:tcPr>
          <w:p>
            <w:pPr>
              <w:spacing w:after="40"/>
            </w:pPr>
            <w:r/>
            <w:r>
              <w:rPr>
                <w:b/>
                <w:sz w:val="18"/>
              </w:rPr>
              <w:t>0.15</w:t>
            </w:r>
          </w:p>
        </w:tc>
        <w:tc>
          <w:tcPr>
            <w:tcW w:type="dxa" w:w="1152"/>
            <w:shd w:val="clear" w:fill="EEF3F9"/>
          </w:tcPr>
          <w:p>
            <w:pPr>
              <w:spacing w:after="40"/>
            </w:pPr>
            <w:r/>
            <w:r>
              <w:rPr>
                <w:b/>
                <w:sz w:val="18"/>
              </w:rPr>
              <w:t>0.15</w:t>
            </w:r>
          </w:p>
        </w:tc>
      </w:tr>
      <w:tr>
        <w:tc>
          <w:tcPr>
            <w:tcW w:type="dxa" w:w="2448"/>
            <w:shd w:val="clear" w:fill="EEF3F9"/>
          </w:tcPr>
          <w:p>
            <w:pPr>
              <w:spacing w:after="40"/>
            </w:pPr>
            <w:r/>
            <w:r>
              <w:rPr>
                <w:b/>
                <w:sz w:val="18"/>
              </w:rPr>
              <w:t>Unseen loud strategies</w:t>
            </w:r>
          </w:p>
        </w:tc>
        <w:tc>
          <w:tcPr>
            <w:tcW w:type="dxa" w:w="3312"/>
            <w:shd w:val="clear" w:fill="EEF3F9"/>
          </w:tcPr>
          <w:p>
            <w:pPr>
              <w:spacing w:after="40"/>
            </w:pPr>
            <w:r/>
            <w:r>
              <w:rPr>
                <w:b/>
                <w:sz w:val="18"/>
              </w:rPr>
              <w:t>Sanity check on the one-class half</w:t>
            </w:r>
          </w:p>
        </w:tc>
        <w:tc>
          <w:tcPr>
            <w:tcW w:type="dxa" w:w="1296"/>
            <w:shd w:val="clear" w:fill="EEF3F9"/>
          </w:tcPr>
          <w:p>
            <w:pPr>
              <w:spacing w:after="40"/>
            </w:pPr>
            <w:r/>
            <w:r>
              <w:rPr>
                <w:b/>
                <w:sz w:val="18"/>
              </w:rPr>
              <w:t>—</w:t>
            </w:r>
          </w:p>
        </w:tc>
        <w:tc>
          <w:tcPr>
            <w:tcW w:type="dxa" w:w="1296"/>
            <w:shd w:val="clear" w:fill="EEF3F9"/>
          </w:tcPr>
          <w:p>
            <w:pPr>
              <w:spacing w:after="40"/>
            </w:pPr>
            <w:r/>
            <w:r>
              <w:rPr>
                <w:b/>
                <w:sz w:val="18"/>
              </w:rPr>
              <w:t>1.00</w:t>
            </w:r>
          </w:p>
        </w:tc>
        <w:tc>
          <w:tcPr>
            <w:tcW w:type="dxa" w:w="1152"/>
            <w:shd w:val="clear" w:fill="EEF3F9"/>
          </w:tcPr>
          <w:p>
            <w:pPr>
              <w:spacing w:after="40"/>
            </w:pPr>
            <w:r/>
            <w:r>
              <w:rPr>
                <w:b/>
                <w:sz w:val="18"/>
              </w:rPr>
              <w:t>1.00</w:t>
            </w:r>
          </w:p>
        </w:tc>
      </w:tr>
    </w:tbl>
    <w:p>
      <w:pPr>
        <w:spacing w:after="200"/>
      </w:pPr>
      <w:r>
        <w:rPr>
          <w:b w:val="0"/>
          <w:i/>
          <w:color w:val="555F6D"/>
          <w:sz w:val="17"/>
        </w:rPr>
        <w:t>Recall values. The one-class half reaches 1.00 on two attack strategies it was never trained on, having seen no attack labels at all — while the supervised half scores literally 0.00 on an unseen quiet strategy. Neither half dominates; the hybrid takes the better of the two at every tier without regression.</w:t>
      </w:r>
    </w:p>
    <w:p>
      <w:pPr>
        <w:spacing w:after="80"/>
      </w:pPr>
      <w:r>
        <w:rPr>
          <w:b/>
          <w:i w:val="0"/>
          <w:color w:val="1F3A5F"/>
          <w:sz w:val="26"/>
        </w:rPr>
        <w:t>3.5  The slow-drain blind spot is an information limit, not a detector limit</w:t>
      </w:r>
    </w:p>
    <w:p>
      <w:pPr>
        <w:spacing w:after="120"/>
      </w:pPr>
      <w:r>
        <w:rPr>
          <w:b w:val="0"/>
          <w:i w:val="0"/>
        </w:rPr>
        <w:t>Rather than tune until the number improved, we asked whether the attack is detectable at all. Closed-form statistical power analysis and measurement agree closely: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016"/>
            <w:shd w:val="clear" w:fill="1F3A5F"/>
          </w:tcPr>
          <w:p>
            <w:r/>
            <w:r>
              <w:rPr>
                <w:b/>
                <w:color w:val="FFFFFF"/>
                <w:sz w:val="18"/>
              </w:rPr>
              <w:t>Attack strength</w:t>
            </w:r>
          </w:p>
        </w:tc>
        <w:tc>
          <w:tcPr>
            <w:tcW w:type="dxa" w:w="2880"/>
            <w:shd w:val="clear" w:fill="1F3A5F"/>
          </w:tcPr>
          <w:p>
            <w:r/>
            <w:r>
              <w:rPr>
                <w:b/>
                <w:color w:val="FFFFFF"/>
                <w:sz w:val="18"/>
              </w:rPr>
              <w:t>Baseline history</w:t>
            </w:r>
          </w:p>
        </w:tc>
        <w:tc>
          <w:tcPr>
            <w:tcW w:type="dxa" w:w="2016"/>
            <w:shd w:val="clear" w:fill="1F3A5F"/>
          </w:tcPr>
          <w:p>
            <w:r/>
            <w:r>
              <w:rPr>
                <w:b/>
                <w:color w:val="FFFFFF"/>
                <w:sz w:val="18"/>
              </w:rPr>
              <w:t>Predicted power</w:t>
            </w:r>
          </w:p>
        </w:tc>
        <w:tc>
          <w:tcPr>
            <w:tcW w:type="dxa" w:w="2016"/>
            <w:shd w:val="clear" w:fill="1F3A5F"/>
          </w:tcPr>
          <w:p>
            <w:r/>
            <w:r>
              <w:rPr>
                <w:b/>
                <w:color w:val="FFFFFF"/>
                <w:sz w:val="18"/>
              </w:rPr>
              <w:t>Measured</w:t>
            </w:r>
          </w:p>
        </w:tc>
      </w:tr>
      <w:tr>
        <w:tc>
          <w:tcPr>
            <w:tcW w:type="dxa" w:w="2016"/>
          </w:tcPr>
          <w:p>
            <w:pPr>
              <w:spacing w:after="40"/>
            </w:pPr>
            <w:r/>
            <w:r>
              <w:rPr>
                <w:sz w:val="18"/>
              </w:rPr>
              <w:t>0.90</w:t>
            </w:r>
          </w:p>
        </w:tc>
        <w:tc>
          <w:tcPr>
            <w:tcW w:type="dxa" w:w="2880"/>
          </w:tcPr>
          <w:p>
            <w:pPr>
              <w:spacing w:after="40"/>
            </w:pPr>
            <w:r/>
            <w:r>
              <w:rPr>
                <w:sz w:val="18"/>
              </w:rPr>
              <w:t>8 transactions (current)</w:t>
            </w:r>
          </w:p>
        </w:tc>
        <w:tc>
          <w:tcPr>
            <w:tcW w:type="dxa" w:w="2016"/>
          </w:tcPr>
          <w:p>
            <w:pPr>
              <w:spacing w:after="40"/>
            </w:pPr>
            <w:r/>
            <w:r>
              <w:rPr>
                <w:sz w:val="18"/>
              </w:rPr>
              <w:t>18%</w:t>
            </w:r>
          </w:p>
        </w:tc>
        <w:tc>
          <w:tcPr>
            <w:tcW w:type="dxa" w:w="2016"/>
          </w:tcPr>
          <w:p>
            <w:pPr>
              <w:spacing w:after="40"/>
            </w:pPr>
            <w:r/>
            <w:r>
              <w:rPr>
                <w:sz w:val="18"/>
              </w:rPr>
              <w:t>16%</w:t>
            </w:r>
          </w:p>
        </w:tc>
      </w:tr>
      <w:tr>
        <w:tc>
          <w:tcPr>
            <w:tcW w:type="dxa" w:w="2016"/>
            <w:shd w:val="clear" w:fill="F6F7F9"/>
          </w:tcPr>
          <w:p>
            <w:pPr>
              <w:spacing w:after="40"/>
            </w:pPr>
            <w:r/>
            <w:r>
              <w:rPr>
                <w:sz w:val="18"/>
              </w:rPr>
              <w:t>0.90</w:t>
            </w:r>
          </w:p>
        </w:tc>
        <w:tc>
          <w:tcPr>
            <w:tcW w:type="dxa" w:w="2880"/>
            <w:shd w:val="clear" w:fill="F6F7F9"/>
          </w:tcPr>
          <w:p>
            <w:pPr>
              <w:spacing w:after="40"/>
            </w:pPr>
            <w:r/>
            <w:r>
              <w:rPr>
                <w:sz w:val="18"/>
              </w:rPr>
              <w:t>30 transactions</w:t>
            </w:r>
          </w:p>
        </w:tc>
        <w:tc>
          <w:tcPr>
            <w:tcW w:type="dxa" w:w="2016"/>
            <w:shd w:val="clear" w:fill="F6F7F9"/>
          </w:tcPr>
          <w:p>
            <w:pPr>
              <w:spacing w:after="40"/>
            </w:pPr>
            <w:r/>
            <w:r>
              <w:rPr>
                <w:sz w:val="18"/>
              </w:rPr>
              <w:t>76%</w:t>
            </w:r>
          </w:p>
        </w:tc>
        <w:tc>
          <w:tcPr>
            <w:tcW w:type="dxa" w:w="2016"/>
            <w:shd w:val="clear" w:fill="F6F7F9"/>
          </w:tcPr>
          <w:p>
            <w:pPr>
              <w:spacing w:after="40"/>
            </w:pPr>
            <w:r/>
            <w:r>
              <w:rPr>
                <w:sz w:val="18"/>
              </w:rPr>
              <w:t>78%</w:t>
            </w:r>
          </w:p>
        </w:tc>
      </w:tr>
      <w:tr>
        <w:tc>
          <w:tcPr>
            <w:tcW w:type="dxa" w:w="2016"/>
          </w:tcPr>
          <w:p>
            <w:pPr>
              <w:spacing w:after="40"/>
            </w:pPr>
            <w:r/>
            <w:r>
              <w:rPr>
                <w:sz w:val="18"/>
              </w:rPr>
              <w:t>0.90</w:t>
            </w:r>
          </w:p>
        </w:tc>
        <w:tc>
          <w:tcPr>
            <w:tcW w:type="dxa" w:w="2880"/>
          </w:tcPr>
          <w:p>
            <w:pPr>
              <w:spacing w:after="40"/>
            </w:pPr>
            <w:r/>
            <w:r>
              <w:rPr>
                <w:sz w:val="18"/>
              </w:rPr>
              <w:t>60 transactions</w:t>
            </w:r>
          </w:p>
        </w:tc>
        <w:tc>
          <w:tcPr>
            <w:tcW w:type="dxa" w:w="2016"/>
          </w:tcPr>
          <w:p>
            <w:pPr>
              <w:spacing w:after="40"/>
            </w:pPr>
            <w:r/>
            <w:r>
              <w:rPr>
                <w:sz w:val="18"/>
              </w:rPr>
              <w:t>~99%</w:t>
            </w:r>
          </w:p>
        </w:tc>
        <w:tc>
          <w:tcPr>
            <w:tcW w:type="dxa" w:w="2016"/>
          </w:tcPr>
          <w:p>
            <w:pPr>
              <w:spacing w:after="40"/>
            </w:pPr>
            <w:r/>
            <w:r>
              <w:rPr>
                <w:sz w:val="18"/>
              </w:rPr>
              <w:t>98%</w:t>
            </w:r>
          </w:p>
        </w:tc>
      </w:tr>
      <w:tr>
        <w:tc>
          <w:tcPr>
            <w:tcW w:type="dxa" w:w="2016"/>
            <w:shd w:val="clear" w:fill="F6F7F9"/>
          </w:tcPr>
          <w:p>
            <w:pPr>
              <w:spacing w:after="40"/>
            </w:pPr>
            <w:r/>
            <w:r>
              <w:rPr>
                <w:sz w:val="18"/>
              </w:rPr>
              <w:t>0.95</w:t>
            </w:r>
          </w:p>
        </w:tc>
        <w:tc>
          <w:tcPr>
            <w:tcW w:type="dxa" w:w="2880"/>
            <w:shd w:val="clear" w:fill="F6F7F9"/>
          </w:tcPr>
          <w:p>
            <w:pPr>
              <w:spacing w:after="40"/>
            </w:pPr>
            <w:r/>
            <w:r>
              <w:rPr>
                <w:sz w:val="18"/>
              </w:rPr>
              <w:t>8 transactions (current)</w:t>
            </w:r>
          </w:p>
        </w:tc>
        <w:tc>
          <w:tcPr>
            <w:tcW w:type="dxa" w:w="2016"/>
            <w:shd w:val="clear" w:fill="F6F7F9"/>
          </w:tcPr>
          <w:p>
            <w:pPr>
              <w:spacing w:after="40"/>
            </w:pPr>
            <w:r/>
            <w:r>
              <w:rPr>
                <w:sz w:val="18"/>
              </w:rPr>
              <w:t>4%</w:t>
            </w:r>
          </w:p>
        </w:tc>
        <w:tc>
          <w:tcPr>
            <w:tcW w:type="dxa" w:w="2016"/>
            <w:shd w:val="clear" w:fill="F6F7F9"/>
          </w:tcPr>
          <w:p>
            <w:pPr>
              <w:spacing w:after="40"/>
            </w:pPr>
            <w:r/>
            <w:r>
              <w:rPr>
                <w:sz w:val="18"/>
              </w:rPr>
              <w:t>2%</w:t>
            </w:r>
          </w:p>
        </w:tc>
      </w:tr>
    </w:tbl>
    <w:p>
      <w:pPr>
        <w:spacing w:after="200"/>
      </w:pPr>
      <w:r>
        <w:rPr>
          <w:b w:val="0"/>
          <w:i/>
          <w:color w:val="555F6D"/>
          <w:sz w:val="17"/>
        </w:rPr>
        <w:t>With only 8 baseline transactions, an attack at multiplier ≤ 0.95 sits below the detection floor for any statistic whatsoever. This is the signal-to-noise ratio of the observable history, not a modelling failure — and it points at a concrete remedy (longer history) rather than a better classifier.</w:t>
      </w:r>
    </w:p>
    <w:p>
      <w:pPr>
        <w:spacing w:after="80"/>
      </w:pPr>
      <w:r>
        <w:rPr>
          <w:b/>
          <w:i w:val="0"/>
          <w:color w:val="1F3A5F"/>
          <w:sz w:val="26"/>
        </w:rPr>
        <w:t>3.6  False-positive control</w:t>
      </w:r>
    </w:p>
    <w:p>
      <w:pPr>
        <w:spacing w:after="120"/>
      </w:pPr>
      <w:r>
        <w:rPr>
          <w:b w:val="0"/>
          <w:i w:val="0"/>
        </w:rPr>
        <w:t>A detector is only as good as its false-positive cost. Our null control (an attack-free sequence statistically identical to benign) initially reported a 20% false-positive rate. Investigation found two real causes and one that was not real at all:</w:t>
      </w:r>
    </w:p>
    <w:p>
      <w:pPr>
        <w:pStyle w:val="ListBullet"/>
        <w:spacing w:after="60"/>
        <w:ind w:left="360"/>
      </w:pPr>
      <w:r>
        <w:t>The one-class layer estimated a Bonferroni-corrected 99th percentile from six samples — which simply returns the sample maximum. Fixed with a robust small-sample estimator.</w:t>
      </w:r>
    </w:p>
    <w:p>
      <w:pPr>
        <w:pStyle w:val="ListBullet"/>
        <w:spacing w:after="60"/>
        <w:ind w:left="360"/>
      </w:pPr>
      <w:r>
        <w:t>The classifier used the library default 0.5 threshold while genuinely benign traces scored up to 0.89. Replaced with an explicit false-positive budget.</w:t>
      </w:r>
    </w:p>
    <w:p>
      <w:pPr>
        <w:pStyle w:val="ListBullet"/>
        <w:spacing w:after="60"/>
        <w:ind w:left="360"/>
      </w:pPr>
      <w:r>
        <w:t>The measurement itself used n = 15, whose 95% confidence interval is [1%, 30%] — it could not distinguish 5% from 20%. It was reporting sampling noise.</w:t>
      </w:r>
    </w:p>
    <w:tbl>
      <w:tblPr>
        <w:tblStyle w:val="TableGrid"/>
        <w:tblW w:type="auto" w:w="0"/>
        <w:jc w:val="center"/>
        <w:tblLook w:firstColumn="1" w:firstRow="1" w:lastColumn="0" w:lastRow="0" w:noHBand="0" w:noVBand="1" w:val="04A0"/>
      </w:tblPr>
      <w:tblGrid>
        <w:gridCol w:w="3216"/>
        <w:gridCol w:w="3216"/>
        <w:gridCol w:w="3216"/>
      </w:tblGrid>
      <w:tr>
        <w:tc>
          <w:tcPr>
            <w:tcW w:type="dxa" w:w="2880"/>
            <w:shd w:val="clear" w:fill="1F3A5F"/>
          </w:tcPr>
          <w:p>
            <w:r/>
            <w:r>
              <w:rPr>
                <w:b/>
                <w:color w:val="FFFFFF"/>
                <w:sz w:val="18"/>
              </w:rPr>
              <w:t>Amount multiplier</w:t>
            </w:r>
          </w:p>
        </w:tc>
        <w:tc>
          <w:tcPr>
            <w:tcW w:type="dxa" w:w="2016"/>
            <w:shd w:val="clear" w:fill="1F3A5F"/>
          </w:tcPr>
          <w:p>
            <w:r/>
            <w:r>
              <w:rPr>
                <w:b/>
                <w:color w:val="FFFFFF"/>
                <w:sz w:val="18"/>
              </w:rPr>
              <w:t>Recall</w:t>
            </w:r>
          </w:p>
        </w:tc>
        <w:tc>
          <w:tcPr>
            <w:tcW w:type="dxa" w:w="2304"/>
            <w:shd w:val="clear" w:fill="1F3A5F"/>
          </w:tcPr>
          <w:p>
            <w:r/>
            <w:r>
              <w:rPr>
                <w:b/>
                <w:color w:val="FFFFFF"/>
                <w:sz w:val="18"/>
              </w:rPr>
              <w:t>95% CI</w:t>
            </w:r>
          </w:p>
        </w:tc>
      </w:tr>
      <w:tr>
        <w:tc>
          <w:tcPr>
            <w:tcW w:type="dxa" w:w="2880"/>
          </w:tcPr>
          <w:p>
            <w:pPr>
              <w:spacing w:after="40"/>
            </w:pPr>
            <w:r/>
            <w:r>
              <w:rPr>
                <w:sz w:val="18"/>
              </w:rPr>
              <w:t>0.85</w:t>
            </w:r>
          </w:p>
        </w:tc>
        <w:tc>
          <w:tcPr>
            <w:tcW w:type="dxa" w:w="2016"/>
          </w:tcPr>
          <w:p>
            <w:pPr>
              <w:spacing w:after="40"/>
            </w:pPr>
            <w:r/>
            <w:r>
              <w:rPr>
                <w:sz w:val="18"/>
              </w:rPr>
              <w:t>0.54</w:t>
            </w:r>
          </w:p>
        </w:tc>
        <w:tc>
          <w:tcPr>
            <w:tcW w:type="dxa" w:w="2304"/>
          </w:tcPr>
          <w:p>
            <w:pPr>
              <w:spacing w:after="40"/>
            </w:pPr>
            <w:r/>
            <w:r>
              <w:rPr>
                <w:sz w:val="18"/>
              </w:rPr>
              <w:t>[0.47, 0.60]</w:t>
            </w:r>
          </w:p>
        </w:tc>
      </w:tr>
      <w:tr>
        <w:tc>
          <w:tcPr>
            <w:tcW w:type="dxa" w:w="2880"/>
            <w:shd w:val="clear" w:fill="F6F7F9"/>
          </w:tcPr>
          <w:p>
            <w:pPr>
              <w:spacing w:after="40"/>
            </w:pPr>
            <w:r/>
            <w:r>
              <w:rPr>
                <w:sz w:val="18"/>
              </w:rPr>
              <w:t>0.90</w:t>
            </w:r>
          </w:p>
        </w:tc>
        <w:tc>
          <w:tcPr>
            <w:tcW w:type="dxa" w:w="2016"/>
            <w:shd w:val="clear" w:fill="F6F7F9"/>
          </w:tcPr>
          <w:p>
            <w:pPr>
              <w:spacing w:after="40"/>
            </w:pPr>
            <w:r/>
            <w:r>
              <w:rPr>
                <w:sz w:val="18"/>
              </w:rPr>
              <w:t>0.27</w:t>
            </w:r>
          </w:p>
        </w:tc>
        <w:tc>
          <w:tcPr>
            <w:tcW w:type="dxa" w:w="2304"/>
            <w:shd w:val="clear" w:fill="F6F7F9"/>
          </w:tcPr>
          <w:p>
            <w:pPr>
              <w:spacing w:after="40"/>
            </w:pPr>
            <w:r/>
            <w:r>
              <w:rPr>
                <w:sz w:val="18"/>
              </w:rPr>
              <w:t>[0.21, 0.33]</w:t>
            </w:r>
          </w:p>
        </w:tc>
      </w:tr>
      <w:tr>
        <w:tc>
          <w:tcPr>
            <w:tcW w:type="dxa" w:w="2880"/>
          </w:tcPr>
          <w:p>
            <w:pPr>
              <w:spacing w:after="40"/>
            </w:pPr>
            <w:r/>
            <w:r>
              <w:rPr>
                <w:sz w:val="18"/>
              </w:rPr>
              <w:t>0.95</w:t>
            </w:r>
          </w:p>
        </w:tc>
        <w:tc>
          <w:tcPr>
            <w:tcW w:type="dxa" w:w="2016"/>
          </w:tcPr>
          <w:p>
            <w:pPr>
              <w:spacing w:after="40"/>
            </w:pPr>
            <w:r/>
            <w:r>
              <w:rPr>
                <w:sz w:val="18"/>
              </w:rPr>
              <w:t>0.10</w:t>
            </w:r>
          </w:p>
        </w:tc>
        <w:tc>
          <w:tcPr>
            <w:tcW w:type="dxa" w:w="2304"/>
          </w:tcPr>
          <w:p>
            <w:pPr>
              <w:spacing w:after="40"/>
            </w:pPr>
            <w:r/>
            <w:r>
              <w:rPr>
                <w:sz w:val="18"/>
              </w:rPr>
              <w:t>[0.06, 0.14]</w:t>
            </w:r>
          </w:p>
        </w:tc>
      </w:tr>
      <w:tr>
        <w:tc>
          <w:tcPr>
            <w:tcW w:type="dxa" w:w="2880"/>
            <w:shd w:val="clear" w:fill="EEF3F9"/>
          </w:tcPr>
          <w:p>
            <w:pPr>
              <w:spacing w:after="40"/>
            </w:pPr>
            <w:r/>
            <w:r>
              <w:rPr>
                <w:b/>
                <w:sz w:val="18"/>
              </w:rPr>
              <w:t>1.00 (null control)</w:t>
            </w:r>
          </w:p>
        </w:tc>
        <w:tc>
          <w:tcPr>
            <w:tcW w:type="dxa" w:w="2016"/>
            <w:shd w:val="clear" w:fill="EEF3F9"/>
          </w:tcPr>
          <w:p>
            <w:pPr>
              <w:spacing w:after="40"/>
            </w:pPr>
            <w:r/>
            <w:r>
              <w:rPr>
                <w:b/>
                <w:sz w:val="18"/>
              </w:rPr>
              <w:t>FPR 0.04</w:t>
            </w:r>
          </w:p>
        </w:tc>
        <w:tc>
          <w:tcPr>
            <w:tcW w:type="dxa" w:w="2304"/>
            <w:shd w:val="clear" w:fill="EEF3F9"/>
          </w:tcPr>
          <w:p>
            <w:pPr>
              <w:spacing w:after="40"/>
            </w:pPr>
            <w:r/>
            <w:r>
              <w:rPr>
                <w:b/>
                <w:sz w:val="18"/>
              </w:rPr>
              <w:t>[0.02, 0.08]</w:t>
            </w:r>
          </w:p>
        </w:tc>
      </w:tr>
    </w:tbl>
    <w:p>
      <w:pPr>
        <w:spacing w:after="200"/>
      </w:pPr>
      <w:r>
        <w:rPr>
          <w:b w:val="0"/>
          <w:i/>
          <w:color w:val="555F6D"/>
          <w:sz w:val="17"/>
        </w:rPr>
        <w:t>n = 200 per point, target FPR 5%. Tradeoff stated plainly: fixing this cost recall at 0.85 strength (~72% → ~54%). That is not a regression — the earlier recall was partly bought with false positives nobody was counting. The operating point is now an explicit, tunable parameter rather than a library default.</w:t>
      </w:r>
    </w:p>
    <w:p>
      <w:pPr>
        <w:spacing w:after="80"/>
      </w:pPr>
      <w:r>
        <w:rPr>
          <w:b/>
          <w:i w:val="0"/>
          <w:color w:val="1F3A5F"/>
          <w:sz w:val="26"/>
        </w:rPr>
        <w:t>3.7  Mitigation: pre-execution enforcement</w:t>
      </w:r>
    </w:p>
    <w:p>
      <w:pPr>
        <w:spacing w:after="120"/>
      </w:pPr>
      <w:r>
        <w:rPr>
          <w:b w:val="0"/>
          <w:i w:val="0"/>
        </w:rPr>
        <w:t>Detection alone cannot claim prevented harm. We added a gate that runs before the sensitive action completes, keeping enforcement architecturally separate from detection so detectors remain reusable as pure classifiers:</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val="clear" w:fill="1F3A5F"/>
          </w:tcPr>
          <w:p>
            <w:r/>
            <w:r>
              <w:rPr>
                <w:b/>
                <w:color w:val="FFFFFF"/>
                <w:sz w:val="18"/>
              </w:rPr>
              <w:t>Control point</w:t>
            </w:r>
          </w:p>
        </w:tc>
        <w:tc>
          <w:tcPr>
            <w:tcW w:type="dxa" w:w="3744"/>
            <w:shd w:val="clear" w:fill="1F3A5F"/>
          </w:tcPr>
          <w:p>
            <w:r/>
            <w:r>
              <w:rPr>
                <w:b/>
                <w:color w:val="FFFFFF"/>
                <w:sz w:val="18"/>
              </w:rPr>
              <w:t>Check</w:t>
            </w:r>
          </w:p>
        </w:tc>
        <w:tc>
          <w:tcPr>
            <w:tcW w:type="dxa" w:w="4176"/>
            <w:shd w:val="clear" w:fill="1F3A5F"/>
          </w:tcPr>
          <w:p>
            <w:r/>
            <w:r>
              <w:rPr>
                <w:b/>
                <w:color w:val="FFFFFF"/>
                <w:sz w:val="18"/>
              </w:rPr>
              <w:t>Result</w:t>
            </w:r>
          </w:p>
        </w:tc>
      </w:tr>
      <w:tr>
        <w:tc>
          <w:tcPr>
            <w:tcW w:type="dxa" w:w="2160"/>
          </w:tcPr>
          <w:p>
            <w:pPr>
              <w:spacing w:after="40"/>
            </w:pPr>
            <w:r/>
            <w:r>
              <w:rPr>
                <w:sz w:val="18"/>
              </w:rPr>
              <w:t>Credentials Provider</w:t>
            </w:r>
          </w:p>
        </w:tc>
        <w:tc>
          <w:tcPr>
            <w:tcW w:type="dxa" w:w="3744"/>
          </w:tcPr>
          <w:p>
            <w:pPr>
              <w:spacing w:after="40"/>
            </w:pPr>
            <w:r/>
            <w:r>
              <w:rPr>
                <w:sz w:val="18"/>
              </w:rPr>
              <w:t>Requested identity vs. authenticated session, before release</w:t>
            </w:r>
          </w:p>
        </w:tc>
        <w:tc>
          <w:tcPr>
            <w:tcW w:type="dxa" w:w="4176"/>
          </w:tcPr>
          <w:p>
            <w:pPr>
              <w:spacing w:after="40"/>
            </w:pPr>
            <w:r/>
            <w:r>
              <w:rPr>
                <w:sz w:val="18"/>
              </w:rPr>
              <w:t>Eliminates all cross-user exposure; legitimate same-identity requests still allowed</w:t>
            </w:r>
          </w:p>
        </w:tc>
      </w:tr>
      <w:tr>
        <w:tc>
          <w:tcPr>
            <w:tcW w:type="dxa" w:w="2160"/>
            <w:shd w:val="clear" w:fill="F6F7F9"/>
          </w:tcPr>
          <w:p>
            <w:pPr>
              <w:spacing w:after="40"/>
            </w:pPr>
            <w:r/>
            <w:r>
              <w:rPr>
                <w:sz w:val="18"/>
              </w:rPr>
              <w:t>Payment authorisation</w:t>
            </w:r>
          </w:p>
        </w:tc>
        <w:tc>
          <w:tcPr>
            <w:tcW w:type="dxa" w:w="3744"/>
            <w:shd w:val="clear" w:fill="F6F7F9"/>
          </w:tcPr>
          <w:p>
            <w:pPr>
              <w:spacing w:after="40"/>
            </w:pPr>
            <w:r/>
            <w:r>
              <w:rPr>
                <w:sz w:val="18"/>
              </w:rPr>
              <w:t>Six-clause delegation policy, before the transaction clears</w:t>
            </w:r>
          </w:p>
        </w:tc>
        <w:tc>
          <w:tcPr>
            <w:tcW w:type="dxa" w:w="4176"/>
            <w:shd w:val="clear" w:fill="F6F7F9"/>
          </w:tcPr>
          <w:p>
            <w:pPr>
              <w:spacing w:after="40"/>
            </w:pPr>
            <w:r/>
            <w:r>
              <w:rPr>
                <w:sz w:val="18"/>
              </w:rPr>
              <w:t>Attack success rate falls from 100% to 17%</w:t>
            </w:r>
          </w:p>
        </w:tc>
      </w:tr>
    </w:tbl>
    <w:p>
      <w:pPr>
        <w:spacing w:after="200"/>
      </w:pPr>
      <w:r>
        <w:rPr>
          <w:b w:val="0"/>
          <w:i/>
          <w:color w:val="555F6D"/>
          <w:sz w:val="17"/>
        </w:rPr>
        <w:t>Traces record both the outcome and the counterfactual, so "prevented by Blue" is distinguishable from "the attack simply failed". The gate is implemented and tested but is not yet the default in the adaptive loop, which deliberately runs the undefended baseline so Blue's contribution stays measurable.</w:t>
      </w:r>
    </w:p>
    <w:p>
      <w:r>
        <w:br w:type="page"/>
      </w:r>
    </w:p>
    <w:p>
      <w:pPr>
        <w:spacing w:after="120"/>
      </w:pPr>
      <w:r>
        <w:rPr>
          <w:b/>
          <w:i w:val="0"/>
          <w:color w:val="1F3A5F"/>
          <w:sz w:val="34"/>
        </w:rPr>
        <w:t>4.  Real-World Feasibility in Live Payment Environments</w:t>
      </w:r>
    </w:p>
    <w:p>
      <w:pPr>
        <w:spacing w:after="80"/>
      </w:pPr>
      <w:r>
        <w:rPr>
          <w:b/>
          <w:i w:val="0"/>
          <w:color w:val="1F3A5F"/>
          <w:sz w:val="26"/>
        </w:rPr>
        <w:t>4.1  What transfers directly</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val="clear" w:fill="1F3A5F"/>
          </w:tcPr>
          <w:p>
            <w:r/>
            <w:r>
              <w:rPr>
                <w:b/>
                <w:color w:val="FFFFFF"/>
                <w:sz w:val="18"/>
              </w:rPr>
              <w:t>Component</w:t>
            </w:r>
          </w:p>
        </w:tc>
        <w:tc>
          <w:tcPr>
            <w:tcW w:type="dxa" w:w="4464"/>
            <w:shd w:val="clear" w:fill="1F3A5F"/>
          </w:tcPr>
          <w:p>
            <w:r/>
            <w:r>
              <w:rPr>
                <w:b/>
                <w:color w:val="FFFFFF"/>
                <w:sz w:val="18"/>
              </w:rPr>
              <w:t>Why it is deployable</w:t>
            </w:r>
          </w:p>
        </w:tc>
        <w:tc>
          <w:tcPr>
            <w:tcW w:type="dxa" w:w="3456"/>
            <w:shd w:val="clear" w:fill="1F3A5F"/>
          </w:tcPr>
          <w:p>
            <w:r/>
            <w:r>
              <w:rPr>
                <w:b/>
                <w:color w:val="FFFFFF"/>
                <w:sz w:val="18"/>
              </w:rPr>
              <w:t>Dependency</w:t>
            </w:r>
          </w:p>
        </w:tc>
      </w:tr>
      <w:tr>
        <w:tc>
          <w:tcPr>
            <w:tcW w:type="dxa" w:w="2160"/>
          </w:tcPr>
          <w:p>
            <w:pPr>
              <w:spacing w:after="40"/>
            </w:pPr>
            <w:r/>
            <w:r>
              <w:rPr>
                <w:sz w:val="18"/>
              </w:rPr>
              <w:t>Caller-identity binding</w:t>
            </w:r>
          </w:p>
        </w:tc>
        <w:tc>
          <w:tcPr>
            <w:tcW w:type="dxa" w:w="4464"/>
          </w:tcPr>
          <w:p>
            <w:pPr>
              <w:spacing w:after="40"/>
            </w:pPr>
            <w:r/>
            <w:r>
              <w:rPr>
                <w:sz w:val="18"/>
              </w:rPr>
              <w:t>Compares the authenticated session against the identity whose data is requested, before release. Deterministic, explainable, immune to phrasing. Implements the PCAT P2 pattern from the protocol-attacks literature.</w:t>
            </w:r>
          </w:p>
        </w:tc>
        <w:tc>
          <w:tcPr>
            <w:tcW w:type="dxa" w:w="3456"/>
          </w:tcPr>
          <w:p>
            <w:pPr>
              <w:spacing w:after="40"/>
            </w:pPr>
            <w:r/>
            <w:r>
              <w:rPr>
                <w:sz w:val="18"/>
              </w:rPr>
              <w:t>Both identifiers already exist at the decision point in any real credential service</w:t>
            </w:r>
          </w:p>
        </w:tc>
      </w:tr>
      <w:tr>
        <w:tc>
          <w:tcPr>
            <w:tcW w:type="dxa" w:w="2160"/>
            <w:shd w:val="clear" w:fill="F6F7F9"/>
          </w:tcPr>
          <w:p>
            <w:pPr>
              <w:spacing w:after="40"/>
            </w:pPr>
            <w:r/>
            <w:r>
              <w:rPr>
                <w:sz w:val="18"/>
              </w:rPr>
              <w:t>Delegation policy verifier</w:t>
            </w:r>
          </w:p>
        </w:tc>
        <w:tc>
          <w:tcPr>
            <w:tcW w:type="dxa" w:w="4464"/>
            <w:shd w:val="clear" w:fill="F6F7F9"/>
          </w:tcPr>
          <w:p>
            <w:pPr>
              <w:spacing w:after="40"/>
            </w:pPr>
            <w:r/>
            <w:r>
              <w:rPr>
                <w:sz w:val="18"/>
              </w:rPr>
              <w:t>Six independent clauses (identity, scope, purpose, time, amount, chain). No training, no thresholds, fully auditable — the profile a payment network needs for a decline reason.</w:t>
            </w:r>
          </w:p>
        </w:tc>
        <w:tc>
          <w:tcPr>
            <w:tcW w:type="dxa" w:w="3456"/>
            <w:shd w:val="clear" w:fill="F6F7F9"/>
          </w:tcPr>
          <w:p>
            <w:pPr>
              <w:spacing w:after="40"/>
            </w:pPr>
            <w:r/>
            <w:r>
              <w:rPr>
                <w:sz w:val="18"/>
              </w:rPr>
              <w:t>A machine-readable delegation grant, which agentic-commerce protocols already define</w:t>
            </w:r>
          </w:p>
        </w:tc>
      </w:tr>
      <w:tr>
        <w:tc>
          <w:tcPr>
            <w:tcW w:type="dxa" w:w="2160"/>
          </w:tcPr>
          <w:p>
            <w:pPr>
              <w:spacing w:after="40"/>
            </w:pPr>
            <w:r/>
            <w:r>
              <w:rPr>
                <w:sz w:val="18"/>
              </w:rPr>
              <w:t>Two-sided CUSUM on spend</w:t>
            </w:r>
          </w:p>
        </w:tc>
        <w:tc>
          <w:tcPr>
            <w:tcW w:type="dxa" w:w="4464"/>
          </w:tcPr>
          <w:p>
            <w:pPr>
              <w:spacing w:after="40"/>
            </w:pPr>
            <w:r/>
            <w:r>
              <w:rPr>
                <w:sz w:val="18"/>
              </w:rPr>
              <w:t>A standard control-chart statistic, well understood in process monitoring, normalised against each account's own baseline rather than a population average.</w:t>
            </w:r>
          </w:p>
        </w:tc>
        <w:tc>
          <w:tcPr>
            <w:tcW w:type="dxa" w:w="3456"/>
          </w:tcPr>
          <w:p>
            <w:pPr>
              <w:spacing w:after="40"/>
            </w:pPr>
            <w:r/>
            <w:r>
              <w:rPr>
                <w:sz w:val="18"/>
              </w:rPr>
              <w:t>Transaction history of adequate length (see 4.2)</w:t>
            </w:r>
          </w:p>
        </w:tc>
      </w:tr>
      <w:tr>
        <w:tc>
          <w:tcPr>
            <w:tcW w:type="dxa" w:w="2160"/>
            <w:shd w:val="clear" w:fill="F6F7F9"/>
          </w:tcPr>
          <w:p>
            <w:pPr>
              <w:spacing w:after="40"/>
            </w:pPr>
            <w:r/>
            <w:r>
              <w:rPr>
                <w:sz w:val="18"/>
              </w:rPr>
              <w:t>Explicit FPR operating point</w:t>
            </w:r>
          </w:p>
        </w:tc>
        <w:tc>
          <w:tcPr>
            <w:tcW w:type="dxa" w:w="4464"/>
            <w:shd w:val="clear" w:fill="F6F7F9"/>
          </w:tcPr>
          <w:p>
            <w:pPr>
              <w:spacing w:after="40"/>
            </w:pPr>
            <w:r/>
            <w:r>
              <w:rPr>
                <w:sz w:val="18"/>
              </w:rPr>
              <w:t>Thresholds calibrated against a false-positive budget on attack-free traffic, which is how fraud systems are actually operated and reviewed.</w:t>
            </w:r>
          </w:p>
        </w:tc>
        <w:tc>
          <w:tcPr>
            <w:tcW w:type="dxa" w:w="3456"/>
            <w:shd w:val="clear" w:fill="F6F7F9"/>
          </w:tcPr>
          <w:p>
            <w:pPr>
              <w:spacing w:after="40"/>
            </w:pPr>
            <w:r/>
            <w:r>
              <w:rPr>
                <w:sz w:val="18"/>
              </w:rPr>
              <w:t>A representative sample of genuine traffic for calibration</w:t>
            </w:r>
          </w:p>
        </w:tc>
      </w:tr>
    </w:tbl>
    <w:p>
      <w:pPr>
        <w:spacing w:after="120"/>
      </w:pPr>
    </w:p>
    <w:p>
      <w:pPr>
        <w:spacing w:after="80"/>
      </w:pPr>
      <w:r>
        <w:rPr>
          <w:b/>
          <w:i w:val="0"/>
          <w:color w:val="1F3A5F"/>
          <w:sz w:val="26"/>
        </w:rPr>
        <w:t>4.2  Deployment constraints our results imply</w:t>
      </w:r>
    </w:p>
    <w:p>
      <w:pPr>
        <w:pStyle w:val="ListBullet"/>
        <w:spacing w:after="60"/>
        <w:ind w:left="360"/>
      </w:pPr>
      <w:r>
        <w:t>Baseline history is the binding constraint, not model sophistication. Section 3.5 shows slow-drain detection moving from ~18% to ~98% purely by extending observable history from 8 to 60 transactions. Real institutions hold months of history — an advantage the simulator does not model and which likely makes production detection easier than our figures suggest.</w:t>
      </w:r>
    </w:p>
    <w:p>
      <w:pPr>
        <w:pStyle w:val="ListBullet"/>
        <w:spacing w:after="60"/>
        <w:ind w:left="360"/>
      </w:pPr>
      <w:r>
        <w:t>The false-positive budget must be set deliberately. Our measured ROC is steep in the operating region: halving the false-positive rate roughly halves recall. This is a business decision about decline costs, not a modelling choice, and the system exposes it as an explicit parameter.</w:t>
      </w:r>
    </w:p>
    <w:p>
      <w:pPr>
        <w:pStyle w:val="ListBullet"/>
        <w:spacing w:after="60"/>
        <w:ind w:left="360"/>
      </w:pPr>
      <w:r>
        <w:t>Baselines require managed re-establishment. A frozen per-account baseline cannot track legitimate long-term change in a customer's spending. Production deployment needs a verified re-baselining process, or genuine life changes will present as slow drains.</w:t>
      </w:r>
    </w:p>
    <w:p>
      <w:pPr>
        <w:pStyle w:val="ListBullet"/>
        <w:spacing w:after="60"/>
        <w:ind w:left="360"/>
      </w:pPr>
      <w:r>
        <w:t>Unsupervised deviation is not the same as fraud. The one-class layer flags the unusual, not the malicious. It is appropriate for triage and review queues; it should not auto-decline without a second, higher-precision signal.</w:t>
      </w:r>
    </w:p>
    <w:p>
      <w:pPr>
        <w:spacing w:after="80"/>
      </w:pPr>
      <w:r>
        <w:rPr>
          <w:b/>
          <w:i w:val="0"/>
          <w:color w:val="1F3A5F"/>
          <w:sz w:val="26"/>
        </w:rPr>
        <w:t>4.3  Honest limitations</w:t>
      </w:r>
    </w:p>
    <w:tbl>
      <w:tblPr>
        <w:tblStyle w:val="TableGrid"/>
        <w:tblW w:type="auto" w:w="0"/>
        <w:jc w:val="center"/>
        <w:tblLook w:firstColumn="1" w:firstRow="1" w:lastColumn="0" w:lastRow="0" w:noHBand="0" w:noVBand="1" w:val="04A0"/>
      </w:tblPr>
      <w:tblGrid>
        <w:gridCol w:w="4824"/>
        <w:gridCol w:w="4824"/>
      </w:tblGrid>
      <w:tr>
        <w:tc>
          <w:tcPr>
            <w:tcW w:type="dxa" w:w="3312"/>
            <w:shd w:val="clear" w:fill="1F3A5F"/>
          </w:tcPr>
          <w:p>
            <w:r/>
            <w:r>
              <w:rPr>
                <w:b/>
                <w:color w:val="FFFFFF"/>
                <w:sz w:val="18"/>
              </w:rPr>
              <w:t>Limitation</w:t>
            </w:r>
          </w:p>
        </w:tc>
        <w:tc>
          <w:tcPr>
            <w:tcW w:type="dxa" w:w="6768"/>
            <w:shd w:val="clear" w:fill="1F3A5F"/>
          </w:tcPr>
          <w:p>
            <w:r/>
            <w:r>
              <w:rPr>
                <w:b/>
                <w:color w:val="FFFFFF"/>
                <w:sz w:val="18"/>
              </w:rPr>
              <w:t>Consequence for interpreting our results</w:t>
            </w:r>
          </w:p>
        </w:tc>
      </w:tr>
      <w:tr>
        <w:tc>
          <w:tcPr>
            <w:tcW w:type="dxa" w:w="3312"/>
          </w:tcPr>
          <w:p>
            <w:pPr>
              <w:spacing w:after="40"/>
            </w:pPr>
            <w:r/>
            <w:r>
              <w:rPr>
                <w:sz w:val="18"/>
              </w:rPr>
              <w:t>Cross-strategy generalization to quiet attacks remains unsolved</w:t>
            </w:r>
          </w:p>
        </w:tc>
        <w:tc>
          <w:tcPr>
            <w:tcW w:type="dxa" w:w="6768"/>
          </w:tcPr>
          <w:p>
            <w:pPr>
              <w:spacing w:after="40"/>
            </w:pPr>
            <w:r/>
            <w:r>
              <w:rPr>
                <w:sz w:val="18"/>
              </w:rPr>
              <w:t>The one-class layer reaches 1.00 on unseen loud strategies but only 0.15–0.25 on unseen slow drains. Section 3.5 indicates the ceiling is environmental, not architectural.</w:t>
            </w:r>
          </w:p>
        </w:tc>
      </w:tr>
      <w:tr>
        <w:tc>
          <w:tcPr>
            <w:tcW w:type="dxa" w:w="3312"/>
            <w:shd w:val="clear" w:fill="F6F7F9"/>
          </w:tcPr>
          <w:p>
            <w:pPr>
              <w:spacing w:after="40"/>
            </w:pPr>
            <w:r/>
            <w:r>
              <w:rPr>
                <w:sz w:val="18"/>
              </w:rPr>
              <w:t>A single victim model (gemini-3.1-flash-lite)</w:t>
            </w:r>
          </w:p>
        </w:tc>
        <w:tc>
          <w:tcPr>
            <w:tcW w:type="dxa" w:w="6768"/>
            <w:shd w:val="clear" w:fill="F6F7F9"/>
          </w:tcPr>
          <w:p>
            <w:pPr>
              <w:spacing w:after="40"/>
            </w:pPr>
            <w:r/>
            <w:r>
              <w:rPr>
                <w:sz w:val="18"/>
              </w:rPr>
              <w:t>Susceptibility is strongly model-dependent: we measured 0% attack success on ranking injection and 100% on identity override. These are not properties of "LLM agents" in general.</w:t>
            </w:r>
          </w:p>
        </w:tc>
      </w:tr>
      <w:tr>
        <w:tc>
          <w:tcPr>
            <w:tcW w:type="dxa" w:w="3312"/>
          </w:tcPr>
          <w:p>
            <w:pPr>
              <w:spacing w:after="40"/>
            </w:pPr>
            <w:r/>
            <w:r>
              <w:rPr>
                <w:sz w:val="18"/>
              </w:rPr>
              <w:t>Small sample sizes</w:t>
            </w:r>
          </w:p>
        </w:tc>
        <w:tc>
          <w:tcPr>
            <w:tcW w:type="dxa" w:w="6768"/>
          </w:tcPr>
          <w:p>
            <w:pPr>
              <w:spacing w:after="40"/>
            </w:pPr>
            <w:r/>
            <w:r>
              <w:rPr>
                <w:sz w:val="18"/>
              </w:rPr>
              <w:t>A three-generation run yields tens of traces per family. The controlled evaluation suites are more trustworthy than any single live run, and we treat them as authoritative.</w:t>
            </w:r>
          </w:p>
        </w:tc>
      </w:tr>
      <w:tr>
        <w:tc>
          <w:tcPr>
            <w:tcW w:type="dxa" w:w="3312"/>
            <w:shd w:val="clear" w:fill="F6F7F9"/>
          </w:tcPr>
          <w:p>
            <w:pPr>
              <w:spacing w:after="40"/>
            </w:pPr>
            <w:r/>
            <w:r>
              <w:rPr>
                <w:sz w:val="18"/>
              </w:rPr>
              <w:t>Simplified transaction schema</w:t>
            </w:r>
          </w:p>
        </w:tc>
        <w:tc>
          <w:tcPr>
            <w:tcW w:type="dxa" w:w="6768"/>
            <w:shd w:val="clear" w:fill="F6F7F9"/>
          </w:tcPr>
          <w:p>
            <w:pPr>
              <w:spacing w:after="40"/>
            </w:pPr>
            <w:r/>
            <w:r>
              <w:rPr>
                <w:sz w:val="18"/>
              </w:rPr>
              <w:t>No device fingerprint, geolocation, merchant reputation or session signal. Entire families of real-world detection are unavailable by construction — a production system would have strictly more to work with.</w:t>
            </w:r>
          </w:p>
        </w:tc>
      </w:tr>
      <w:tr>
        <w:tc>
          <w:tcPr>
            <w:tcW w:type="dxa" w:w="3312"/>
          </w:tcPr>
          <w:p>
            <w:pPr>
              <w:spacing w:after="40"/>
            </w:pPr>
            <w:r/>
            <w:r>
              <w:rPr>
                <w:sz w:val="18"/>
              </w:rPr>
              <w:t>One detector remains keyword-based</w:t>
            </w:r>
          </w:p>
        </w:tc>
        <w:tc>
          <w:tcPr>
            <w:tcW w:type="dxa" w:w="6768"/>
          </w:tcPr>
          <w:p>
            <w:pPr>
              <w:spacing w:after="40"/>
            </w:pPr>
            <w:r/>
            <w:r>
              <w:rPr>
                <w:sz w:val="18"/>
              </w:rPr>
              <w:t>Branded Whisper detection is blind on roughly 90% of real attacks. We audited three candidate structural signals and rejected all three as either disguised keyword lists or properties the attacker directly controls, rather than ship a detector that overfits our own examples.</w:t>
            </w:r>
          </w:p>
        </w:tc>
      </w:tr>
    </w:tbl>
    <w:p>
      <w:pPr>
        <w:spacing w:after="120"/>
      </w:pPr>
    </w:p>
    <w:p>
      <w:pPr>
        <w:spacing w:after="80"/>
      </w:pPr>
      <w:r>
        <w:rPr>
          <w:b/>
          <w:i w:val="0"/>
          <w:color w:val="1F3A5F"/>
          <w:sz w:val="26"/>
        </w:rPr>
        <w:t>4.4  Path to production</w:t>
      </w:r>
    </w:p>
    <w:tbl>
      <w:tblPr>
        <w:tblStyle w:val="TableGrid"/>
        <w:tblW w:type="auto" w:w="0"/>
        <w:jc w:val="center"/>
        <w:tblLook w:firstColumn="1" w:firstRow="1" w:lastColumn="0" w:lastRow="0" w:noHBand="0" w:noVBand="1" w:val="04A0"/>
      </w:tblPr>
      <w:tblGrid>
        <w:gridCol w:w="3216"/>
        <w:gridCol w:w="3216"/>
        <w:gridCol w:w="3216"/>
      </w:tblGrid>
      <w:tr>
        <w:tc>
          <w:tcPr>
            <w:tcW w:type="dxa" w:w="1008"/>
            <w:shd w:val="clear" w:fill="1F3A5F"/>
          </w:tcPr>
          <w:p>
            <w:r/>
            <w:r>
              <w:rPr>
                <w:b/>
                <w:color w:val="FFFFFF"/>
                <w:sz w:val="18"/>
              </w:rPr>
              <w:t>Priority</w:t>
            </w:r>
          </w:p>
        </w:tc>
        <w:tc>
          <w:tcPr>
            <w:tcW w:type="dxa" w:w="3888"/>
            <w:shd w:val="clear" w:fill="1F3A5F"/>
          </w:tcPr>
          <w:p>
            <w:r/>
            <w:r>
              <w:rPr>
                <w:b/>
                <w:color w:val="FFFFFF"/>
                <w:sz w:val="18"/>
              </w:rPr>
              <w:t>Step</w:t>
            </w:r>
          </w:p>
        </w:tc>
        <w:tc>
          <w:tcPr>
            <w:tcW w:type="dxa" w:w="5184"/>
            <w:shd w:val="clear" w:fill="1F3A5F"/>
          </w:tcPr>
          <w:p>
            <w:r/>
            <w:r>
              <w:rPr>
                <w:b/>
                <w:color w:val="FFFFFF"/>
                <w:sz w:val="18"/>
              </w:rPr>
              <w:t>Rationale</w:t>
            </w:r>
          </w:p>
        </w:tc>
      </w:tr>
      <w:tr>
        <w:tc>
          <w:tcPr>
            <w:tcW w:type="dxa" w:w="1008"/>
          </w:tcPr>
          <w:p>
            <w:pPr>
              <w:spacing w:after="40"/>
            </w:pPr>
            <w:r/>
            <w:r>
              <w:rPr>
                <w:sz w:val="18"/>
              </w:rPr>
              <w:t>1</w:t>
            </w:r>
          </w:p>
        </w:tc>
        <w:tc>
          <w:tcPr>
            <w:tcW w:type="dxa" w:w="3888"/>
          </w:tcPr>
          <w:p>
            <w:pPr>
              <w:spacing w:after="40"/>
            </w:pPr>
            <w:r/>
            <w:r>
              <w:rPr>
                <w:sz w:val="18"/>
              </w:rPr>
              <w:t>Extend baseline history to 30–60 transactions</w:t>
            </w:r>
          </w:p>
        </w:tc>
        <w:tc>
          <w:tcPr>
            <w:tcW w:type="dxa" w:w="5184"/>
          </w:tcPr>
          <w:p>
            <w:pPr>
              <w:spacing w:after="40"/>
            </w:pPr>
            <w:r/>
            <w:r>
              <w:rPr>
                <w:sz w:val="18"/>
              </w:rPr>
              <w:t>Largest measured gain available; a data-availability change, not a modelling one</w:t>
            </w:r>
          </w:p>
        </w:tc>
      </w:tr>
      <w:tr>
        <w:tc>
          <w:tcPr>
            <w:tcW w:type="dxa" w:w="1008"/>
            <w:shd w:val="clear" w:fill="F6F7F9"/>
          </w:tcPr>
          <w:p>
            <w:pPr>
              <w:spacing w:after="40"/>
            </w:pPr>
            <w:r/>
            <w:r>
              <w:rPr>
                <w:sz w:val="18"/>
              </w:rPr>
              <w:t>2</w:t>
            </w:r>
          </w:p>
        </w:tc>
        <w:tc>
          <w:tcPr>
            <w:tcW w:type="dxa" w:w="3888"/>
            <w:shd w:val="clear" w:fill="F6F7F9"/>
          </w:tcPr>
          <w:p>
            <w:pPr>
              <w:spacing w:after="40"/>
            </w:pPr>
            <w:r/>
            <w:r>
              <w:rPr>
                <w:sz w:val="18"/>
              </w:rPr>
              <w:t>Make pre-execution enforcement the default path</w:t>
            </w:r>
          </w:p>
        </w:tc>
        <w:tc>
          <w:tcPr>
            <w:tcW w:type="dxa" w:w="5184"/>
            <w:shd w:val="clear" w:fill="F6F7F9"/>
          </w:tcPr>
          <w:p>
            <w:pPr>
              <w:spacing w:after="40"/>
            </w:pPr>
            <w:r/>
            <w:r>
              <w:rPr>
                <w:sz w:val="18"/>
              </w:rPr>
              <w:t>Converts classification into prevention with a measurable prevented-harm metric</w:t>
            </w:r>
          </w:p>
        </w:tc>
      </w:tr>
      <w:tr>
        <w:tc>
          <w:tcPr>
            <w:tcW w:type="dxa" w:w="1008"/>
          </w:tcPr>
          <w:p>
            <w:pPr>
              <w:spacing w:after="40"/>
            </w:pPr>
            <w:r/>
            <w:r>
              <w:rPr>
                <w:sz w:val="18"/>
              </w:rPr>
              <w:t>3</w:t>
            </w:r>
          </w:p>
        </w:tc>
        <w:tc>
          <w:tcPr>
            <w:tcW w:type="dxa" w:w="3888"/>
          </w:tcPr>
          <w:p>
            <w:pPr>
              <w:spacing w:after="40"/>
            </w:pPr>
            <w:r/>
            <w:r>
              <w:rPr>
                <w:sz w:val="18"/>
              </w:rPr>
              <w:t>Validate against a second victim model</w:t>
            </w:r>
          </w:p>
        </w:tc>
        <w:tc>
          <w:tcPr>
            <w:tcW w:type="dxa" w:w="5184"/>
          </w:tcPr>
          <w:p>
            <w:pPr>
              <w:spacing w:after="40"/>
            </w:pPr>
            <w:r/>
            <w:r>
              <w:rPr>
                <w:sz w:val="18"/>
              </w:rPr>
              <w:t>Establishes which findings are model-specific and which are structural</w:t>
            </w:r>
          </w:p>
        </w:tc>
      </w:tr>
      <w:tr>
        <w:tc>
          <w:tcPr>
            <w:tcW w:type="dxa" w:w="1008"/>
            <w:shd w:val="clear" w:fill="F6F7F9"/>
          </w:tcPr>
          <w:p>
            <w:pPr>
              <w:spacing w:after="40"/>
            </w:pPr>
            <w:r/>
            <w:r>
              <w:rPr>
                <w:sz w:val="18"/>
              </w:rPr>
              <w:t>4</w:t>
            </w:r>
          </w:p>
        </w:tc>
        <w:tc>
          <w:tcPr>
            <w:tcW w:type="dxa" w:w="3888"/>
            <w:shd w:val="clear" w:fill="F6F7F9"/>
          </w:tcPr>
          <w:p>
            <w:pPr>
              <w:spacing w:after="40"/>
            </w:pPr>
            <w:r/>
            <w:r>
              <w:rPr>
                <w:sz w:val="18"/>
              </w:rPr>
              <w:t>Integrate real transaction context (device, geo, merchant)</w:t>
            </w:r>
          </w:p>
        </w:tc>
        <w:tc>
          <w:tcPr>
            <w:tcW w:type="dxa" w:w="5184"/>
            <w:shd w:val="clear" w:fill="F6F7F9"/>
          </w:tcPr>
          <w:p>
            <w:pPr>
              <w:spacing w:after="40"/>
            </w:pPr>
            <w:r/>
            <w:r>
              <w:rPr>
                <w:sz w:val="18"/>
              </w:rPr>
              <w:t>Unlocks detection families the current schema cannot express</w:t>
            </w:r>
          </w:p>
        </w:tc>
      </w:tr>
      <w:tr>
        <w:tc>
          <w:tcPr>
            <w:tcW w:type="dxa" w:w="1008"/>
          </w:tcPr>
          <w:p>
            <w:pPr>
              <w:spacing w:after="40"/>
            </w:pPr>
            <w:r/>
            <w:r>
              <w:rPr>
                <w:sz w:val="18"/>
              </w:rPr>
              <w:t>5</w:t>
            </w:r>
          </w:p>
        </w:tc>
        <w:tc>
          <w:tcPr>
            <w:tcW w:type="dxa" w:w="3888"/>
          </w:tcPr>
          <w:p>
            <w:pPr>
              <w:spacing w:after="40"/>
            </w:pPr>
            <w:r/>
            <w:r>
              <w:rPr>
                <w:sz w:val="18"/>
              </w:rPr>
              <w:t>Add managed re-baselining</w:t>
            </w:r>
          </w:p>
        </w:tc>
        <w:tc>
          <w:tcPr>
            <w:tcW w:type="dxa" w:w="5184"/>
          </w:tcPr>
          <w:p>
            <w:pPr>
              <w:spacing w:after="40"/>
            </w:pPr>
            <w:r/>
            <w:r>
              <w:rPr>
                <w:sz w:val="18"/>
              </w:rPr>
              <w:t>Required before any per-account baseline can survive real customer behaviour</w:t>
            </w:r>
          </w:p>
        </w:tc>
      </w:tr>
    </w:tbl>
    <w:p>
      <w:pPr>
        <w:spacing w:after="120"/>
      </w:pPr>
    </w:p>
    <w:tbl>
      <w:tblPr>
        <w:tblStyle w:val="TableGrid"/>
        <w:tblW w:type="auto" w:w="0"/>
        <w:tblLook w:firstColumn="1" w:firstRow="1" w:lastColumn="0" w:lastRow="0" w:noHBand="0" w:noVBand="1" w:val="04A0"/>
      </w:tblPr>
      <w:tblGrid>
        <w:gridCol w:w="9648"/>
      </w:tblGrid>
      <w:tr>
        <w:tc>
          <w:tcPr>
            <w:tcW w:type="dxa" w:w="9648"/>
            <w:shd w:val="clear" w:fill="F4F6FA"/>
          </w:tcPr>
          <w:p>
            <w:r/>
            <w:r>
              <w:rPr>
                <w:b/>
                <w:color w:val="1F3A5F"/>
                <w:sz w:val="19"/>
              </w:rPr>
              <w:t>Reproducibility</w:t>
            </w:r>
          </w:p>
          <w:p>
            <w:pPr>
              <w:spacing w:after="40"/>
            </w:pPr>
            <w:r>
              <w:rPr>
                <w:sz w:val="19"/>
              </w:rPr>
              <w:t>Every figure in this document is produced by a script in evaluation/ and can be re-run from the repository. The generalization suite and feature-validation harnesses require no API calls at all; the full adaptive loop costs approximately 156. Each script reports its own LLM call count, and the deterministic experiments assert that the count is zero.</w:t>
            </w:r>
          </w:p>
        </w:tc>
      </w:tr>
    </w:tbl>
    <w:p>
      <w:pPr>
        <w:spacing w:after="120"/>
      </w:pP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80"/>
      <w:outlineLvl w:val="0"/>
    </w:pPr>
    <w:rPr>
      <w:rFonts w:asciiTheme="majorHAnsi" w:eastAsiaTheme="majorEastAsia" w:hAnsiTheme="majorHAnsi" w:cstheme="majorBidi" w:ascii="Calibri" w:hAnsi="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