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Opalascent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SODIUM HYALURONATE (90.0 % to 120.0 %  Of labeled amount)</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103.70 %</w:t>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107.7 %</w:t>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105.6 %</w:t>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107.7 %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SODIUM HYALURONATE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6.85250</w:t>
            </w:r>
          </w:p>
        </w:tc>
        <w:tc>
          <w:tcPr>
            <w:tcW w:w="1447" w:type="pct"/>
            <w:vAlign w:val="center"/>
          </w:tcPr>
          <w:p>
            <w:pPr>
              <w:spacing w:before="0"/>
              <w:jc w:val="center"/>
              <w:rPr>
                <w:sz w:val="24"/>
              </w:rPr>
            </w:pPr>
            <w:r>
              <w:rPr>
                <w:sz w:val="24"/>
              </w:rPr>
              <w:t>106.17500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6.97000</w:t>
            </w:r>
          </w:p>
        </w:tc>
        <w:tc>
          <w:tcPr>
            <w:tcW w:w="1447" w:type="pct"/>
            <w:vAlign w:val="center"/>
          </w:tcPr>
          <w:p>
            <w:pPr>
              <w:spacing w:before="0"/>
              <w:jc w:val="center"/>
              <w:rPr>
                <w:sz w:val="24"/>
              </w:rPr>
            </w:pPr>
            <w:r>
              <w:rPr>
                <w:sz w:val="24"/>
              </w:rPr>
              <w:t>107.70000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6.73000</w:t>
            </w:r>
          </w:p>
        </w:tc>
        <w:tc>
          <w:tcPr>
            <w:tcW w:w="1447" w:type="pct"/>
            <w:vAlign w:val="center"/>
          </w:tcPr>
          <w:p>
            <w:pPr>
              <w:spacing w:before="0"/>
              <w:jc w:val="center"/>
              <w:rPr>
                <w:sz w:val="24"/>
              </w:rPr>
            </w:pPr>
            <w:r>
              <w:rPr>
                <w:sz w:val="24"/>
              </w:rPr>
              <w:t>103.70000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447" w:type="pct"/>
            <w:vAlign w:val="center"/>
          </w:tcPr>
          <w:p>
            <w:pPr>
              <w:spacing w:before="0"/>
              <w:jc w:val="center"/>
              <w:rPr>
                <w:sz w:val="24"/>
              </w:rPr>
            </w:pPr>
            <w:r>
              <w:rPr>
                <w:sz w:val="24"/>
              </w:rPr>
              <w:t>30.00000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1.14750</w:t>
            </w:r>
          </w:p>
        </w:tc>
        <w:tc>
          <w:tcPr>
            <w:tcW w:w="1447" w:type="pct"/>
            <w:vAlign w:val="center"/>
          </w:tcPr>
          <w:p>
            <w:pPr>
              <w:spacing w:before="0"/>
              <w:jc w:val="center"/>
              <w:rPr>
                <w:sz w:val="24"/>
              </w:rPr>
            </w:pPr>
            <w:r>
              <w:rPr>
                <w:sz w:val="24"/>
              </w:rPr>
              <w:t>13.82500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1.85250</w:t>
            </w:r>
          </w:p>
        </w:tc>
        <w:tc>
          <w:tcPr>
            <w:tcW w:w="1447" w:type="pct"/>
            <w:vAlign w:val="center"/>
          </w:tcPr>
          <w:p>
            <w:pPr>
              <w:spacing w:before="0"/>
              <w:jc w:val="center"/>
              <w:rPr>
                <w:sz w:val="24"/>
              </w:rPr>
            </w:pPr>
            <w:r>
              <w:rPr>
                <w:sz w:val="24"/>
              </w:rPr>
              <w:t>16.17500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0.10343</w:t>
            </w:r>
          </w:p>
        </w:tc>
        <w:tc>
          <w:tcPr>
            <w:tcW w:w="1447" w:type="pct"/>
            <w:vAlign w:val="center"/>
          </w:tcPr>
          <w:p>
            <w:pPr>
              <w:spacing w:before="0"/>
              <w:jc w:val="center"/>
              <w:rPr>
                <w:sz w:val="24"/>
              </w:rPr>
            </w:pPr>
            <w:r>
              <w:rPr>
                <w:sz w:val="24"/>
              </w:rPr>
              <w:t>2.42317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0.31</w:t>
            </w:r>
          </w:p>
        </w:tc>
        <w:tc>
          <w:tcPr>
            <w:tcW w:w="1447" w:type="pct"/>
            <w:vAlign w:val="center"/>
          </w:tcPr>
          <w:p>
            <w:pPr>
              <w:spacing w:before="0"/>
              <w:jc w:val="center"/>
              <w:rPr>
                <w:sz w:val="24"/>
              </w:rPr>
            </w:pPr>
            <w:r>
              <w:rPr>
                <w:sz w:val="24"/>
              </w:rPr>
              <w:t>7.27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0.62</w:t>
            </w:r>
          </w:p>
        </w:tc>
        <w:tc>
          <w:tcPr>
            <w:tcW w:w="1447" w:type="pct"/>
            <w:vAlign w:val="center"/>
          </w:tcPr>
          <w:p>
            <w:pPr>
              <w:spacing w:before="0"/>
              <w:jc w:val="center"/>
              <w:rPr>
                <w:sz w:val="24"/>
              </w:rPr>
            </w:pPr>
            <w:r>
              <w:rPr>
                <w:sz w:val="24"/>
              </w:rPr>
              <w:t>14.54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3.70</w:t>
            </w:r>
          </w:p>
        </w:tc>
        <w:tc>
          <w:tcPr>
            <w:tcW w:w="1447" w:type="pct"/>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5.97</w:t>
            </w:r>
          </w:p>
        </w:tc>
        <w:tc>
          <w:tcPr>
            <w:tcW w:w="1447" w:type="pct"/>
            <w:vAlign w:val="center"/>
          </w:tcPr>
          <w:p>
            <w:pPr>
              <w:spacing w:before="0"/>
              <w:jc w:val="center"/>
              <w:rPr>
                <w:sz w:val="24"/>
              </w:rPr>
            </w:pPr>
            <w:r>
              <w:rPr>
                <w:sz w:val="24"/>
              </w:rPr>
              <w:t>2.23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3.70</w:t>
            </w:r>
          </w:p>
        </w:tc>
        <w:tc>
          <w:tcPr>
            <w:tcW w:w="1447" w:type="pct"/>
            <w:shd w:val="clear" w:color="auto" w:fill="D9D9D9"/>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4.83</w:t>
            </w:r>
          </w:p>
        </w:tc>
        <w:tc>
          <w:tcPr>
            <w:tcW w:w="1447" w:type="pct"/>
            <w:shd w:val="clear" w:color="auto" w:fill="D9D9D9"/>
            <w:vAlign w:val="center"/>
          </w:tcPr>
          <w:p>
            <w:pPr>
              <w:spacing w:before="0"/>
              <w:jc w:val="center"/>
              <w:rPr>
                <w:sz w:val="24"/>
              </w:rPr>
            </w:pPr>
            <w:r>
              <w:rPr>
                <w:sz w:val="24"/>
              </w:rPr>
              <w:t>2.06</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0.09878</w:t>
            </w:r>
          </w:p>
        </w:tc>
        <w:tc>
          <w:tcPr>
            <w:tcW w:w="1447" w:type="pct"/>
            <w:vAlign w:val="center"/>
          </w:tcPr>
          <w:p>
            <w:pPr>
              <w:spacing w:before="0"/>
              <w:jc w:val="center"/>
              <w:rPr>
                <w:sz w:val="24"/>
              </w:rPr>
            </w:pPr>
            <w:r>
              <w:rPr>
                <w:sz w:val="24"/>
              </w:rPr>
              <w:t>1.92419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0.30</w:t>
            </w:r>
          </w:p>
        </w:tc>
        <w:tc>
          <w:tcPr>
            <w:tcW w:w="1447" w:type="pct"/>
            <w:vAlign w:val="center"/>
          </w:tcPr>
          <w:p>
            <w:pPr>
              <w:spacing w:before="0"/>
              <w:jc w:val="center"/>
              <w:rPr>
                <w:sz w:val="24"/>
              </w:rPr>
            </w:pPr>
            <w:r>
              <w:rPr>
                <w:sz w:val="24"/>
              </w:rPr>
              <w:t>5.77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0.59</w:t>
            </w:r>
          </w:p>
        </w:tc>
        <w:tc>
          <w:tcPr>
            <w:tcW w:w="1447" w:type="pct"/>
            <w:vAlign w:val="center"/>
          </w:tcPr>
          <w:p>
            <w:pPr>
              <w:spacing w:before="0"/>
              <w:jc w:val="center"/>
              <w:rPr>
                <w:sz w:val="24"/>
              </w:rPr>
            </w:pPr>
            <w:r>
              <w:rPr>
                <w:sz w:val="24"/>
              </w:rPr>
              <w:t>11.55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3.87</w:t>
            </w:r>
          </w:p>
        </w:tc>
        <w:tc>
          <w:tcPr>
            <w:tcW w:w="1447"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6.25</w:t>
            </w:r>
          </w:p>
        </w:tc>
        <w:tc>
          <w:tcPr>
            <w:tcW w:w="1447" w:type="pct"/>
            <w:vAlign w:val="center"/>
          </w:tcPr>
          <w:p>
            <w:pPr>
              <w:spacing w:before="0"/>
              <w:jc w:val="center"/>
              <w:rPr>
                <w:sz w:val="24"/>
              </w:rPr>
            </w:pPr>
            <w:r>
              <w:rPr>
                <w:sz w:val="24"/>
              </w:rPr>
              <w:t>2.80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3.87</w:t>
            </w:r>
          </w:p>
        </w:tc>
        <w:tc>
          <w:tcPr>
            <w:tcW w:w="1447"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5.06</w:t>
            </w:r>
          </w:p>
        </w:tc>
        <w:tc>
          <w:tcPr>
            <w:tcW w:w="1447" w:type="pct"/>
            <w:vAlign w:val="center"/>
          </w:tcPr>
          <w:p>
            <w:pPr>
              <w:spacing w:before="0"/>
              <w:jc w:val="center"/>
              <w:rPr>
                <w:sz w:val="24"/>
              </w:rPr>
            </w:pPr>
            <w:r>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