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2D3D"/>
          <w:sz w:val="48"/>
          <w:szCs w:val="48"/>
        </w:rPr>
        <w:t xml:space="preserve">North Star Metric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LastOne — Product Decision Document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North Star 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30-day smoke-free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Rolling 7-day resistance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2026-05-16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NSM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30-day smoke-free rate — the percentage of active users who reach 30 consecutive smoke-free days within a quit attempt.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honest outcome metric. It measures whether the product is actually working, not whether users are engaged with it. It moves slowly (monthly), which is why we need a proxy for day-to-day team operations.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not other candidates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Candidate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ruled 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Cigarettes Not Smoked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projection off a self-reported baseline, not a measurement. User sets their own baseline — it cannot be verified.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Streak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Resets on slips, which punishes honest users and creates catastrophic loss on relapse. Also what every generic cessation app already does.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Consistency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 close to the NSM itself (smoke_free_days ÷ active_days). A proxy should lead the NSM, not restate it. Also downstream of all features — not actionable for the team.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Proxy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Rolling 7-day resistance rate — the percentage of logged cravings marked as resisted in the past 7 days.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Courier New" w:cs="Courier New" w:eastAsia="Courier New" w:hAnsi="Courier New"/>
          <w:color w:val="1F2D3D"/>
          <w:sz w:val="22"/>
          <w:szCs w:val="22"/>
        </w:rPr>
        <w:t xml:space="preserve">resisted craving logs (last 7 days) ÷ total craving logs (last 7 days)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already defined in the Insights spec (B2.6). It's the behavioral event the product is built around: user felt a craving, engaged with the app, and chose not to smoke.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rolling 7-day, not cumulative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cumulative resistance rate dilutes as early data ages and becomes sparse in later stages as cravings naturally decrease. A 7-day window reflects the user's current state, not their history, and stays meaningful as long as cravings are being logged.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resistance rate over consistency rate as proxy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Resistance rate is independent — it's a product of the user engaging with the coping layer and getting appropriate help. Consistency rate is a result of resistance rate plus everything else (insights, content, streak system). That makes resistance rate more actionable: when it drops, the team can diagnose which part of the coping layer isn't working. When consistency rate drops, you just know things are worse.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logging caveat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Resistance rate is only as honest as the user's logging. This is a known constraint and a deliberate product position: LastOne is built for users who are ready to hold themselves accountable. The product's job is to make honest logging as frictionless and non-judgmental as possible — not to compensate for users who are intentionally not logging.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Metric Tree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NSM has three input branches. The proxy (resistance rate) is the primary trunk — the metric the team operates against day-to-day. The other two branches are real drivers of the NSM but are tracked separately.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D3D"/>
                <w:sz w:val="22"/>
                <w:szCs w:val="22"/>
              </w:rPr>
              <w:t xml:space="preserve">NSM: 30-day smoke-free 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D3D"/>
                <w:sz w:val="22"/>
                <w:szCs w:val="22"/>
              </w:rPr>
              <w:t xml:space="preserve">├── PRIMARY PROXY: Rolling 7-day resistance 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│   ├── Coping tool use rate (did user open a coping tool during the craving?)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│   ├── Coping tool effectiveness score (did the tool work?)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│   └── Contextual card delivery (did the right content card fire at the right moment?)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D3D"/>
                <w:sz w:val="22"/>
                <w:szCs w:val="22"/>
              </w:rPr>
              <w:t xml:space="preserve">├── Slip recovery rate (% of slips where user continues the attempt vs. abandons)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│   ├── Slip logging rate (did user report the slip at all?)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│   ├── Post-slip session rate (did user open app within 24h after a slip?)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│   └── Freeze utilisation (did the freeze mechanic absorb the slip successfully?)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D3D"/>
                <w:sz w:val="22"/>
                <w:szCs w:val="22"/>
              </w:rPr>
              <w:t xml:space="preserve">└── Day 7 retention (% of users still active on Day 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 ├── Learning Week completion rate (did user finish Stage 0?)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 ├── First craving logged (did user engage with the core loop at least once?)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 └── Insights activation rate (did user open Insights at least once in Stage 1?)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Note on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tree covers the in-scope summer build: Stage System, Two-Layer Coping, and Content &amp; Awareness. Social Architecture (deferred) would add peer accountability levers to the slip recovery branch. The full Personalization Model (deferred) would sharpen contextual card delivery.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this means for the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building a feature, it should link to at least one L2 metric in the tree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primary question for any coping or content work: does this move coping tool use rate, tool effectiveness, or contextual card delivery?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Resistance rate is most data-rich in Stages 1–3 (high craving frequency). In Stages 4–5, a thinning resistance rate is a signal of success, not a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NSM (30-day smoke-free rate) is validated periodically — does a rising resistance rate in Stages 1–3 actually predict 30-day smoke-free outcomes? This can only be answered post-launch with real cohort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D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2026-05-20T18:33:24.223Z</dcterms:created>
  <dcterms:modified xsi:type="dcterms:W3CDTF">2026-05-20T18:33:24.224Z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