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ThreatFusion AI</w:t>
      </w:r>
    </w:p>
    <w:p>
      <w:pPr>
        <w:pStyle w:val="Subtitle"/>
      </w:pPr>
      <w:r>
        <w:t>Phase 0: Foundation</w:t>
      </w:r>
    </w:p>
    <w:p>
      <w:r>
        <w:t>Technical learning guide, implementation walkthrough, and independent review</w:t>
      </w:r>
    </w:p>
    <w:p>
      <w:r>
        <w:t>Reviewed revision: 0c20600  |  Review date: 17 October 2026</w:t>
      </w:r>
    </w:p>
    <w:p>
      <w:pPr>
        <w:pStyle w:val="Heading1"/>
      </w:pPr>
      <w:r>
        <w:t>Table of contents</w:t>
      </w:r>
    </w:p>
    <w:p>
      <w:fldChar w:fldCharType="begin"/>
      <w:instrText xml:space="preserve">TOC \o "1-3" \h \z \u</w:instrText>
      <w:fldChar w:fldCharType="separate"/>
      <w:t>Update this table of contents in Word.</w:t>
      <w:fldChar w:fldCharType="end"/>
    </w:p>
    <w:p>
      <w:r>
        <w:t>In Microsoft Word, right-click the field and choose Update Field to populate page numbers.</w:t>
      </w:r>
    </w:p>
    <w:p>
      <w:r>
        <w:t>1. Phase purpose and requirements</w:t>
      </w:r>
    </w:p>
    <w:p>
      <w:r>
        <w:t>Phase 0 establishes the executable foundation for an agentic SOC copilot. It does not yet ingest alerts, create graph relationships, run agents, or expose a FastAPI endpoint. Instead, it defines the contracts that later phases will rely on: validated configuration, local persistence services, structured logging, a health-result model, a test harness, and an architecture record.</w:t>
      </w:r>
    </w:p>
    <w:p>
      <w:pPr>
        <w:pStyle w:val="Heading2"/>
      </w:pPr>
      <w:r>
        <w:t>What Phase 0 is responsible for</w:t>
      </w:r>
    </w:p>
    <w:p>
      <w:r>
        <w:t>Provide a Python 3.12 project with installable runtime and development dependencies.</w:t>
      </w:r>
    </w:p>
    <w:p>
      <w:r>
        <w:t>Load settings from environment variables using Pydantic Settings and validate important values at startup.</w:t>
      </w:r>
    </w:p>
    <w:p>
      <w:r>
        <w:t>Prepare PostgreSQL, Redis, and Neo4j Community Edition through Docker Compose.</w:t>
      </w:r>
    </w:p>
    <w:p>
      <w:r>
        <w:t>Provide structured JSON logging through structlog and the standard logging package.</w:t>
      </w:r>
    </w:p>
    <w:p>
      <w:r>
        <w:t>Define pure in-memory service-health aggregation without opening live connections.</w:t>
      </w:r>
    </w:p>
    <w:p>
      <w:r>
        <w:t>Provide unit tests that run without live infrastructure.</w:t>
      </w:r>
    </w:p>
    <w:p>
      <w:r>
        <w:t>Record non-obvious infrastructure decisions in docs/adr/0000-infrastructure-baseline.md.</w:t>
      </w:r>
    </w:p>
    <w:p>
      <w:pPr>
        <w:pStyle w:val="Heading2"/>
      </w:pPr>
      <w:r>
        <w:t>Hard constraints carried into later phases</w:t>
      </w:r>
    </w:p>
    <w:p>
      <w:r>
        <w:t>Free/open-source tooling only.</w:t>
      </w:r>
    </w:p>
    <w:p>
      <w:r>
        <w:t>Secrets belong in .env and must not be committed.</w:t>
      </w:r>
    </w:p>
    <w:p>
      <w:r>
        <w:t>The guardrail is a deterministic policy engine, not an LLM judgment.</w:t>
      </w:r>
    </w:p>
    <w:p>
      <w:r>
        <w:t>Every graph edge must later carry valid_from, valid_to, confidence, and source.</w:t>
      </w:r>
    </w:p>
    <w:p>
      <w:r>
        <w:t>Missing threat intelligence is unknown/no corroborating evidence, never confirmed safe.</w:t>
      </w:r>
    </w:p>
    <w:p>
      <w:r>
        <w:t>Every autonomous action requires human approval.</w:t>
      </w:r>
    </w:p>
    <w:p>
      <w:r>
        <w:t>These constraints are documented in the project context and README, but most are future-phase contracts rather than Phase 0 runtime enforcement.</w:t>
      </w:r>
    </w:p>
    <w:p>
      <w:r>
        <w:t>2. Architecture and design decisions</w:t>
      </w:r>
    </w:p>
    <w:p>
      <w:r>
        <w:t>The baseline is intentionally layered. Configuration and logging sit in core/, infrastructure is described declaratively in Docker Compose, and the empty package directories reserve boundaries for future ingestion, normalization, graph, agents, orchestration, API, and simulation work.</w:t>
      </w:r>
    </w:p>
    <w:p>
      <w:pPr>
        <w:pStyle w:val="Heading2"/>
      </w:pPr>
      <w:r>
        <w:t>Why the health model has no I/O</w:t>
      </w:r>
    </w:p>
    <w:p>
      <w:r>
        <w:t>core/health.py only represents results. Individual PostgreSQL, Redis, Neo4j, Wazuh, and MISP clients are deferred to later phases. This separation makes aggregation logic testable without requiring Docker, credentials, network access, or a running service.</w:t>
      </w:r>
    </w:p>
    <w:p>
      <w:r>
        <w:t>3. Project directory structure and important files</w:t>
      </w:r>
    </w:p>
    <w:p>
      <w:r>
        <w:t>ThreatFusion-AI/</w:t>
      </w:r>
    </w:p>
    <w:p>
      <w:r>
        <w:t>├── agents/              Future triage, investigation, correlation, guardrail agents</w:t>
      </w:r>
    </w:p>
    <w:p>
      <w:r>
        <w:t>├── api/                 Future FastAPI application</w:t>
      </w:r>
    </w:p>
    <w:p>
      <w:r>
        <w:t>├── core/                Configuration, logging, health models</w:t>
      </w:r>
    </w:p>
    <w:p>
      <w:r>
        <w:t>│   ├── config.py</w:t>
      </w:r>
    </w:p>
    <w:p>
      <w:r>
        <w:t>│   ├── health.py</w:t>
      </w:r>
    </w:p>
    <w:p>
      <w:r>
        <w:t>│   └── logger.py</w:t>
      </w:r>
    </w:p>
    <w:p>
      <w:r>
        <w:t>├── dashboard/           Future React/Vite/Cytoscape UI</w:t>
      </w:r>
    </w:p>
    <w:p>
      <w:r>
        <w:t>├── docs/adr/             Architecture Decision Records</w:t>
      </w:r>
    </w:p>
    <w:p>
      <w:r>
        <w:t>├── graph/                Future Neo4j schema and query layer</w:t>
      </w:r>
    </w:p>
    <w:p>
      <w:r>
        <w:t>├── ingestion/            Future Wazuh ingestion</w:t>
      </w:r>
    </w:p>
    <w:p>
      <w:r>
        <w:t>├── normalization/       Future OCSF mapping and entity resolution</w:t>
      </w:r>
    </w:p>
    <w:p>
      <w:r>
        <w:t>├── orchestrator/         Future LangGraph workflow</w:t>
      </w:r>
    </w:p>
    <w:p>
      <w:r>
        <w:t>├── simulation/           Future synthetic attack scenarios</w:t>
      </w:r>
    </w:p>
    <w:p>
      <w:r>
        <w:t>├── tests/</w:t>
      </w:r>
    </w:p>
    <w:p>
      <w:r>
        <w:t>│   ├── conftest.py</w:t>
      </w:r>
    </w:p>
    <w:p>
      <w:r>
        <w:t>│   └── unit/</w:t>
      </w:r>
    </w:p>
    <w:p>
      <w:r>
        <w:t>│       ├── test_config.py</w:t>
      </w:r>
    </w:p>
    <w:p>
      <w:r>
        <w:t>│       └── test_health.py</w:t>
      </w:r>
    </w:p>
    <w:p>
      <w:r>
        <w:t>├── .env.example          Safe configuration template</w:t>
      </w:r>
    </w:p>
    <w:p>
      <w:r>
        <w:t>├── docker-compose.yml    PostgreSQL, Redis, Neo4j services</w:t>
      </w:r>
    </w:p>
    <w:p>
      <w:r>
        <w:t>├── pyproject.toml        Package metadata and tool configuration</w:t>
      </w:r>
    </w:p>
    <w:p>
      <w:r>
        <w:t>└── README.md             Windows setup, phases, and constraints</w:t>
      </w:r>
    </w:p>
    <w:p>
      <w:r>
        <w:t>4. Dependencies, configuration, and environment variables</w:t>
      </w:r>
    </w:p>
    <w:p>
      <w:r>
        <w:t>pyproject.toml declares FastAPI/uvicorn, Pydantic, asyncpg and SQLAlchemy, Alembic, Neo4j, Redis, httpx, LangGraph, langchain-core, and structlog. Development extras declare pytest, pytest-asyncio, pytest-mock, pytest-cov, Ruff, and mypy. The installed local virtual environment contains pytest and its plugins; Ruff and mypy were not installed during this review.</w:t>
      </w:r>
    </w:p>
    <w:p>
      <w:r>
        <w:t>Secrets are marked repr=False for several Pydantic fields and omitted from safe_summary(). The computed postgres_dsn and redis_url intentionally contain credentials for client use; they must never be logged.</w:t>
      </w:r>
    </w:p>
    <w:p>
      <w:r>
        <w:t>Actual pattern from core/config.py</w:t>
      </w:r>
    </w:p>
    <w:p>
      <w:r>
        <w:t>@property</w:t>
      </w:r>
    </w:p>
    <w:p>
      <w:r>
        <w:t>def postgres_dsn(self) -&gt; str:</w:t>
      </w:r>
    </w:p>
    <w:p>
      <w:r>
        <w:t>"""Async-compatible DSN using asyncpg driver."""</w:t>
      </w:r>
    </w:p>
    <w:p>
      <w:r>
        <w:t>return (</w:t>
      </w:r>
    </w:p>
    <w:p>
      <w:r>
        <w:t>f"postgresql+asyncpg://{self.postgres_user}:{self.postgres_password}"</w:t>
      </w:r>
    </w:p>
    <w:p>
      <w:r>
        <w:t>f"@{self.postgres_host}:{self.postgres_port}/{self.postgres_db}"</w:t>
      </w:r>
    </w:p>
    <w:p>
      <w:r>
        <w:t>)</w:t>
      </w:r>
    </w:p>
    <w:p>
      <w:r>
        <w:t>Actual production placeholder guard, condensed only for page readability</w:t>
      </w:r>
    </w:p>
    <w:p>
      <w:r>
        <w:t>@model_validator(mode="after")</w:t>
      </w:r>
    </w:p>
    <w:p>
      <w:r>
        <w:t>def warn_non_production_defaults(self) -&gt; "AppSettings":</w:t>
      </w:r>
    </w:p>
    <w:p>
      <w:r>
        <w:t>placeholders = {"CHANGE_ME", "REPLACE_WITH", "your-secret"}</w:t>
      </w:r>
    </w:p>
    <w:p>
      <w:r>
        <w:t>if self.app_env == "production":</w:t>
      </w:r>
    </w:p>
    <w:p>
      <w:r>
        <w:t>for field_name in ("secret_key", "postgres_password",</w:t>
      </w:r>
    </w:p>
    <w:p>
      <w:r>
        <w:t>"neo4j_password", "redis_password"):</w:t>
      </w:r>
    </w:p>
    <w:p>
      <w:r>
        <w:t>value = getattr(self, field_name)</w:t>
      </w:r>
    </w:p>
    <w:p>
      <w:r>
        <w:t>if any(p in value for p in placeholders):</w:t>
      </w:r>
    </w:p>
    <w:p>
      <w:r>
        <w:t>raise ValueError("Field contains a placeholder value")</w:t>
      </w:r>
    </w:p>
    <w:p>
      <w:r>
        <w:t>return self</w:t>
      </w:r>
    </w:p>
    <w:p>
      <w:r>
        <w:t>5. Implementation walkthrough</w:t>
      </w:r>
    </w:p>
    <w:p>
      <w:r>
        <w:t>5.1 Settings lifecycle</w:t>
      </w:r>
    </w:p>
    <w:p>
      <w:r>
        <w:t>AppSettings reads .env and process environment variables through BaseSettings. Required fields without defaults fail validation. Literal types restrict app_env, log_level, and llm_provider. Field validators enforce Wazuh HTTPS and accepted Neo4j schemes. get_settings() wraps construction in lru_cache(maxsize=1), creating a process-local singleton.</w:t>
      </w:r>
    </w:p>
    <w:p>
      <w:r>
        <w:t>@lru_cache(maxsize=1)</w:t>
      </w:r>
    </w:p>
    <w:p>
      <w:r>
        <w:t>def get_settings() -&gt; AppSettings:</w:t>
      </w:r>
    </w:p>
    <w:p>
      <w:r>
        <w:t>"""Return the cached singleton settings instance."""</w:t>
      </w:r>
    </w:p>
    <w:p>
      <w:r>
        <w:t>return AppSettings()</w:t>
      </w:r>
    </w:p>
    <w:p>
      <w:r>
        <w:t>5.2 Health aggregation</w:t>
      </w:r>
    </w:p>
    <w:p>
      <w:r>
        <w:t>@property</w:t>
      </w:r>
    </w:p>
    <w:p>
      <w:r>
        <w:t>def overall(self) -&gt; ServiceStatus:</w:t>
      </w:r>
    </w:p>
    <w:p>
      <w:r>
        <w:t>statuses = {s.status for s in self._services}</w:t>
      </w:r>
    </w:p>
    <w:p>
      <w:r>
        <w:t>if ServiceStatus.DOWN in statuses:</w:t>
      </w:r>
    </w:p>
    <w:p>
      <w:r>
        <w:t>return ServiceStatus.DOWN</w:t>
      </w:r>
    </w:p>
    <w:p>
      <w:r>
        <w:t>if ServiceStatus.DEGRADED in statuses or ServiceStatus.UNKNOWN in statuses:</w:t>
      </w:r>
    </w:p>
    <w:p>
      <w:r>
        <w:t>return ServiceStatus.DEGRADED</w:t>
      </w:r>
    </w:p>
    <w:p>
      <w:r>
        <w:t>return ServiceStatus.OK</w:t>
      </w:r>
    </w:p>
    <w:p>
      <w:r>
        <w:t>The precedence is deterministic: DOWN dominates; otherwise DEGRADED or UNKNOWN produces DEGRADED; otherwise the result is OK. The current implementation returns OK for an empty service list. That behavior is tested, but it is a review finding because an empty readiness check can become a false-positive health signal.</w:t>
      </w:r>
    </w:p>
    <w:p>
      <w:r>
        <w:t>5.3 Structured logging</w:t>
      </w:r>
    </w:p>
    <w:p>
      <w:r>
        <w:t>configure_logging() resolves the configured log level, configures the stdlib root logger to stdout, configures structlog processors for context, logger name, level, timestamp, stack information, and exception information, then attaches a JSON ProcessorFormatter. The function replaces root handlers, so repeated configuration behavior should be tested before using it in a larger application.</w:t>
      </w:r>
    </w:p>
    <w:p>
      <w:r>
        <w:t>6. Component interactions and data flow</w:t>
      </w:r>
    </w:p>
    <w:p>
      <w:r>
        <w:t>Process startup</w:t>
      </w:r>
    </w:p>
    <w:p>
      <w:r>
        <w:t>│</w:t>
      </w:r>
    </w:p>
    <w:p>
      <w:r>
        <w:t>├─ AppSettings reads .env / environment variables</w:t>
      </w:r>
    </w:p>
    <w:p>
      <w:r>
        <w:t>│      └─ validation failure stops startup</w:t>
      </w:r>
    </w:p>
    <w:p>
      <w:r>
        <w:t>│</w:t>
      </w:r>
    </w:p>
    <w:p>
      <w:r>
        <w:t>├─ configure_logging()</w:t>
      </w:r>
    </w:p>
    <w:p>
      <w:r>
        <w:t>│      └─ JSON events -&gt; stdout</w:t>
      </w:r>
    </w:p>
    <w:p>
      <w:r>
        <w:t>│</w:t>
      </w:r>
    </w:p>
    <w:p>
      <w:r>
        <w:t>├─ Docker Compose provides PostgreSQL, Redis, Neo4j</w:t>
      </w:r>
    </w:p>
    <w:p>
      <w:r>
        <w:t>│      ├─ PostgreSQL: relational alerts, audit, approvals (planned)</w:t>
      </w:r>
    </w:p>
    <w:p>
      <w:r>
        <w:t>│      ├─ Redis: cache and Streams (planned)</w:t>
      </w:r>
    </w:p>
    <w:p>
      <w:r>
        <w:t>│      └─ Neo4j: temporal security graph (planned)</w:t>
      </w:r>
    </w:p>
    <w:p>
      <w:r>
        <w:t>│</w:t>
      </w:r>
    </w:p>
    <w:p>
      <w:r>
        <w:t>└─ health clients (future) -&gt; ServiceHealth</w:t>
      </w:r>
    </w:p>
    <w:p>
      <w:r>
        <w:t>└─ SystemHealth -&gt; future /health endpoint</w:t>
      </w:r>
    </w:p>
    <w:p>
      <w:r>
        <w:t>The Phase 0 data flow is mostly a contract flow, not a live alert flow. Wazuh and MISP URLs and credentials are configured now, but no Wazuh poller, MISP client, PostgreSQL schema, Neo4j query layer, FastAPI route, or LangGraph graph is implemented in this revision.</w:t>
      </w:r>
    </w:p>
    <w:p>
      <w:r>
        <w:t>7. Windows setup and execution commands</w:t>
      </w:r>
    </w:p>
    <w:p>
      <w:r>
        <w:t>cd D:\Project\ThreatFusion-AI</w:t>
      </w:r>
    </w:p>
    <w:p>
      <w:r>
        <w:t>python -m venv .venv</w:t>
      </w:r>
    </w:p>
    <w:p>
      <w:r>
        <w:t>.venv\Scripts\Activate.ps1</w:t>
      </w:r>
    </w:p>
    <w:p>
      <w:r>
        <w:t>pip install -e ".[dev]"</w:t>
      </w:r>
    </w:p>
    <w:p>
      <w:r>
        <w:t>Copy-Item .env.example .env</w:t>
      </w:r>
    </w:p>
    <w:p>
      <w:r>
        <w:t>notepad .env  # replace placeholders locally; do not commit .env</w:t>
      </w:r>
    </w:p>
    <w:p>
      <w:r>
        <w:t>docker compose up -d</w:t>
      </w:r>
    </w:p>
    <w:p>
      <w:r>
        <w:t>docker compose ps</w:t>
      </w:r>
    </w:p>
    <w:p>
      <w:r>
        <w:t>pytest</w:t>
      </w:r>
    </w:p>
    <w:p>
      <w:r>
        <w:t>Useful focused commands:</w:t>
      </w:r>
    </w:p>
    <w:p>
      <w:r>
        <w:t># Unit tests only</w:t>
      </w:r>
    </w:p>
    <w:p>
      <w:r>
        <w:t>.\.venv\Scripts\python.exe -m pytest tests\unit\ -q</w:t>
      </w:r>
    </w:p>
    <w:p>
      <w:r>
        <w:t># Coverage (requires pytest-cov)</w:t>
      </w:r>
    </w:p>
    <w:p>
      <w:r>
        <w:t>.\.venv\Scripts\python.exe -m pytest tests\unit\ --cov=core --cov-report=term-missing</w:t>
      </w:r>
    </w:p>
    <w:p>
      <w:r>
        <w:t># Compose configuration validation</w:t>
      </w:r>
    </w:p>
    <w:p>
      <w:r>
        <w:t>docker compose config --quiet</w:t>
      </w:r>
    </w:p>
    <w:p>
      <w:r>
        <w:t>The README advises waiting roughly 60 seconds for Neo4j JVM startup and checking that all three services are healthy. No Docker service startup was performed in this review, so that integration behavior remains unverified.</w:t>
      </w:r>
    </w:p>
    <w:p>
      <w:r>
        <w:t>8. Testing methodology and actual results</w:t>
      </w:r>
    </w:p>
    <w:p>
      <w:r>
        <w:t>The unit tests deliberately avoid live services. tests/conftest.py injects a complete test environment with monkeypatch, clears get_settings()'s lru_cache before and after each test, and lets each test operate deterministically.</w:t>
      </w:r>
    </w:p>
    <w:p>
      <w:pPr>
        <w:pStyle w:val="Heading2"/>
      </w:pPr>
      <w:r>
        <w:t>What the tests cover</w:t>
      </w:r>
    </w:p>
    <w:p>
      <w:r>
        <w:t>Environment loading and typed defaults.</w:t>
      </w:r>
    </w:p>
    <w:p>
      <w:r>
        <w:t>Wazuh HTTPS and Neo4j scheme validation.</w:t>
      </w:r>
    </w:p>
    <w:p>
      <w:r>
        <w:t>Minimum secret-key length and invalid enum values.</w:t>
      </w:r>
    </w:p>
    <w:p>
      <w:r>
        <w:t>Production rejection of selected placeholder values.</w:t>
      </w:r>
    </w:p>
    <w:p>
      <w:r>
        <w:t>Computed DSN/Redis URL shape.</w:t>
      </w:r>
    </w:p>
    <w:p>
      <w:r>
        <w:t>Safe-summary omission of secret keys and obvious test values.</w:t>
      </w:r>
    </w:p>
    <w:p>
      <w:r>
        <w:t>Health status values and DOWN/DEGRADED precedence.</w:t>
      </w:r>
    </w:p>
    <w:p>
      <w:r>
        <w:t>Cached settings identity.</w:t>
      </w:r>
    </w:p>
    <w:p>
      <w:pPr>
        <w:pStyle w:val="Heading2"/>
      </w:pPr>
      <w:r>
        <w:t>What passing tests do not prove</w:t>
      </w:r>
    </w:p>
    <w:p>
      <w:r>
        <w:t>That PostgreSQL, Redis, or Neo4j starts or accepts connections.</w:t>
      </w:r>
    </w:p>
    <w:p>
      <w:r>
        <w:t>That Wazuh/MISP TLS verification is enforced by future clients.</w:t>
      </w:r>
    </w:p>
    <w:p>
      <w:r>
        <w:t>That logging emits valid JSON without duplicate records.</w:t>
      </w:r>
    </w:p>
    <w:p>
      <w:r>
        <w:t>That connection URLs work with reserved characters in credentials.</w:t>
      </w:r>
    </w:p>
    <w:p>
      <w:r>
        <w:t>That Ruff and mypy pass.</w:t>
      </w:r>
    </w:p>
    <w:p>
      <w:r>
        <w:t>9. Errors, debugging decisions, and known limitations</w:t>
      </w:r>
    </w:p>
    <w:p>
      <w:r>
        <w:t>During review, the globally available pytest, Ruff, and mypy commands were not found. The repository virtual environment supplied pytest, so tests were rerun with its explicit interpreter and passed. Ruff and mypy were absent from that environment; their results are recorded as unavailable, not as failures or passes.</w:t>
      </w:r>
    </w:p>
    <w:p>
      <w:r>
        <w:t>Compose validation emitted warnings that POSTGRES_PASSWORD, REDIS_PASSWORD, and NEO4J_PASSWORD were unset and defaulted to blank strings, yet returned success. This is a concrete fail-open configuration defect, not an invented integration result.</w:t>
      </w:r>
    </w:p>
    <w:p>
      <w:pPr>
        <w:pStyle w:val="Heading2"/>
      </w:pPr>
      <w:r>
        <w:t>Independent review findings</w:t>
      </w:r>
    </w:p>
    <w:p>
      <w:r>
        <w:t>No separate Gemini findings document was present in the repository, so there was no report to mechanically compare. The following findings were independently verified against source and command output.</w:t>
      </w:r>
    </w:p>
    <w:p>
      <w:pPr>
        <w:pStyle w:val="Heading1"/>
      </w:pPr>
      <w:r>
        <w:t>10. Security considerations and improvements</w:t>
      </w:r>
    </w:p>
    <w:p>
      <w:pPr>
        <w:pStyle w:val="Heading2"/>
      </w:pPr>
      <w:r>
        <w:t>Current positive controls</w:t>
      </w:r>
    </w:p>
    <w:p>
      <w:r>
        <w:t>The .gitignore excludes .env, secrets/, certificates, keys, and local data directories.</w:t>
      </w:r>
    </w:p>
    <w:p>
      <w:r>
        <w:t>Pydantic secret fields use repr=False and safe_summary() omits secret fields.</w:t>
      </w:r>
    </w:p>
    <w:p>
      <w:r>
        <w:t>Wazuh URLs are required to use HTTPS.</w:t>
      </w:r>
    </w:p>
    <w:p>
      <w:r>
        <w:t>Neo4j schemes are restricted to expected schemes.</w:t>
      </w:r>
    </w:p>
    <w:p>
      <w:r>
        <w:t>Production rejects selected placeholder values.</w:t>
      </w:r>
    </w:p>
    <w:p>
      <w:r>
        <w:t>The project documents that external text must not directly trigger actions and that human approval is required.</w:t>
      </w:r>
    </w:p>
    <w:p>
      <w:pPr>
        <w:pStyle w:val="Heading2"/>
      </w:pPr>
      <w:r>
        <w:t>Required hardening</w:t>
      </w:r>
    </w:p>
    <w:p>
      <w:r>
        <w:t>Make Docker Compose fail closed with required-variable interpolation for every credential.</w:t>
      </w:r>
    </w:p>
    <w:p>
      <w:r>
        <w:t>Default Wazuh and MISP certificate verification to true; allow insecure development opt-out only with explicit environment gating.</w:t>
      </w:r>
    </w:p>
    <w:p>
      <w:r>
        <w:t>Avoid logging postgres_dsn or redis_url because they contain credentials.</w:t>
      </w:r>
    </w:p>
    <w:p>
      <w:r>
        <w:t>Encode connection URL components so legitimate complex passwords work safely.</w:t>
      </w:r>
    </w:p>
    <w:p>
      <w:r>
        <w:t>Bind local development ports to 127.0.0.1 and document that the Compose file is not a production boundary.</w:t>
      </w:r>
    </w:p>
    <w:p>
      <w:r>
        <w:t>Pin container versions and add CI checks for dependency, image, and configuration changes.</w:t>
      </w:r>
    </w:p>
    <w:p>
      <w:r>
        <w:t>Add tests for credential placeholders across every API-key/password field, not only four fields.</w:t>
      </w:r>
    </w:p>
    <w:p>
      <w:r>
        <w:t>No committed real password, token, or private key was identified in the reviewed tracked files. That does not prove that secrets are absent from all Git history or untracked files.</w:t>
      </w:r>
    </w:p>
    <w:p>
      <w:pPr>
        <w:pStyle w:val="Heading1"/>
      </w:pPr>
      <w:r>
        <w:t>11. Interview-ready explanation</w:t>
      </w:r>
    </w:p>
    <w:p>
      <w:r>
        <w:t>"In Phase 0 I built the foundation for ThreatFusion AI rather than prematurely implementing the agents. I defined a typed AppSettings model backed by environment variables, so invalid URLs, enum values, ports, intervals, and short secrets fail at startup. I added a cached settings accessor and a redacted safe_summary for operational visibility. For infrastructure, Docker Compose provisions PostgreSQL for relational and audit data, Redis for Streams and caching, and Neo4j Community for the temporal security graph. I kept health aggregation pure and dependency-free: individual clients will report ServiceHealth, and SystemHealth deterministically prioritizes DOWN over DEGRADED or UNKNOWN. I also configured JSON logging with structlog and created pytest fixtures that isolate environment variables and clear the settings cache. The local unit suite has 31 passing tests, but I would not claim integration readiness: Docker services were not started, Ruff and mypy were unavailable, and the review found that Compose should fail closed on missing credentials and TLS verification should default to enabled."</w:t>
      </w:r>
    </w:p>
    <w:p>
      <w:pPr>
        <w:pStyle w:val="Heading2"/>
      </w:pPr>
      <w:r>
        <w:t>Likely follow-up questions</w:t>
      </w:r>
    </w:p>
    <w:p>
      <w:pPr>
        <w:pStyle w:val="Heading1"/>
      </w:pPr>
      <w:r>
        <w:t>12. Glossary</w:t>
      </w:r>
    </w:p>
    <w:p>
      <w:pPr>
        <w:pStyle w:val="Heading1"/>
      </w:pPr>
      <w:r>
        <w:t>13. Completion checklist</w:t>
      </w:r>
    </w:p>
    <w:p>
      <w:pPr>
        <w:pStyle w:val="Heading2"/>
      </w:pPr>
      <w:r>
        <w:t>Documentation gaps</w:t>
      </w:r>
    </w:p>
    <w:p>
      <w:r>
        <w:t>This guide documents only behavior visible in the Phase 0 revision. It does not claim that future clients, agents, graph constraints, human approval, or integrations exist. The table of contents is a Word field and may require an explicit Update Field action after opening. Integration and static-analysis results remain unavailable until the relevant tools and services are run.</w:t>
      </w:r>
    </w:p>
    <w:p>
      <w:r>
        <w:t>End of Phase 0 learning guide</w:t>
      </w:r>
    </w:p>
    <w:p>
      <w:r>
        <w:t>Phase 0 remediation update</w:t>
      </w:r>
    </w:p>
    <w:p>
      <w:r>
        <w:t>Updated revision: fb13dcd — Phase 0 remediation: security hardening across all 7 findings</w:t>
      </w:r>
    </w:p>
    <w:p>
      <w:r>
        <w:t>Update date: 17 October 2026</w:t>
      </w:r>
    </w:p>
    <w:p>
      <w:r>
        <w:t>This addendum updates the original Phase 0 learning guide rather than replacing it. The original design remains important: typed configuration, local infrastructure, structured logging, pure health aggregation, and isolated unit tests. The remediation commit hardens that baseline in response to the independent review findings and the recorded Gemini/Copilot review context. No separate Gemini report file was present in the repository, so only findings verifiable from the remediation diff and test results are described here.</w:t>
      </w:r>
    </w:p>
    <w:p>
      <w:r>
        <w:t>1. What changed and why</w:t>
      </w:r>
    </w:p>
    <w:p>
      <w:r>
        <w:t>2. Before-and-after code behavior</w:t>
      </w:r>
    </w:p>
    <w:p>
      <w:r>
        <w:t>docker-compose.yml</w:t>
      </w:r>
    </w:p>
    <w:p>
      <w:r>
        <w:t># Before: missing Compose variables became blank values</w:t>
      </w:r>
    </w:p>
    <w:p>
      <w:r>
        <w:t>POSTGRES_PASSWORD: "${POSTGRES_PASSWORD}"</w:t>
      </w:r>
    </w:p>
    <w:p>
      <w:r>
        <w:t># After: Compose aborts before starting a service</w:t>
      </w:r>
    </w:p>
    <w:p>
      <w:r>
        <w:t>POSTGRES_PASSWORD: "${POSTGRES_PASSWORD:?POSTGRES_PASSWORD must be set in .env}"</w:t>
      </w:r>
    </w:p>
    <w:p>
      <w:r>
        <w:t>core/config.py, condensed to show the security contract</w:t>
      </w:r>
    </w:p>
    <w:p>
      <w:r>
        <w:t># Final settings defaults</w:t>
      </w:r>
    </w:p>
    <w:p>
      <w:r>
        <w:t>wazuh_verify_ssl: bool = True</w:t>
      </w:r>
    </w:p>
    <w:p>
      <w:r>
        <w:t>misp_verify_ssl: bool = True</w:t>
      </w:r>
    </w:p>
    <w:p>
      <w:r>
        <w:t>if self.app_env == "production":</w:t>
      </w:r>
    </w:p>
    <w:p>
      <w:r>
        <w:t>if not self.wazuh_verify_ssl:</w:t>
      </w:r>
    </w:p>
    <w:p>
      <w:r>
        <w:t>raise ValueError("WAZUH_VERIFY_SSL=false is not allowed in production.")</w:t>
      </w:r>
    </w:p>
    <w:p>
      <w:r>
        <w:t>if not self.misp_verify_ssl:</w:t>
      </w:r>
    </w:p>
    <w:p>
      <w:r>
        <w:t>raise ValueError("MISP_VERIFY_SSL=false is not allowed in production.")</w:t>
      </w:r>
    </w:p>
    <w:p>
      <w:r>
        <w:t>core/config.py</w:t>
      </w:r>
    </w:p>
    <w:p>
      <w:r>
        <w:t>def _encode(value: str) -&gt; str:</w:t>
      </w:r>
    </w:p>
    <w:p>
      <w:r>
        <w:t>"""Percent-encode a credential component for safe URL embedding."""</w:t>
      </w:r>
    </w:p>
    <w:p>
      <w:r>
        <w:t>return quote(value, safe="")</w:t>
      </w:r>
    </w:p>
    <w:p>
      <w:r>
        <w:t>@property</w:t>
      </w:r>
    </w:p>
    <w:p>
      <w:r>
        <w:t>def redis_url(self) -&gt; str:</w:t>
      </w:r>
    </w:p>
    <w:p>
      <w:r>
        <w:t>return (</w:t>
      </w:r>
    </w:p>
    <w:p>
      <w:r>
        <w:t>"redis://:"</w:t>
      </w:r>
    </w:p>
    <w:p>
      <w:r>
        <w:t>f"{_encode(self.redis_password)}"</w:t>
      </w:r>
    </w:p>
    <w:p>
      <w:r>
        <w:t>f"@{self.redis_host}:{self.redis_port}/0"</w:t>
      </w:r>
    </w:p>
    <w:p>
      <w:r>
        <w:t>)</w:t>
      </w:r>
    </w:p>
    <w:p>
      <w:r>
        <w:t>core/health.py</w:t>
      </w:r>
    </w:p>
    <w:p>
      <w:r>
        <w:t>@property</w:t>
      </w:r>
    </w:p>
    <w:p>
      <w:r>
        <w:t>def overall(self) -&gt; ServiceStatus:</w:t>
      </w:r>
    </w:p>
    <w:p>
      <w:r>
        <w:t>if not self._services:</w:t>
      </w:r>
    </w:p>
    <w:p>
      <w:r>
        <w:t>return ServiceStatus.UNKNOWN</w:t>
      </w:r>
    </w:p>
    <w:p>
      <w:r>
        <w:t>statuses = {service.status for service in self._services}</w:t>
      </w:r>
    </w:p>
    <w:p>
      <w:r>
        <w:t>if ServiceStatus.DOWN in statuses:</w:t>
      </w:r>
    </w:p>
    <w:p>
      <w:r>
        <w:t>return ServiceStatus.DOWN</w:t>
      </w:r>
    </w:p>
    <w:p>
      <w:r>
        <w:t>if ServiceStatus.DEGRADED in statuses or ServiceStatus.UNKNOWN in statuses:</w:t>
      </w:r>
    </w:p>
    <w:p>
      <w:r>
        <w:t>return ServiceStatus.DEGRADED</w:t>
      </w:r>
    </w:p>
    <w:p>
      <w:r>
        <w:t>return ServiceStatus.OK</w:t>
      </w:r>
    </w:p>
    <w:p>
      <w:r>
        <w:t>docker-compose.yml</w:t>
      </w:r>
    </w:p>
    <w:p>
      <w:r>
        <w:t># Final Compose network boundary</w:t>
      </w:r>
    </w:p>
    <w:p>
      <w:r>
        <w:t>- "127.0.0.1:${POSTGRES_HOST_PORT:-5432}:5432"</w:t>
      </w:r>
    </w:p>
    <w:p>
      <w:r>
        <w:t>- "127.0.0.1:${REDIS_HOST_PORT:-6379}:6379"</w:t>
      </w:r>
    </w:p>
    <w:p>
      <w:r>
        <w:t>- "127.0.0.1:${NEO4J_HTTP_HOST_PORT:-7474}:7474"</w:t>
      </w:r>
    </w:p>
    <w:p>
      <w:r>
        <w:t>- "127.0.0.1:${NEO4J_BOLT_HOST_PORT:-7687}:7687"</w:t>
      </w:r>
    </w:p>
    <w:p>
      <w:r>
        <w:t>3. Regression tests added</w:t>
      </w:r>
    </w:p>
    <w:p>
      <w:r>
        <w:t>The remediation expanded the configuration tests with cases for secure defaults, production rejection of insecure TLS, all production secret fields, reserved characters in connection credentials, and the intended handling of unknown environment variables. Health tests now explicitly protect the corrected empty-list and unknown-probe semantics.</w:t>
      </w:r>
    </w:p>
    <w:p>
      <w:r>
        <w:t>tests/unit/test_health.py</w:t>
      </w:r>
    </w:p>
    <w:p>
      <w:r>
        <w:t>def test_empty_services_list_returns_unknown(self) -&gt; None:</w:t>
      </w:r>
    </w:p>
    <w:p>
      <w:r>
        <w:t>system = SystemHealth([])</w:t>
      </w:r>
    </w:p>
    <w:p>
      <w:r>
        <w:t>assert system.overall == ServiceStatus.UNKNOWN</w:t>
      </w:r>
    </w:p>
    <w:p>
      <w:r>
        <w:t>def test_single_unknown_service_reports_degraded(self) -&gt; None:</w:t>
      </w:r>
    </w:p>
    <w:p>
      <w:r>
        <w:t>system = SystemHealth([</w:t>
      </w:r>
    </w:p>
    <w:p>
      <w:r>
        <w:t>ServiceHealth("neo4j", ServiceStatus.UNKNOWN, "not probed")</w:t>
      </w:r>
    </w:p>
    <w:p>
      <w:r>
        <w:t>])</w:t>
      </w:r>
    </w:p>
    <w:p>
      <w:r>
        <w:t>assert system.overall == ServiceStatus.DEGRADED</w:t>
      </w:r>
    </w:p>
    <w:p>
      <w:r>
        <w:t>Representative security regression test from tests/unit/test_config.py</w:t>
      </w:r>
    </w:p>
    <w:p>
      <w:r>
        <w:t>def test_production_rejects_insecure_wazuh_tls(self, monkeypatch):</w:t>
      </w:r>
    </w:p>
    <w:p>
      <w:r>
        <w:t>monkeypatch.setenv("APP_ENV", "production")</w:t>
      </w:r>
    </w:p>
    <w:p>
      <w:r>
        <w:t>monkeypatch.setenv("WAZUH_VERIFY_SSL", "false")</w:t>
      </w:r>
    </w:p>
    <w:p>
      <w:r>
        <w:t>with pytest.raises(ValidationError, match="WAZUH_VERIFY_SSL"):</w:t>
      </w:r>
    </w:p>
    <w:p>
      <w:r>
        <w:t>AppSettings()</w:t>
      </w:r>
    </w:p>
    <w:p>
      <w:r>
        <w:t>The source test file contains the complete set of new regression cases. The snippet above is representative and intentionally omits all test credential values.</w:t>
      </w:r>
    </w:p>
    <w:p>
      <w:r>
        <w:t>4. Commands executed and actual results</w:t>
      </w:r>
    </w:p>
    <w:p>
      <w:r>
        <w:t>The original 31-test result was superseded by the final 55-test result. The current final result is the one that should be cited in an interview.</w:t>
      </w:r>
    </w:p>
    <w:p>
      <w:r>
        <w:t>5. Remaining limitations and unverified checks</w:t>
      </w:r>
    </w:p>
    <w:p>
      <w:r>
        <w:t>The Compose fail-closed path was verified with missing credentials, but a successful rendered Compose configuration using a local .env was not run in this review.</w:t>
      </w:r>
    </w:p>
    <w:p>
      <w:r>
        <w:t>Docker containers were not started; service health, authentication, persistence, and image compatibility remain unverified.</w:t>
      </w:r>
    </w:p>
    <w:p>
      <w:r>
        <w:t>Wazuh and MISP clients do not yet exist in Phase 0, so secure TLS settings are configuration policy, not a tested network behavior.</w:t>
      </w:r>
    </w:p>
    <w:p>
      <w:r>
        <w:t>Ruff and mypy were declared in project metadata but were unavailable in the local virtual environment during final validation.</w:t>
      </w:r>
    </w:p>
    <w:p>
      <w:r>
        <w:t>The remediation pins image tags to minor versions, not immutable digests; supply-chain verification and update automation remain future improvements.</w:t>
      </w:r>
    </w:p>
    <w:p>
      <w:r>
        <w:t>The settings model still uses extra='ignore'; the project intentionally retained this compatibility choice, so misspelled environment variables can still be overlooked.</w:t>
      </w:r>
    </w:p>
    <w:p>
      <w:r>
        <w:t>No production deployment, CI run, coverage threshold, or end-to-end agent workflow was verified.</w:t>
      </w:r>
    </w:p>
    <w:p>
      <w:r>
        <w:t>6. Updated security assessment</w:t>
      </w:r>
    </w:p>
    <w:p>
      <w:r>
        <w:t>The remediation materially improves the Phase 0 security posture: missing service credentials now stop Compose, external TLS verification is enabled by default and gated in production, connection credentials are encoded, and local service ports are not exposed beyond the host by default. These controls reduce configuration and accidental-exposure risks, but they do not replace runtime client security, network policy, secret rotation, image signature verification, or the later deterministic guardrail and human-approval implementation.</w:t>
      </w:r>
    </w:p>
    <w:p>
      <w:r>
        <w:t>7. Updated interview explanation</w:t>
      </w:r>
    </w:p>
    <w:p>
      <w:r>
        <w:t>"I first built Phase 0 as a clean foundation: typed Pydantic settings, Docker Compose infrastructure, structured logging, a pure health model, and isolated pytest coverage. The independent review then exposed seven concrete hardening opportunities rather than just style issues. I changed the system so Compose fails closed when passwords are missing, Wazuh and MISP verify TLS by default and reject insecure production settings, connection credentials are percent-encoded, and an empty health registry reports UNKNOWN instead of falsely reporting OK. I also bound development ports to localhost, pinned infrastructure image versions, and expanded the regression suite from 31 to 55 tests. I can demonstrate the final unit result—55 passed in 0.42 seconds—and I can demonstrate that Compose now rejects missing credentials. I would explicitly distinguish those verified results from Docker startup, live integrations, Ruff, mypy, and production deployment checks, which were not run."</w:t>
      </w:r>
    </w:p>
    <w:p>
      <w:r>
        <w:t>8. Updated completion checklist</w:t>
      </w:r>
    </w:p>
    <w:tbl>
      <w:tblPr>
        <w:tblStyle w:val="LightShading-Accent1"/>
        <w:tblW w:type="auto" w:w="0"/>
        <w:jc w:val="center"/>
        <w:tblLook w:firstColumn="1" w:firstRow="1" w:lastColumn="0" w:lastRow="0" w:noHBand="0" w:noVBand="1" w:val="04A0"/>
      </w:tblPr>
      <w:tblGrid>
        <w:gridCol w:w="9936"/>
      </w:tblGrid>
      <w:tr>
        <w:tc>
          <w:tcPr>
            <w:tcW w:type="dxa" w:w="9936"/>
            <w:shd w:fill="1F4E78"/>
            <w:vAlign w:val="center"/>
          </w:tcPr>
          <w:p>
            <w:r>
              <w:rPr>
                <w:b/>
                <w:color w:val="FFFFFF"/>
              </w:rPr>
              <w:t>Purpose of this guide: explain what Phase 0 actually implements, why the choices were made, how to run and test it, and which items remain incomplete or unverified. This document does not mark the phase complete merely because the document exists.</w:t>
            </w:r>
          </w:p>
        </w:tc>
      </w:tr>
    </w:tbl>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shd w:fill="1F4E78"/>
            <w:vAlign w:val="center"/>
          </w:tcPr>
          <w:p>
            <w:r>
              <w:rPr>
                <w:b/>
                <w:color w:val="FFFFFF"/>
              </w:rPr>
              <w:t>Decision</w:t>
            </w:r>
          </w:p>
        </w:tc>
        <w:tc>
          <w:tcPr>
            <w:tcW w:type="dxa" w:w="2484"/>
            <w:shd w:fill="1F4E78"/>
            <w:vAlign w:val="center"/>
          </w:tcPr>
          <w:p>
            <w:r>
              <w:rPr>
                <w:b/>
                <w:color w:val="FFFFFF"/>
              </w:rPr>
              <w:t>Choice</w:t>
            </w:r>
          </w:p>
        </w:tc>
        <w:tc>
          <w:tcPr>
            <w:tcW w:type="dxa" w:w="2484"/>
            <w:shd w:fill="1F4E78"/>
            <w:vAlign w:val="center"/>
          </w:tcPr>
          <w:p>
            <w:r>
              <w:rPr>
                <w:b/>
                <w:color w:val="FFFFFF"/>
              </w:rPr>
              <w:t>Why it was chosen</w:t>
            </w:r>
          </w:p>
        </w:tc>
        <w:tc>
          <w:tcPr>
            <w:tcW w:type="dxa" w:w="2484"/>
            <w:shd w:fill="1F4E78"/>
            <w:vAlign w:val="center"/>
          </w:tcPr>
          <w:p>
            <w:r>
              <w:rPr>
                <w:b/>
                <w:color w:val="FFFFFF"/>
              </w:rPr>
              <w:t>Trade-off</w:t>
            </w:r>
          </w:p>
        </w:tc>
      </w:tr>
      <w:tr>
        <w:tc>
          <w:tcPr>
            <w:tcW w:type="dxa" w:w="2484"/>
            <w:vAlign w:val="center"/>
          </w:tcPr>
          <w:p>
            <w:r>
              <w:t>Relational persistence</w:t>
            </w:r>
          </w:p>
        </w:tc>
        <w:tc>
          <w:tcPr>
            <w:tcW w:type="dxa" w:w="2484"/>
            <w:vAlign w:val="center"/>
          </w:tcPr>
          <w:p>
            <w:r>
              <w:t>PostgreSQL 16</w:t>
            </w:r>
          </w:p>
        </w:tc>
        <w:tc>
          <w:tcPr>
            <w:tcW w:type="dxa" w:w="2484"/>
            <w:vAlign w:val="center"/>
          </w:tcPr>
          <w:p>
            <w:r>
              <w:t>ACID behavior, asyncpg/SQLAlchemy support, JSONB, and a mature audit ecosystem.</w:t>
            </w:r>
          </w:p>
        </w:tc>
        <w:tc>
          <w:tcPr>
            <w:tcW w:type="dxa" w:w="2484"/>
            <w:vAlign w:val="center"/>
          </w:tcPr>
          <w:p>
            <w:r>
              <w:t>A database server must be operated and migrated.</w:t>
            </w:r>
          </w:p>
        </w:tc>
      </w:tr>
      <w:tr>
        <w:tc>
          <w:tcPr>
            <w:tcW w:type="dxa" w:w="2484"/>
            <w:vAlign w:val="center"/>
          </w:tcPr>
          <w:p>
            <w:r>
              <w:t>Streams/cache</w:t>
            </w:r>
          </w:p>
        </w:tc>
        <w:tc>
          <w:tcPr>
            <w:tcW w:type="dxa" w:w="2484"/>
            <w:vAlign w:val="center"/>
          </w:tcPr>
          <w:p>
            <w:r>
              <w:t>Redis 7 with Streams and AOF</w:t>
            </w:r>
          </w:p>
        </w:tc>
        <w:tc>
          <w:tcPr>
            <w:tcW w:type="dxa" w:w="2484"/>
            <w:vAlign w:val="center"/>
          </w:tcPr>
          <w:p>
            <w:r>
              <w:t>Ordered consumer-group delivery with less operational complexity than Kafka/RabbitMQ at this scale.</w:t>
            </w:r>
          </w:p>
        </w:tc>
        <w:tc>
          <w:tcPr>
            <w:tcW w:type="dxa" w:w="2484"/>
            <w:vAlign w:val="center"/>
          </w:tcPr>
          <w:p>
            <w:r>
              <w:t>Redis persistence and delivery semantics must be designed carefully later.</w:t>
            </w:r>
          </w:p>
        </w:tc>
      </w:tr>
      <w:tr>
        <w:tc>
          <w:tcPr>
            <w:tcW w:type="dxa" w:w="2484"/>
            <w:vAlign w:val="center"/>
          </w:tcPr>
          <w:p>
            <w:r>
              <w:t>Knowledge graph</w:t>
            </w:r>
          </w:p>
        </w:tc>
        <w:tc>
          <w:tcPr>
            <w:tcW w:type="dxa" w:w="2484"/>
            <w:vAlign w:val="center"/>
          </w:tcPr>
          <w:p>
            <w:r>
              <w:t>Neo4j 5 Community</w:t>
            </w:r>
          </w:p>
        </w:tc>
        <w:tc>
          <w:tcPr>
            <w:tcW w:type="dxa" w:w="2484"/>
            <w:vAlign w:val="center"/>
          </w:tcPr>
          <w:p>
            <w:r>
              <w:t>Open-source-compatible graph database for temporal security relationships.</w:t>
            </w:r>
          </w:p>
        </w:tc>
        <w:tc>
          <w:tcPr>
            <w:tcW w:type="dxa" w:w="2484"/>
            <w:vAlign w:val="center"/>
          </w:tcPr>
          <w:p>
            <w:r>
              <w:t>Community Edition lacks some enterprise availability and multi-database features.</w:t>
            </w:r>
          </w:p>
        </w:tc>
      </w:tr>
      <w:tr>
        <w:tc>
          <w:tcPr>
            <w:tcW w:type="dxa" w:w="2484"/>
            <w:vAlign w:val="center"/>
          </w:tcPr>
          <w:p>
            <w:r>
              <w:t>Settings</w:t>
            </w:r>
          </w:p>
        </w:tc>
        <w:tc>
          <w:tcPr>
            <w:tcW w:type="dxa" w:w="2484"/>
            <w:vAlign w:val="center"/>
          </w:tcPr>
          <w:p>
            <w:r>
              <w:t>Pydantic Settings v2</w:t>
            </w:r>
          </w:p>
        </w:tc>
        <w:tc>
          <w:tcPr>
            <w:tcW w:type="dxa" w:w="2484"/>
            <w:vAlign w:val="center"/>
          </w:tcPr>
          <w:p>
            <w:r>
              <w:t>Typed environment parsing, validation, and a clear startup failure surface.</w:t>
            </w:r>
          </w:p>
        </w:tc>
        <w:tc>
          <w:tcPr>
            <w:tcW w:type="dxa" w:w="2484"/>
            <w:vAlign w:val="center"/>
          </w:tcPr>
          <w:p>
            <w:r>
              <w:t>The settings model must be kept aligned with every deployment variable.</w:t>
            </w:r>
          </w:p>
        </w:tc>
      </w:tr>
      <w:tr>
        <w:tc>
          <w:tcPr>
            <w:tcW w:type="dxa" w:w="2484"/>
            <w:vAlign w:val="center"/>
          </w:tcPr>
          <w:p>
            <w:r>
              <w:t>Logging</w:t>
            </w:r>
          </w:p>
        </w:tc>
        <w:tc>
          <w:tcPr>
            <w:tcW w:type="dxa" w:w="2484"/>
            <w:vAlign w:val="center"/>
          </w:tcPr>
          <w:p>
            <w:r>
              <w:t>structlog + stdlib logging</w:t>
            </w:r>
          </w:p>
        </w:tc>
        <w:tc>
          <w:tcPr>
            <w:tcW w:type="dxa" w:w="2484"/>
            <w:vAlign w:val="center"/>
          </w:tcPr>
          <w:p>
            <w:r>
              <w:t>Machine-readable JSON with timestamps and levels for future aggregation.</w:t>
            </w:r>
          </w:p>
        </w:tc>
        <w:tc>
          <w:tcPr>
            <w:tcW w:type="dxa" w:w="2484"/>
            <w:vAlign w:val="center"/>
          </w:tcPr>
          <w:p>
            <w:r>
              <w:t>Configuration must avoid duplicate handlers and secret leakage.</w:t>
            </w:r>
          </w:p>
        </w:tc>
      </w:tr>
      <w:tr>
        <w:tc>
          <w:tcPr>
            <w:tcW w:type="dxa" w:w="2484"/>
            <w:vAlign w:val="center"/>
          </w:tcPr>
          <w:p>
            <w:r>
              <w:t>Testing</w:t>
            </w:r>
          </w:p>
        </w:tc>
        <w:tc>
          <w:tcPr>
            <w:tcW w:type="dxa" w:w="2484"/>
            <w:vAlign w:val="center"/>
          </w:tcPr>
          <w:p>
            <w:r>
              <w:t>pytest without live services</w:t>
            </w:r>
          </w:p>
        </w:tc>
        <w:tc>
          <w:tcPr>
            <w:tcW w:type="dxa" w:w="2484"/>
            <w:vAlign w:val="center"/>
          </w:tcPr>
          <w:p>
            <w:r>
              <w:t>Fast, deterministic unit feedback for configuration and pure health logic.</w:t>
            </w:r>
          </w:p>
        </w:tc>
        <w:tc>
          <w:tcPr>
            <w:tcW w:type="dxa" w:w="2484"/>
            <w:vAlign w:val="center"/>
          </w:tcPr>
          <w:p>
            <w:r>
              <w:t>It does not prove containers, clients, or integrations work.</w:t>
            </w:r>
          </w:p>
        </w:tc>
      </w:tr>
    </w:tbl>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F4E78"/>
            <w:vAlign w:val="center"/>
          </w:tcPr>
          <w:p>
            <w:r>
              <w:rPr>
                <w:b/>
                <w:color w:val="FFFFFF"/>
              </w:rPr>
              <w:t>File</w:t>
            </w:r>
          </w:p>
        </w:tc>
        <w:tc>
          <w:tcPr>
            <w:tcW w:type="dxa" w:w="3312"/>
            <w:shd w:fill="1F4E78"/>
            <w:vAlign w:val="center"/>
          </w:tcPr>
          <w:p>
            <w:r>
              <w:rPr>
                <w:b/>
                <w:color w:val="FFFFFF"/>
              </w:rPr>
              <w:t>Role</w:t>
            </w:r>
          </w:p>
        </w:tc>
        <w:tc>
          <w:tcPr>
            <w:tcW w:type="dxa" w:w="3312"/>
            <w:shd w:fill="1F4E78"/>
            <w:vAlign w:val="center"/>
          </w:tcPr>
          <w:p>
            <w:r>
              <w:rPr>
                <w:b/>
                <w:color w:val="FFFFFF"/>
              </w:rPr>
              <w:t>Interview explanation</w:t>
            </w:r>
          </w:p>
        </w:tc>
      </w:tr>
      <w:tr>
        <w:tc>
          <w:tcPr>
            <w:tcW w:type="dxa" w:w="3312"/>
            <w:vAlign w:val="center"/>
          </w:tcPr>
          <w:p>
            <w:r>
              <w:t>core/config.py</w:t>
            </w:r>
          </w:p>
        </w:tc>
        <w:tc>
          <w:tcPr>
            <w:tcW w:type="dxa" w:w="3312"/>
            <w:vAlign w:val="center"/>
          </w:tcPr>
          <w:p>
            <w:r>
              <w:t>Typed settings and validation</w:t>
            </w:r>
          </w:p>
        </w:tc>
        <w:tc>
          <w:tcPr>
            <w:tcW w:type="dxa" w:w="3312"/>
            <w:vAlign w:val="center"/>
          </w:tcPr>
          <w:p>
            <w:r>
              <w:t>Startup configuration is treated as a contract, not arbitrary strings.</w:t>
            </w:r>
          </w:p>
        </w:tc>
      </w:tr>
      <w:tr>
        <w:tc>
          <w:tcPr>
            <w:tcW w:type="dxa" w:w="3312"/>
            <w:vAlign w:val="center"/>
          </w:tcPr>
          <w:p>
            <w:r>
              <w:t>core/health.py</w:t>
            </w:r>
          </w:p>
        </w:tc>
        <w:tc>
          <w:tcPr>
            <w:tcW w:type="dxa" w:w="3312"/>
            <w:vAlign w:val="center"/>
          </w:tcPr>
          <w:p>
            <w:r>
              <w:t>Pure health data model</w:t>
            </w:r>
          </w:p>
        </w:tc>
        <w:tc>
          <w:tcPr>
            <w:tcW w:type="dxa" w:w="3312"/>
            <w:vAlign w:val="center"/>
          </w:tcPr>
          <w:p>
            <w:r>
              <w:t>A dependency reports a status; SystemHealth applies deterministic precedence.</w:t>
            </w:r>
          </w:p>
        </w:tc>
      </w:tr>
      <w:tr>
        <w:tc>
          <w:tcPr>
            <w:tcW w:type="dxa" w:w="3312"/>
            <w:vAlign w:val="center"/>
          </w:tcPr>
          <w:p>
            <w:r>
              <w:t>core/logger.py</w:t>
            </w:r>
          </w:p>
        </w:tc>
        <w:tc>
          <w:tcPr>
            <w:tcW w:type="dxa" w:w="3312"/>
            <w:vAlign w:val="center"/>
          </w:tcPr>
          <w:p>
            <w:r>
              <w:t>JSON logging setup</w:t>
            </w:r>
          </w:p>
        </w:tc>
        <w:tc>
          <w:tcPr>
            <w:tcW w:type="dxa" w:w="3312"/>
            <w:vAlign w:val="center"/>
          </w:tcPr>
          <w:p>
            <w:r>
              <w:t>stdlib logging captures records while structlog adds consistent event fields.</w:t>
            </w:r>
          </w:p>
        </w:tc>
      </w:tr>
      <w:tr>
        <w:tc>
          <w:tcPr>
            <w:tcW w:type="dxa" w:w="3312"/>
            <w:vAlign w:val="center"/>
          </w:tcPr>
          <w:p>
            <w:r>
              <w:t>docker-compose.yml</w:t>
            </w:r>
          </w:p>
        </w:tc>
        <w:tc>
          <w:tcPr>
            <w:tcW w:type="dxa" w:w="3312"/>
            <w:vAlign w:val="center"/>
          </w:tcPr>
          <w:p>
            <w:r>
              <w:t>Local infrastructure</w:t>
            </w:r>
          </w:p>
        </w:tc>
        <w:tc>
          <w:tcPr>
            <w:tcW w:type="dxa" w:w="3312"/>
            <w:vAlign w:val="center"/>
          </w:tcPr>
          <w:p>
            <w:r>
              <w:t>The application depends on three free/open-source persistence or messaging services.</w:t>
            </w:r>
          </w:p>
        </w:tc>
      </w:tr>
      <w:tr>
        <w:tc>
          <w:tcPr>
            <w:tcW w:type="dxa" w:w="3312"/>
            <w:vAlign w:val="center"/>
          </w:tcPr>
          <w:p>
            <w:r>
              <w:t>tests/conftest.py</w:t>
            </w:r>
          </w:p>
        </w:tc>
        <w:tc>
          <w:tcPr>
            <w:tcW w:type="dxa" w:w="3312"/>
            <w:vAlign w:val="center"/>
          </w:tcPr>
          <w:p>
            <w:r>
              <w:t>Test environment isolation</w:t>
            </w:r>
          </w:p>
        </w:tc>
        <w:tc>
          <w:tcPr>
            <w:tcW w:type="dxa" w:w="3312"/>
            <w:vAlign w:val="center"/>
          </w:tcPr>
          <w:p>
            <w:r>
              <w:t>Each test receives controlled environment variables and a cleared settings cache.</w:t>
            </w:r>
          </w:p>
        </w:tc>
      </w:tr>
      <w:tr>
        <w:tc>
          <w:tcPr>
            <w:tcW w:type="dxa" w:w="3312"/>
            <w:vAlign w:val="center"/>
          </w:tcPr>
          <w:p>
            <w:r>
              <w:t>docs/adr/0000-infrastructure-baseline.md</w:t>
            </w:r>
          </w:p>
        </w:tc>
        <w:tc>
          <w:tcPr>
            <w:tcW w:type="dxa" w:w="3312"/>
            <w:vAlign w:val="center"/>
          </w:tcPr>
          <w:p>
            <w:r>
              <w:t>Decision record</w:t>
            </w:r>
          </w:p>
        </w:tc>
        <w:tc>
          <w:tcPr>
            <w:tcW w:type="dxa" w:w="3312"/>
            <w:vAlign w:val="center"/>
          </w:tcPr>
          <w:p>
            <w:r>
              <w:t>The reasons and consequences of infrastructure choices are written down.</w:t>
            </w:r>
          </w:p>
        </w:tc>
      </w:tr>
    </w:tbl>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F4E78"/>
            <w:vAlign w:val="center"/>
          </w:tcPr>
          <w:p>
            <w:r>
              <w:rPr>
                <w:b/>
                <w:color w:val="FFFFFF"/>
              </w:rPr>
              <w:t>Group</w:t>
            </w:r>
          </w:p>
        </w:tc>
        <w:tc>
          <w:tcPr>
            <w:tcW w:type="dxa" w:w="3312"/>
            <w:shd w:fill="1F4E78"/>
            <w:vAlign w:val="center"/>
          </w:tcPr>
          <w:p>
            <w:r>
              <w:rPr>
                <w:b/>
                <w:color w:val="FFFFFF"/>
              </w:rPr>
              <w:t>Variables / examples</w:t>
            </w:r>
          </w:p>
        </w:tc>
        <w:tc>
          <w:tcPr>
            <w:tcW w:type="dxa" w:w="3312"/>
            <w:shd w:fill="1F4E78"/>
            <w:vAlign w:val="center"/>
          </w:tcPr>
          <w:p>
            <w:r>
              <w:rPr>
                <w:b/>
                <w:color w:val="FFFFFF"/>
              </w:rPr>
              <w:t>Handling</w:t>
            </w:r>
          </w:p>
        </w:tc>
      </w:tr>
      <w:tr>
        <w:tc>
          <w:tcPr>
            <w:tcW w:type="dxa" w:w="3312"/>
            <w:vAlign w:val="center"/>
          </w:tcPr>
          <w:p>
            <w:r>
              <w:t>Application</w:t>
            </w:r>
          </w:p>
        </w:tc>
        <w:tc>
          <w:tcPr>
            <w:tcW w:type="dxa" w:w="3312"/>
            <w:vAlign w:val="center"/>
          </w:tcPr>
          <w:p>
            <w:r>
              <w:t>APP_ENV, LOG_LEVEL, SECRET_KEY</w:t>
            </w:r>
          </w:p>
        </w:tc>
        <w:tc>
          <w:tcPr>
            <w:tcW w:type="dxa" w:w="3312"/>
            <w:vAlign w:val="center"/>
          </w:tcPr>
          <w:p>
            <w:r>
              <w:t>Literal values and minimum secret length; production checks some placeholders.</w:t>
            </w:r>
          </w:p>
        </w:tc>
      </w:tr>
      <w:tr>
        <w:tc>
          <w:tcPr>
            <w:tcW w:type="dxa" w:w="3312"/>
            <w:vAlign w:val="center"/>
          </w:tcPr>
          <w:p>
            <w:r>
              <w:t>Wazuh</w:t>
            </w:r>
          </w:p>
        </w:tc>
        <w:tc>
          <w:tcPr>
            <w:tcW w:type="dxa" w:w="3312"/>
            <w:vAlign w:val="center"/>
          </w:tcPr>
          <w:p>
            <w:r>
              <w:t>WAZUH_API_URL, WAZUH_API_USER, WAZUH_API_PASSWORD, WAZUH_VERIFY_SSL</w:t>
            </w:r>
          </w:p>
        </w:tc>
        <w:tc>
          <w:tcPr>
            <w:tcW w:type="dxa" w:w="3312"/>
            <w:vAlign w:val="center"/>
          </w:tcPr>
          <w:p>
            <w:r>
              <w:t>HTTPS URL validation; polling interval constrained to 5–3600 seconds.</w:t>
            </w:r>
          </w:p>
        </w:tc>
      </w:tr>
      <w:tr>
        <w:tc>
          <w:tcPr>
            <w:tcW w:type="dxa" w:w="3312"/>
            <w:vAlign w:val="center"/>
          </w:tcPr>
          <w:p>
            <w:r>
              <w:t>PostgreSQL</w:t>
            </w:r>
          </w:p>
        </w:tc>
        <w:tc>
          <w:tcPr>
            <w:tcW w:type="dxa" w:w="3312"/>
            <w:vAlign w:val="center"/>
          </w:tcPr>
          <w:p>
            <w:r>
              <w:t>POSTGRES_HOST, POSTGRES_PORT, POSTGRES_DB, POSTGRES_USER, POSTGRES_PASSWORD</w:t>
            </w:r>
          </w:p>
        </w:tc>
        <w:tc>
          <w:tcPr>
            <w:tcW w:type="dxa" w:w="3312"/>
            <w:vAlign w:val="center"/>
          </w:tcPr>
          <w:p>
            <w:r>
              <w:t>Typed port and required password; asyncpg DSN helper.</w:t>
            </w:r>
          </w:p>
        </w:tc>
      </w:tr>
      <w:tr>
        <w:tc>
          <w:tcPr>
            <w:tcW w:type="dxa" w:w="3312"/>
            <w:vAlign w:val="center"/>
          </w:tcPr>
          <w:p>
            <w:r>
              <w:t>Redis</w:t>
            </w:r>
          </w:p>
        </w:tc>
        <w:tc>
          <w:tcPr>
            <w:tcW w:type="dxa" w:w="3312"/>
            <w:vAlign w:val="center"/>
          </w:tcPr>
          <w:p>
            <w:r>
              <w:t>REDIS_HOST, REDIS_PORT, REDIS_PASSWORD</w:t>
            </w:r>
          </w:p>
        </w:tc>
        <w:tc>
          <w:tcPr>
            <w:tcW w:type="dxa" w:w="3312"/>
            <w:vAlign w:val="center"/>
          </w:tcPr>
          <w:p>
            <w:r>
              <w:t>Typed port and password-bearing URL helper.</w:t>
            </w:r>
          </w:p>
        </w:tc>
      </w:tr>
      <w:tr>
        <w:tc>
          <w:tcPr>
            <w:tcW w:type="dxa" w:w="3312"/>
            <w:vAlign w:val="center"/>
          </w:tcPr>
          <w:p>
            <w:r>
              <w:t>Neo4j</w:t>
            </w:r>
          </w:p>
        </w:tc>
        <w:tc>
          <w:tcPr>
            <w:tcW w:type="dxa" w:w="3312"/>
            <w:vAlign w:val="center"/>
          </w:tcPr>
          <w:p>
            <w:r>
              <w:t>NEO4J_URI, NEO4J_USER, NEO4J_PASSWORD</w:t>
            </w:r>
          </w:p>
        </w:tc>
        <w:tc>
          <w:tcPr>
            <w:tcW w:type="dxa" w:w="3312"/>
            <w:vAlign w:val="center"/>
          </w:tcPr>
          <w:p>
            <w:r>
              <w:t>Allowed bolt://, neo4j://, and neo4j+s:// schemes.</w:t>
            </w:r>
          </w:p>
        </w:tc>
      </w:tr>
      <w:tr>
        <w:tc>
          <w:tcPr>
            <w:tcW w:type="dxa" w:w="3312"/>
            <w:vAlign w:val="center"/>
          </w:tcPr>
          <w:p>
            <w:r>
              <w:t>MISP</w:t>
            </w:r>
          </w:p>
        </w:tc>
        <w:tc>
          <w:tcPr>
            <w:tcW w:type="dxa" w:w="3312"/>
            <w:vAlign w:val="center"/>
          </w:tcPr>
          <w:p>
            <w:r>
              <w:t>MISP_URL, MISP_API_KEY, MISP_VERIFY_SSL, MISP_TIMEOUT_SECONDS</w:t>
            </w:r>
          </w:p>
        </w:tc>
        <w:tc>
          <w:tcPr>
            <w:tcW w:type="dxa" w:w="3312"/>
            <w:vAlign w:val="center"/>
          </w:tcPr>
          <w:p>
            <w:r>
              <w:t>Required URL/key and bounded timeout.</w:t>
            </w:r>
          </w:p>
        </w:tc>
      </w:tr>
      <w:tr>
        <w:tc>
          <w:tcPr>
            <w:tcW w:type="dxa" w:w="3312"/>
            <w:vAlign w:val="center"/>
          </w:tcPr>
          <w:p>
            <w:r>
              <w:t>LLM</w:t>
            </w:r>
          </w:p>
        </w:tc>
        <w:tc>
          <w:tcPr>
            <w:tcW w:type="dxa" w:w="3312"/>
            <w:vAlign w:val="center"/>
          </w:tcPr>
          <w:p>
            <w:r>
              <w:t>LLM_PROVIDER, FAST_LLM_MODEL, REASONING_LLM_MODEL, LLM_API_KEY</w:t>
            </w:r>
          </w:p>
        </w:tc>
        <w:tc>
          <w:tcPr>
            <w:tcW w:type="dxa" w:w="3312"/>
            <w:vAlign w:val="center"/>
          </w:tcPr>
          <w:p>
            <w:r>
              <w:t>Provider is a Literal; two model tiers are configured.</w:t>
            </w:r>
          </w:p>
        </w:tc>
      </w:tr>
      <w:tr>
        <w:tc>
          <w:tcPr>
            <w:tcW w:type="dxa" w:w="3312"/>
            <w:vAlign w:val="center"/>
          </w:tcPr>
          <w:p>
            <w:r>
              <w:t>Guardrail</w:t>
            </w:r>
          </w:p>
        </w:tc>
        <w:tc>
          <w:tcPr>
            <w:tcW w:type="dxa" w:w="3312"/>
            <w:vAlign w:val="center"/>
          </w:tcPr>
          <w:p>
            <w:r>
              <w:t>MAX_ISOLATION_BLAST_RADIUS, PRIVILEGED_ACCOUNTS_REQUIRE_MANUAL_OVERRIDE</w:t>
            </w:r>
          </w:p>
        </w:tc>
        <w:tc>
          <w:tcPr>
            <w:tcW w:type="dxa" w:w="3312"/>
            <w:vAlign w:val="center"/>
          </w:tcPr>
          <w:p>
            <w:r>
              <w:t>Policy values are typed and bounded where numeric.</w:t>
            </w:r>
          </w:p>
        </w:tc>
      </w:tr>
    </w:tbl>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F4E78"/>
            <w:vAlign w:val="center"/>
          </w:tcPr>
          <w:p>
            <w:r>
              <w:rPr>
                <w:b/>
                <w:color w:val="FFFFFF"/>
              </w:rPr>
              <w:t>Command</w:t>
            </w:r>
          </w:p>
        </w:tc>
        <w:tc>
          <w:tcPr>
            <w:tcW w:type="dxa" w:w="3312"/>
            <w:shd w:fill="1F4E78"/>
            <w:vAlign w:val="center"/>
          </w:tcPr>
          <w:p>
            <w:r>
              <w:rPr>
                <w:b/>
                <w:color w:val="FFFFFF"/>
              </w:rPr>
              <w:t>Observed result</w:t>
            </w:r>
          </w:p>
        </w:tc>
        <w:tc>
          <w:tcPr>
            <w:tcW w:type="dxa" w:w="3312"/>
            <w:shd w:fill="1F4E78"/>
            <w:vAlign w:val="center"/>
          </w:tcPr>
          <w:p>
            <w:r>
              <w:rPr>
                <w:b/>
                <w:color w:val="FFFFFF"/>
              </w:rPr>
              <w:t>What it proves</w:t>
            </w:r>
          </w:p>
        </w:tc>
      </w:tr>
      <w:tr>
        <w:tc>
          <w:tcPr>
            <w:tcW w:type="dxa" w:w="3312"/>
            <w:vAlign w:val="center"/>
          </w:tcPr>
          <w:p>
            <w:r>
              <w:t>.\.venv\Scripts\python.exe -m pytest -q</w:t>
            </w:r>
          </w:p>
        </w:tc>
        <w:tc>
          <w:tcPr>
            <w:tcW w:type="dxa" w:w="3312"/>
            <w:vAlign w:val="center"/>
          </w:tcPr>
          <w:p>
            <w:r>
              <w:t>31 passed in 0.51s</w:t>
            </w:r>
          </w:p>
        </w:tc>
        <w:tc>
          <w:tcPr>
            <w:tcW w:type="dxa" w:w="3312"/>
            <w:vAlign w:val="center"/>
          </w:tcPr>
          <w:p>
            <w:r>
              <w:t>Config validation, safe summary, caching, and health precedence pass in the local environment.</w:t>
            </w:r>
          </w:p>
        </w:tc>
      </w:tr>
      <w:tr>
        <w:tc>
          <w:tcPr>
            <w:tcW w:type="dxa" w:w="3312"/>
            <w:vAlign w:val="center"/>
          </w:tcPr>
          <w:p>
            <w:r>
              <w:t>docker compose config --quiet</w:t>
            </w:r>
          </w:p>
        </w:tc>
        <w:tc>
          <w:tcPr>
            <w:tcW w:type="dxa" w:w="3312"/>
            <w:vAlign w:val="center"/>
          </w:tcPr>
          <w:p>
            <w:r>
              <w:t>Exit code 0, but warnings for unset PostgreSQL, Redis, and Neo4j passwords</w:t>
            </w:r>
          </w:p>
        </w:tc>
        <w:tc>
          <w:tcPr>
            <w:tcW w:type="dxa" w:w="3312"/>
            <w:vAlign w:val="center"/>
          </w:tcPr>
          <w:p>
            <w:r>
              <w:t>Compose syntax parses; it also demonstrates that absent secrets do not currently fail closed.</w:t>
            </w:r>
          </w:p>
        </w:tc>
      </w:tr>
      <w:tr>
        <w:tc>
          <w:tcPr>
            <w:tcW w:type="dxa" w:w="3312"/>
            <w:vAlign w:val="center"/>
          </w:tcPr>
          <w:p>
            <w:r>
              <w:t>ruff check .</w:t>
            </w:r>
          </w:p>
        </w:tc>
        <w:tc>
          <w:tcPr>
            <w:tcW w:type="dxa" w:w="3312"/>
            <w:vAlign w:val="center"/>
          </w:tcPr>
          <w:p>
            <w:r>
              <w:t>Not available: Ruff not installed globally or in .venv</w:t>
            </w:r>
          </w:p>
        </w:tc>
        <w:tc>
          <w:tcPr>
            <w:tcW w:type="dxa" w:w="3312"/>
            <w:vAlign w:val="center"/>
          </w:tcPr>
          <w:p>
            <w:r>
              <w:t>No lint result was obtained.</w:t>
            </w:r>
          </w:p>
        </w:tc>
      </w:tr>
      <w:tr>
        <w:tc>
          <w:tcPr>
            <w:tcW w:type="dxa" w:w="3312"/>
            <w:vAlign w:val="center"/>
          </w:tcPr>
          <w:p>
            <w:r>
              <w:t>mypy core tests</w:t>
            </w:r>
          </w:p>
        </w:tc>
        <w:tc>
          <w:tcPr>
            <w:tcW w:type="dxa" w:w="3312"/>
            <w:vAlign w:val="center"/>
          </w:tcPr>
          <w:p>
            <w:r>
              <w:t>Not available: mypy not installed globally or in .venv</w:t>
            </w:r>
          </w:p>
        </w:tc>
        <w:tc>
          <w:tcPr>
            <w:tcW w:type="dxa" w:w="3312"/>
            <w:vAlign w:val="center"/>
          </w:tcPr>
          <w:p>
            <w:r>
              <w:t>No type-check result was obtained.</w:t>
            </w:r>
          </w:p>
        </w:tc>
      </w:tr>
      <w:tr>
        <w:tc>
          <w:tcPr>
            <w:tcW w:type="dxa" w:w="3312"/>
            <w:vAlign w:val="center"/>
          </w:tcPr>
          <w:p>
            <w:r>
              <w:t>Docker integration / smoke test</w:t>
            </w:r>
          </w:p>
        </w:tc>
        <w:tc>
          <w:tcPr>
            <w:tcW w:type="dxa" w:w="3312"/>
            <w:vAlign w:val="center"/>
          </w:tcPr>
          <w:p>
            <w:r>
              <w:t>Not run</w:t>
            </w:r>
          </w:p>
        </w:tc>
        <w:tc>
          <w:tcPr>
            <w:tcW w:type="dxa" w:w="3312"/>
            <w:vAlign w:val="center"/>
          </w:tcPr>
          <w:p>
            <w:r>
              <w:t>Container startup and health were not verified.</w:t>
            </w:r>
          </w:p>
        </w:tc>
      </w:tr>
    </w:tbl>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F4E78"/>
            <w:vAlign w:val="center"/>
          </w:tcPr>
          <w:p>
            <w:r>
              <w:rPr>
                <w:b/>
                <w:color w:val="FFFFFF"/>
              </w:rPr>
              <w:t>Priority</w:t>
            </w:r>
          </w:p>
        </w:tc>
        <w:tc>
          <w:tcPr>
            <w:tcW w:type="dxa" w:w="3312"/>
            <w:shd w:fill="1F4E78"/>
            <w:vAlign w:val="center"/>
          </w:tcPr>
          <w:p>
            <w:r>
              <w:rPr>
                <w:b/>
                <w:color w:val="FFFFFF"/>
              </w:rPr>
              <w:t>Finding</w:t>
            </w:r>
          </w:p>
        </w:tc>
        <w:tc>
          <w:tcPr>
            <w:tcW w:type="dxa" w:w="3312"/>
            <w:shd w:fill="1F4E78"/>
            <w:vAlign w:val="center"/>
          </w:tcPr>
          <w:p>
            <w:r>
              <w:rPr>
                <w:b/>
                <w:color w:val="FFFFFF"/>
              </w:rPr>
              <w:t>Evidence / correction</w:t>
            </w:r>
          </w:p>
        </w:tc>
      </w:tr>
      <w:tr>
        <w:tc>
          <w:tcPr>
            <w:tcW w:type="dxa" w:w="3312"/>
            <w:vAlign w:val="center"/>
          </w:tcPr>
          <w:p>
            <w:r>
              <w:t>HIGH</w:t>
            </w:r>
          </w:p>
        </w:tc>
        <w:tc>
          <w:tcPr>
            <w:tcW w:type="dxa" w:w="3312"/>
            <w:vAlign w:val="center"/>
          </w:tcPr>
          <w:p>
            <w:r>
              <w:t>Compose accepts missing required secrets.</w:t>
            </w:r>
          </w:p>
        </w:tc>
        <w:tc>
          <w:tcPr>
            <w:tcW w:type="dxa" w:w="3312"/>
            <w:vAlign w:val="center"/>
          </w:tcPr>
          <w:p>
            <w:r>
              <w:t>docker-compose.yml interpolates blank values; require variables with an error and test rendered config.</w:t>
            </w:r>
          </w:p>
        </w:tc>
      </w:tr>
      <w:tr>
        <w:tc>
          <w:tcPr>
            <w:tcW w:type="dxa" w:w="3312"/>
            <w:vAlign w:val="center"/>
          </w:tcPr>
          <w:p>
            <w:r>
              <w:t>HIGH</w:t>
            </w:r>
          </w:p>
        </w:tc>
        <w:tc>
          <w:tcPr>
            <w:tcW w:type="dxa" w:w="3312"/>
            <w:vAlign w:val="center"/>
          </w:tcPr>
          <w:p>
            <w:r>
              <w:t>Wazuh and MISP TLS verification default false.</w:t>
            </w:r>
          </w:p>
        </w:tc>
        <w:tc>
          <w:tcPr>
            <w:tcW w:type="dxa" w:w="3312"/>
            <w:vAlign w:val="center"/>
          </w:tcPr>
          <w:p>
            <w:r>
              <w:t>core/config.py defaults both flags false; enable by default and reject insecure production settings.</w:t>
            </w:r>
          </w:p>
        </w:tc>
      </w:tr>
      <w:tr>
        <w:tc>
          <w:tcPr>
            <w:tcW w:type="dxa" w:w="3312"/>
            <w:vAlign w:val="center"/>
          </w:tcPr>
          <w:p>
            <w:r>
              <w:t>HIGH</w:t>
            </w:r>
          </w:p>
        </w:tc>
        <w:tc>
          <w:tcPr>
            <w:tcW w:type="dxa" w:w="3312"/>
            <w:vAlign w:val="center"/>
          </w:tcPr>
          <w:p>
            <w:r>
              <w:t>Empty SystemHealth reports OK.</w:t>
            </w:r>
          </w:p>
        </w:tc>
        <w:tc>
          <w:tcPr>
            <w:tcW w:type="dxa" w:w="3312"/>
            <w:vAlign w:val="center"/>
          </w:tcPr>
          <w:p>
            <w:r>
              <w:t>core/health.py returns OK for no services; use UNKNOWN/DEGRADED for readiness semantics.</w:t>
            </w:r>
          </w:p>
        </w:tc>
      </w:tr>
      <w:tr>
        <w:tc>
          <w:tcPr>
            <w:tcW w:type="dxa" w:w="3312"/>
            <w:vAlign w:val="center"/>
          </w:tcPr>
          <w:p>
            <w:r>
              <w:t>MEDIUM</w:t>
            </w:r>
          </w:p>
        </w:tc>
        <w:tc>
          <w:tcPr>
            <w:tcW w:type="dxa" w:w="3312"/>
            <w:vAlign w:val="center"/>
          </w:tcPr>
          <w:p>
            <w:r>
              <w:t>DSN and Redis URL components are not escaped.</w:t>
            </w:r>
          </w:p>
        </w:tc>
        <w:tc>
          <w:tcPr>
            <w:tcW w:type="dxa" w:w="3312"/>
            <w:vAlign w:val="center"/>
          </w:tcPr>
          <w:p>
            <w:r>
              <w:t>Reserved characters can break parsing; use URL builders/encoding and add tests.</w:t>
            </w:r>
          </w:p>
        </w:tc>
      </w:tr>
      <w:tr>
        <w:tc>
          <w:tcPr>
            <w:tcW w:type="dxa" w:w="3312"/>
            <w:vAlign w:val="center"/>
          </w:tcPr>
          <w:p>
            <w:r>
              <w:t>MEDIUM</w:t>
            </w:r>
          </w:p>
        </w:tc>
        <w:tc>
          <w:tcPr>
            <w:tcW w:type="dxa" w:w="3312"/>
            <w:vAlign w:val="center"/>
          </w:tcPr>
          <w:p>
            <w:r>
              <w:t>Unknown environment variables are silently ignored.</w:t>
            </w:r>
          </w:p>
        </w:tc>
        <w:tc>
          <w:tcPr>
            <w:tcW w:type="dxa" w:w="3312"/>
            <w:vAlign w:val="center"/>
          </w:tcPr>
          <w:p>
            <w:r>
              <w:t>extra='ignore' can hide misspellings; consider strict validation.</w:t>
            </w:r>
          </w:p>
        </w:tc>
      </w:tr>
      <w:tr>
        <w:tc>
          <w:tcPr>
            <w:tcW w:type="dxa" w:w="3312"/>
            <w:vAlign w:val="center"/>
          </w:tcPr>
          <w:p>
            <w:r>
              <w:t>MEDIUM</w:t>
            </w:r>
          </w:p>
        </w:tc>
        <w:tc>
          <w:tcPr>
            <w:tcW w:type="dxa" w:w="3312"/>
            <w:vAlign w:val="center"/>
          </w:tcPr>
          <w:p>
            <w:r>
              <w:t>Database ports are exposed on all host interfaces.</w:t>
            </w:r>
          </w:p>
        </w:tc>
        <w:tc>
          <w:tcPr>
            <w:tcW w:type="dxa" w:w="3312"/>
            <w:vAlign w:val="center"/>
          </w:tcPr>
          <w:p>
            <w:r>
              <w:t>Bind development ports to localhost or make publication explicit.</w:t>
            </w:r>
          </w:p>
        </w:tc>
      </w:tr>
      <w:tr>
        <w:tc>
          <w:tcPr>
            <w:tcW w:type="dxa" w:w="3312"/>
            <w:vAlign w:val="center"/>
          </w:tcPr>
          <w:p>
            <w:r>
              <w:t>LOW</w:t>
            </w:r>
          </w:p>
        </w:tc>
        <w:tc>
          <w:tcPr>
            <w:tcW w:type="dxa" w:w="3312"/>
            <w:vAlign w:val="center"/>
          </w:tcPr>
          <w:p>
            <w:r>
              <w:t>Moving container tags reduce reproducibility.</w:t>
            </w:r>
          </w:p>
        </w:tc>
        <w:tc>
          <w:tcPr>
            <w:tcW w:type="dxa" w:w="3312"/>
            <w:vAlign w:val="center"/>
          </w:tcPr>
          <w:p>
            <w:r>
              <w:t>Pin patch versions or digests and define an update process.</w:t>
            </w:r>
          </w:p>
        </w:tc>
      </w:tr>
    </w:tbl>
    <w:p/>
    <w:tbl>
      <w:tblPr>
        <w:tblStyle w:val="LightShading-Accent1"/>
        <w:tblW w:type="auto" w:w="0"/>
        <w:jc w:val="center"/>
        <w:tblLook w:firstColumn="1" w:firstRow="1" w:lastColumn="0" w:lastRow="0" w:noHBand="0" w:noVBand="1" w:val="04A0"/>
      </w:tblPr>
      <w:tblGrid>
        <w:gridCol w:w="4968"/>
        <w:gridCol w:w="4968"/>
      </w:tblGrid>
      <w:tr>
        <w:tc>
          <w:tcPr>
            <w:tcW w:type="dxa" w:w="4968"/>
            <w:shd w:fill="1F4E78"/>
            <w:vAlign w:val="center"/>
          </w:tcPr>
          <w:p>
            <w:r>
              <w:rPr>
                <w:b/>
                <w:color w:val="FFFFFF"/>
              </w:rPr>
              <w:t>Question</w:t>
            </w:r>
          </w:p>
        </w:tc>
        <w:tc>
          <w:tcPr>
            <w:tcW w:type="dxa" w:w="4968"/>
            <w:shd w:fill="1F4E78"/>
            <w:vAlign w:val="center"/>
          </w:tcPr>
          <w:p>
            <w:r>
              <w:rPr>
                <w:b/>
                <w:color w:val="FFFFFF"/>
              </w:rPr>
              <w:t>Strong answer</w:t>
            </w:r>
          </w:p>
        </w:tc>
      </w:tr>
      <w:tr>
        <w:tc>
          <w:tcPr>
            <w:tcW w:type="dxa" w:w="4968"/>
            <w:vAlign w:val="center"/>
          </w:tcPr>
          <w:p>
            <w:r>
              <w:t>Why cache settings?</w:t>
            </w:r>
          </w:p>
        </w:tc>
        <w:tc>
          <w:tcPr>
            <w:tcW w:type="dxa" w:w="4968"/>
            <w:vAlign w:val="center"/>
          </w:tcPr>
          <w:p>
            <w:r>
              <w:t>Configuration is process-wide and expensive or surprising to reload; lru_cache gives one validated object. Tests explicitly clear it when changing environment variables.</w:t>
            </w:r>
          </w:p>
        </w:tc>
      </w:tr>
      <w:tr>
        <w:tc>
          <w:tcPr>
            <w:tcW w:type="dxa" w:w="4968"/>
            <w:vAlign w:val="center"/>
          </w:tcPr>
          <w:p>
            <w:r>
              <w:t>Why separate health data from health I/O?</w:t>
            </w:r>
          </w:p>
        </w:tc>
        <w:tc>
          <w:tcPr>
            <w:tcW w:type="dxa" w:w="4968"/>
            <w:vAlign w:val="center"/>
          </w:tcPr>
          <w:p>
            <w:r>
              <w:t>Pure aggregation is deterministic and fast to unit test. Network clients can fail independently and later translate results into the model.</w:t>
            </w:r>
          </w:p>
        </w:tc>
      </w:tr>
      <w:tr>
        <w:tc>
          <w:tcPr>
            <w:tcW w:type="dxa" w:w="4968"/>
            <w:vAlign w:val="center"/>
          </w:tcPr>
          <w:p>
            <w:r>
              <w:t>Why Redis Streams instead of a larger broker?</w:t>
            </w:r>
          </w:p>
        </w:tc>
        <w:tc>
          <w:tcPr>
            <w:tcW w:type="dxa" w:w="4968"/>
            <w:vAlign w:val="center"/>
          </w:tcPr>
          <w:p>
            <w:r>
              <w:t>At the planned scale, Streams provide ordered consumer groups with less operational complexity; the trade-off is that delivery and persistence semantics still need design.</w:t>
            </w:r>
          </w:p>
        </w:tc>
      </w:tr>
      <w:tr>
        <w:tc>
          <w:tcPr>
            <w:tcW w:type="dxa" w:w="4968"/>
            <w:vAlign w:val="center"/>
          </w:tcPr>
          <w:p>
            <w:r>
              <w:t>How do you protect secrets?</w:t>
            </w:r>
          </w:p>
        </w:tc>
        <w:tc>
          <w:tcPr>
            <w:tcW w:type="dxa" w:w="4968"/>
            <w:vAlign w:val="center"/>
          </w:tcPr>
          <w:p>
            <w:r>
              <w:t>Keep them in .env, ignore that file in Git, mark Pydantic fields repr=False, omit them from safe_summary, and never log credential-bearing URLs.</w:t>
            </w:r>
          </w:p>
        </w:tc>
      </w:tr>
      <w:tr>
        <w:tc>
          <w:tcPr>
            <w:tcW w:type="dxa" w:w="4968"/>
            <w:vAlign w:val="center"/>
          </w:tcPr>
          <w:p>
            <w:r>
              <w:t>What would you fix first?</w:t>
            </w:r>
          </w:p>
        </w:tc>
        <w:tc>
          <w:tcPr>
            <w:tcW w:type="dxa" w:w="4968"/>
            <w:vAlign w:val="center"/>
          </w:tcPr>
          <w:p>
            <w:r>
              <w:t>Fail-closed Compose secrets, secure TLS defaults, and the empty-health false positive before adding action-capable agents.</w:t>
            </w:r>
          </w:p>
        </w:tc>
      </w:tr>
    </w:tbl>
    <w:p/>
    <w:tbl>
      <w:tblPr>
        <w:tblStyle w:val="LightShading-Accent1"/>
        <w:tblW w:type="auto" w:w="0"/>
        <w:jc w:val="center"/>
        <w:tblLook w:firstColumn="1" w:firstRow="1" w:lastColumn="0" w:lastRow="0" w:noHBand="0" w:noVBand="1" w:val="04A0"/>
      </w:tblPr>
      <w:tblGrid>
        <w:gridCol w:w="4968"/>
        <w:gridCol w:w="4968"/>
      </w:tblGrid>
      <w:tr>
        <w:tc>
          <w:tcPr>
            <w:tcW w:type="dxa" w:w="4968"/>
            <w:shd w:fill="1F4E78"/>
            <w:vAlign w:val="center"/>
          </w:tcPr>
          <w:p>
            <w:r>
              <w:rPr>
                <w:b/>
                <w:color w:val="FFFFFF"/>
              </w:rPr>
              <w:t>Term</w:t>
            </w:r>
          </w:p>
        </w:tc>
        <w:tc>
          <w:tcPr>
            <w:tcW w:type="dxa" w:w="4968"/>
            <w:shd w:fill="1F4E78"/>
            <w:vAlign w:val="center"/>
          </w:tcPr>
          <w:p>
            <w:r>
              <w:rPr>
                <w:b/>
                <w:color w:val="FFFFFF"/>
              </w:rPr>
              <w:t>Meaning in this project</w:t>
            </w:r>
          </w:p>
        </w:tc>
      </w:tr>
      <w:tr>
        <w:tc>
          <w:tcPr>
            <w:tcW w:type="dxa" w:w="4968"/>
            <w:vAlign w:val="center"/>
          </w:tcPr>
          <w:p>
            <w:r>
              <w:t>ACID</w:t>
            </w:r>
          </w:p>
        </w:tc>
        <w:tc>
          <w:tcPr>
            <w:tcW w:type="dxa" w:w="4968"/>
            <w:vAlign w:val="center"/>
          </w:tcPr>
          <w:p>
            <w:r>
              <w:t>Database guarantees of atomicity, consistency, isolation, and durability.</w:t>
            </w:r>
          </w:p>
        </w:tc>
      </w:tr>
      <w:tr>
        <w:tc>
          <w:tcPr>
            <w:tcW w:type="dxa" w:w="4968"/>
            <w:vAlign w:val="center"/>
          </w:tcPr>
          <w:p>
            <w:r>
              <w:t>AOF</w:t>
            </w:r>
          </w:p>
        </w:tc>
        <w:tc>
          <w:tcPr>
            <w:tcW w:type="dxa" w:w="4968"/>
            <w:vAlign w:val="center"/>
          </w:tcPr>
          <w:p>
            <w:r>
              <w:t>Redis append-only file persistence; commands are recorded so state can be reconstructed.</w:t>
            </w:r>
          </w:p>
        </w:tc>
      </w:tr>
      <w:tr>
        <w:tc>
          <w:tcPr>
            <w:tcW w:type="dxa" w:w="4968"/>
            <w:vAlign w:val="center"/>
          </w:tcPr>
          <w:p>
            <w:r>
              <w:t>ADR</w:t>
            </w:r>
          </w:p>
        </w:tc>
        <w:tc>
          <w:tcPr>
            <w:tcW w:type="dxa" w:w="4968"/>
            <w:vAlign w:val="center"/>
          </w:tcPr>
          <w:p>
            <w:r>
              <w:t>Architecture Decision Record: a short record of context, decision, alternatives, and consequences.</w:t>
            </w:r>
          </w:p>
        </w:tc>
      </w:tr>
      <w:tr>
        <w:tc>
          <w:tcPr>
            <w:tcW w:type="dxa" w:w="4968"/>
            <w:vAlign w:val="center"/>
          </w:tcPr>
          <w:p>
            <w:r>
              <w:t>DSN</w:t>
            </w:r>
          </w:p>
        </w:tc>
        <w:tc>
          <w:tcPr>
            <w:tcW w:type="dxa" w:w="4968"/>
            <w:vAlign w:val="center"/>
          </w:tcPr>
          <w:p>
            <w:r>
              <w:t>Data Source Name; a structured connection string such as a PostgreSQL URL.</w:t>
            </w:r>
          </w:p>
        </w:tc>
      </w:tr>
      <w:tr>
        <w:tc>
          <w:tcPr>
            <w:tcW w:type="dxa" w:w="4968"/>
            <w:vAlign w:val="center"/>
          </w:tcPr>
          <w:p>
            <w:r>
              <w:t>FastAPI</w:t>
            </w:r>
          </w:p>
        </w:tc>
        <w:tc>
          <w:tcPr>
            <w:tcW w:type="dxa" w:w="4968"/>
            <w:vAlign w:val="center"/>
          </w:tcPr>
          <w:p>
            <w:r>
              <w:t>Python web framework planned for the REST/WebSocket API phase.</w:t>
            </w:r>
          </w:p>
        </w:tc>
      </w:tr>
      <w:tr>
        <w:tc>
          <w:tcPr>
            <w:tcW w:type="dxa" w:w="4968"/>
            <w:vAlign w:val="center"/>
          </w:tcPr>
          <w:p>
            <w:r>
              <w:t>Health aggregation</w:t>
            </w:r>
          </w:p>
        </w:tc>
        <w:tc>
          <w:tcPr>
            <w:tcW w:type="dxa" w:w="4968"/>
            <w:vAlign w:val="center"/>
          </w:tcPr>
          <w:p>
            <w:r>
              <w:t>Combining dependency statuses into one deterministic system status.</w:t>
            </w:r>
          </w:p>
        </w:tc>
      </w:tr>
      <w:tr>
        <w:tc>
          <w:tcPr>
            <w:tcW w:type="dxa" w:w="4968"/>
            <w:vAlign w:val="center"/>
          </w:tcPr>
          <w:p>
            <w:r>
              <w:t>LangGraph</w:t>
            </w:r>
          </w:p>
        </w:tc>
        <w:tc>
          <w:tcPr>
            <w:tcW w:type="dxa" w:w="4968"/>
            <w:vAlign w:val="center"/>
          </w:tcPr>
          <w:p>
            <w:r>
              <w:t>The planned graph-based orchestration framework for multi-agent workflows.</w:t>
            </w:r>
          </w:p>
        </w:tc>
      </w:tr>
      <w:tr>
        <w:tc>
          <w:tcPr>
            <w:tcW w:type="dxa" w:w="4968"/>
            <w:vAlign w:val="center"/>
          </w:tcPr>
          <w:p>
            <w:r>
              <w:t>OCSF</w:t>
            </w:r>
          </w:p>
        </w:tc>
        <w:tc>
          <w:tcPr>
            <w:tcW w:type="dxa" w:w="4968"/>
            <w:vAlign w:val="center"/>
          </w:tcPr>
          <w:p>
            <w:r>
              <w:t>Open Cybersecurity Schema Framework, planned for normalized security findings.</w:t>
            </w:r>
          </w:p>
        </w:tc>
      </w:tr>
      <w:tr>
        <w:tc>
          <w:tcPr>
            <w:tcW w:type="dxa" w:w="4968"/>
            <w:vAlign w:val="center"/>
          </w:tcPr>
          <w:p>
            <w:r>
              <w:t>Pydantic Settings</w:t>
            </w:r>
          </w:p>
        </w:tc>
        <w:tc>
          <w:tcPr>
            <w:tcW w:type="dxa" w:w="4968"/>
            <w:vAlign w:val="center"/>
          </w:tcPr>
          <w:p>
            <w:r>
              <w:t>Typed configuration loader and validator for environment-backed settings.</w:t>
            </w:r>
          </w:p>
        </w:tc>
      </w:tr>
      <w:tr>
        <w:tc>
          <w:tcPr>
            <w:tcW w:type="dxa" w:w="4968"/>
            <w:vAlign w:val="center"/>
          </w:tcPr>
          <w:p>
            <w:r>
              <w:t>repr=False</w:t>
            </w:r>
          </w:p>
        </w:tc>
        <w:tc>
          <w:tcPr>
            <w:tcW w:type="dxa" w:w="4968"/>
            <w:vAlign w:val="center"/>
          </w:tcPr>
          <w:p>
            <w:r>
              <w:t>Pydantic field setting that prevents a secret from appearing in object representations.</w:t>
            </w:r>
          </w:p>
        </w:tc>
      </w:tr>
      <w:tr>
        <w:tc>
          <w:tcPr>
            <w:tcW w:type="dxa" w:w="4968"/>
            <w:vAlign w:val="center"/>
          </w:tcPr>
          <w:p>
            <w:r>
              <w:t>Redis Stream</w:t>
            </w:r>
          </w:p>
        </w:tc>
        <w:tc>
          <w:tcPr>
            <w:tcW w:type="dxa" w:w="4968"/>
            <w:vAlign w:val="center"/>
          </w:tcPr>
          <w:p>
            <w:r>
              <w:t>An append-oriented Redis data structure supporting ordered messages and consumer groups.</w:t>
            </w:r>
          </w:p>
        </w:tc>
      </w:tr>
      <w:tr>
        <w:tc>
          <w:tcPr>
            <w:tcW w:type="dxa" w:w="4968"/>
            <w:vAlign w:val="center"/>
          </w:tcPr>
          <w:p>
            <w:r>
              <w:t>structlog</w:t>
            </w:r>
          </w:p>
        </w:tc>
        <w:tc>
          <w:tcPr>
            <w:tcW w:type="dxa" w:w="4968"/>
            <w:vAlign w:val="center"/>
          </w:tcPr>
          <w:p>
            <w:r>
              <w:t>Python library for structured, context-rich logging.</w:t>
            </w:r>
          </w:p>
        </w:tc>
      </w:tr>
      <w:tr>
        <w:tc>
          <w:tcPr>
            <w:tcW w:type="dxa" w:w="4968"/>
            <w:vAlign w:val="center"/>
          </w:tcPr>
          <w:p>
            <w:r>
              <w:t>Temporal graph</w:t>
            </w:r>
          </w:p>
        </w:tc>
        <w:tc>
          <w:tcPr>
            <w:tcW w:type="dxa" w:w="4968"/>
            <w:vAlign w:val="center"/>
          </w:tcPr>
          <w:p>
            <w:r>
              <w:t>A graph whose relationships carry validity intervals and provenance.</w:t>
            </w:r>
          </w:p>
        </w:tc>
      </w:tr>
      <w:tr>
        <w:tc>
          <w:tcPr>
            <w:tcW w:type="dxa" w:w="4968"/>
            <w:vAlign w:val="center"/>
          </w:tcPr>
          <w:p>
            <w:r>
              <w:t>TOC field</w:t>
            </w:r>
          </w:p>
        </w:tc>
        <w:tc>
          <w:tcPr>
            <w:tcW w:type="dxa" w:w="4968"/>
            <w:vAlign w:val="center"/>
          </w:tcPr>
          <w:p>
            <w:r>
              <w:t>A Word field that builds a table of contents from Heading styles.</w:t>
            </w:r>
          </w:p>
        </w:tc>
      </w:tr>
    </w:tbl>
    <w:p/>
    <w:tbl>
      <w:tblPr>
        <w:tblStyle w:val="LightShading-Accent1"/>
        <w:tblW w:type="auto" w:w="0"/>
        <w:jc w:val="center"/>
        <w:tblLook w:firstColumn="1" w:firstRow="1" w:lastColumn="0" w:lastRow="0" w:noHBand="0" w:noVBand="1" w:val="04A0"/>
      </w:tblPr>
      <w:tblGrid>
        <w:gridCol w:w="4968"/>
        <w:gridCol w:w="4968"/>
      </w:tblGrid>
      <w:tr>
        <w:tc>
          <w:tcPr>
            <w:tcW w:type="dxa" w:w="4968"/>
            <w:shd w:fill="1F4E78"/>
            <w:vAlign w:val="center"/>
          </w:tcPr>
          <w:p>
            <w:r>
              <w:rPr>
                <w:b/>
                <w:color w:val="FFFFFF"/>
              </w:rPr>
              <w:t>Category</w:t>
            </w:r>
          </w:p>
        </w:tc>
        <w:tc>
          <w:tcPr>
            <w:tcW w:type="dxa" w:w="4968"/>
            <w:shd w:fill="1F4E78"/>
            <w:vAlign w:val="center"/>
          </w:tcPr>
          <w:p>
            <w:r>
              <w:rPr>
                <w:b/>
                <w:color w:val="FFFFFF"/>
              </w:rPr>
              <w:t>Items</w:t>
            </w:r>
          </w:p>
        </w:tc>
      </w:tr>
      <w:tr>
        <w:tc>
          <w:tcPr>
            <w:tcW w:type="dxa" w:w="4968"/>
            <w:vAlign w:val="center"/>
          </w:tcPr>
          <w:p>
            <w:r>
              <w:t>Implemented</w:t>
            </w:r>
          </w:p>
        </w:tc>
        <w:tc>
          <w:tcPr>
            <w:tcW w:type="dxa" w:w="4968"/>
            <w:vAlign w:val="center"/>
          </w:tcPr>
          <w:p>
            <w:r>
              <w:t>Project scaffold; Pydantic settings; URL/scheme and numeric validation; cached settings; redacted summary; structured logging setup; health model; Compose definitions; ADR; README; unit-test fixtures.</w:t>
            </w:r>
          </w:p>
        </w:tc>
      </w:tr>
      <w:tr>
        <w:tc>
          <w:tcPr>
            <w:tcW w:type="dxa" w:w="4968"/>
            <w:vAlign w:val="center"/>
          </w:tcPr>
          <w:p>
            <w:r>
              <w:t>Tested</w:t>
            </w:r>
          </w:p>
        </w:tc>
        <w:tc>
          <w:tcPr>
            <w:tcW w:type="dxa" w:w="4968"/>
            <w:vAlign w:val="center"/>
          </w:tcPr>
          <w:p>
            <w:r>
              <w:t>31 unit tests passed in the local .venv; settings cache and environment isolation; health precedence; selected validation and redaction behavior.</w:t>
            </w:r>
          </w:p>
        </w:tc>
      </w:tr>
      <w:tr>
        <w:tc>
          <w:tcPr>
            <w:tcW w:type="dxa" w:w="4968"/>
            <w:vAlign w:val="center"/>
          </w:tcPr>
          <w:p>
            <w:r>
              <w:t>Planned / later phases</w:t>
            </w:r>
          </w:p>
        </w:tc>
        <w:tc>
          <w:tcPr>
            <w:tcW w:type="dxa" w:w="4968"/>
            <w:vAlign w:val="center"/>
          </w:tcPr>
          <w:p>
            <w:r>
              <w:t>PostgreSQL schema and migrations; Neo4j constraints/query layer; Wazuh ingestion; OCSF normalization and entity resolution; MISP/IAM enrichment; deterministic guardrail; LangGraph workflow; approval queue; FastAPI; dashboard; simulations.</w:t>
            </w:r>
          </w:p>
        </w:tc>
      </w:tr>
      <w:tr>
        <w:tc>
          <w:tcPr>
            <w:tcW w:type="dxa" w:w="4968"/>
            <w:vAlign w:val="center"/>
          </w:tcPr>
          <w:p>
            <w:r>
              <w:t>Unverified</w:t>
            </w:r>
          </w:p>
        </w:tc>
        <w:tc>
          <w:tcPr>
            <w:tcW w:type="dxa" w:w="4968"/>
            <w:vAlign w:val="center"/>
          </w:tcPr>
          <w:p>
            <w:r>
              <w:t>Docker startup and health; live PostgreSQL/Redis/Neo4j connectivity; Wazuh/MISP clients; Ruff; mypy; coverage threshold; logging behavior under repeated configuration; production deployment hardening.</w:t>
            </w:r>
          </w:p>
        </w:tc>
      </w:tr>
      <w:tr>
        <w:tc>
          <w:tcPr>
            <w:tcW w:type="dxa" w:w="4968"/>
            <w:vAlign w:val="center"/>
          </w:tcPr>
          <w:p>
            <w:r>
              <w:t>Review corrections pending</w:t>
            </w:r>
          </w:p>
        </w:tc>
        <w:tc>
          <w:tcPr>
            <w:tcW w:type="dxa" w:w="4968"/>
            <w:vAlign w:val="center"/>
          </w:tcPr>
          <w:p>
            <w:r>
              <w:t>Fail-closed Compose secrets; secure TLS defaults; empty-health semantics; URL escaping; strict/observable unknown environment handling; localhost bindings; pinned image versions.</w:t>
            </w:r>
          </w:p>
        </w:tc>
      </w:tr>
    </w:tbl>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shd w:fill="1F4E78"/>
            <w:vAlign w:val="center"/>
          </w:tcPr>
          <w:p>
            <w:r>
              <w:rPr>
                <w:b/>
                <w:color w:val="FFFFFF"/>
              </w:rPr>
              <w:t>Finding</w:t>
            </w:r>
          </w:p>
        </w:tc>
        <w:tc>
          <w:tcPr>
            <w:tcW w:type="dxa" w:w="2484"/>
            <w:shd w:fill="1F4E78"/>
            <w:vAlign w:val="center"/>
          </w:tcPr>
          <w:p>
            <w:r>
              <w:rPr>
                <w:b/>
                <w:color w:val="FFFFFF"/>
              </w:rPr>
              <w:t>Before remediation</w:t>
            </w:r>
          </w:p>
        </w:tc>
        <w:tc>
          <w:tcPr>
            <w:tcW w:type="dxa" w:w="2484"/>
            <w:shd w:fill="1F4E78"/>
            <w:vAlign w:val="center"/>
          </w:tcPr>
          <w:p>
            <w:r>
              <w:rPr>
                <w:b/>
                <w:color w:val="FFFFFF"/>
              </w:rPr>
              <w:t>After remediation</w:t>
            </w:r>
          </w:p>
        </w:tc>
        <w:tc>
          <w:tcPr>
            <w:tcW w:type="dxa" w:w="2484"/>
            <w:shd w:fill="1F4E78"/>
            <w:vAlign w:val="center"/>
          </w:tcPr>
          <w:p>
            <w:r>
              <w:rPr>
                <w:b/>
                <w:color w:val="FFFFFF"/>
              </w:rPr>
              <w:t>Reason</w:t>
            </w:r>
          </w:p>
        </w:tc>
      </w:tr>
      <w:tr>
        <w:tc>
          <w:tcPr>
            <w:tcW w:type="dxa" w:w="2484"/>
            <w:vAlign w:val="center"/>
          </w:tcPr>
          <w:p>
            <w:r>
              <w:t>Required Compose credentials</w:t>
            </w:r>
          </w:p>
        </w:tc>
        <w:tc>
          <w:tcPr>
            <w:tcW w:type="dxa" w:w="2484"/>
            <w:vAlign w:val="center"/>
          </w:tcPr>
          <w:p>
            <w:r>
              <w:t>Unset passwords produced warnings and blank interpolations; config validation exited successfully.</w:t>
            </w:r>
          </w:p>
        </w:tc>
        <w:tc>
          <w:tcPr>
            <w:tcW w:type="dxa" w:w="2484"/>
            <w:vAlign w:val="center"/>
          </w:tcPr>
          <w:p>
            <w:r>
              <w:t>Compose uses required ${VAR:?message} interpolation and exits non-zero when credentials are missing or empty.</w:t>
            </w:r>
          </w:p>
        </w:tc>
        <w:tc>
          <w:tcPr>
            <w:tcW w:type="dxa" w:w="2484"/>
            <w:vAlign w:val="center"/>
          </w:tcPr>
          <w:p>
            <w:r>
              <w:t>Prevent startup with blank or ambiguous credentials.</w:t>
            </w:r>
          </w:p>
        </w:tc>
      </w:tr>
      <w:tr>
        <w:tc>
          <w:tcPr>
            <w:tcW w:type="dxa" w:w="2484"/>
            <w:vAlign w:val="center"/>
          </w:tcPr>
          <w:p>
            <w:r>
              <w:t>Wazuh/MISP TLS</w:t>
            </w:r>
          </w:p>
        </w:tc>
        <w:tc>
          <w:tcPr>
            <w:tcW w:type="dxa" w:w="2484"/>
            <w:vAlign w:val="center"/>
          </w:tcPr>
          <w:p>
            <w:r>
              <w:t>wazuh_verify_ssl and misp_verify_ssl defaulted to false.</w:t>
            </w:r>
          </w:p>
        </w:tc>
        <w:tc>
          <w:tcPr>
            <w:tcW w:type="dxa" w:w="2484"/>
            <w:vAlign w:val="center"/>
          </w:tcPr>
          <w:p>
            <w:r>
              <w:t>Both default to true; production rejects either false value.</w:t>
            </w:r>
          </w:p>
        </w:tc>
        <w:tc>
          <w:tcPr>
            <w:tcW w:type="dxa" w:w="2484"/>
            <w:vAlign w:val="center"/>
          </w:tcPr>
          <w:p>
            <w:r>
              <w:t>Prevent impersonation of security data sources.</w:t>
            </w:r>
          </w:p>
        </w:tc>
      </w:tr>
      <w:tr>
        <w:tc>
          <w:tcPr>
            <w:tcW w:type="dxa" w:w="2484"/>
            <w:vAlign w:val="center"/>
          </w:tcPr>
          <w:p>
            <w:r>
              <w:t>Connection URLs</w:t>
            </w:r>
          </w:p>
        </w:tc>
        <w:tc>
          <w:tcPr>
            <w:tcW w:type="dxa" w:w="2484"/>
            <w:vAlign w:val="center"/>
          </w:tcPr>
          <w:p>
            <w:r>
              <w:t>Credentials were embedded without percent-encoding.</w:t>
            </w:r>
          </w:p>
        </w:tc>
        <w:tc>
          <w:tcPr>
            <w:tcW w:type="dxa" w:w="2484"/>
            <w:vAlign w:val="center"/>
          </w:tcPr>
          <w:p>
            <w:r>
              <w:t>urllib.parse.quote(..., safe='') encodes reserved credential characters.</w:t>
            </w:r>
          </w:p>
        </w:tc>
        <w:tc>
          <w:tcPr>
            <w:tcW w:type="dxa" w:w="2484"/>
            <w:vAlign w:val="center"/>
          </w:tcPr>
          <w:p>
            <w:r>
              <w:t>Support valid complex credentials without malformed URLs.</w:t>
            </w:r>
          </w:p>
        </w:tc>
      </w:tr>
      <w:tr>
        <w:tc>
          <w:tcPr>
            <w:tcW w:type="dxa" w:w="2484"/>
            <w:vAlign w:val="center"/>
          </w:tcPr>
          <w:p>
            <w:r>
              <w:t>Empty health set</w:t>
            </w:r>
          </w:p>
        </w:tc>
        <w:tc>
          <w:tcPr>
            <w:tcW w:type="dxa" w:w="2484"/>
            <w:vAlign w:val="center"/>
          </w:tcPr>
          <w:p>
            <w:r>
              <w:t>SystemHealth([]) returned OK.</w:t>
            </w:r>
          </w:p>
        </w:tc>
        <w:tc>
          <w:tcPr>
            <w:tcW w:type="dxa" w:w="2484"/>
            <w:vAlign w:val="center"/>
          </w:tcPr>
          <w:p>
            <w:r>
              <w:t>SystemHealth([]) returns UNKNOWN; a single unknown probe still rolls up to DEGRADED.</w:t>
            </w:r>
          </w:p>
        </w:tc>
        <w:tc>
          <w:tcPr>
            <w:tcW w:type="dxa" w:w="2484"/>
            <w:vAlign w:val="center"/>
          </w:tcPr>
          <w:p>
            <w:r>
              <w:t>Avoid false-positive readiness.</w:t>
            </w:r>
          </w:p>
        </w:tc>
      </w:tr>
      <w:tr>
        <w:tc>
          <w:tcPr>
            <w:tcW w:type="dxa" w:w="2484"/>
            <w:vAlign w:val="center"/>
          </w:tcPr>
          <w:p>
            <w:r>
              <w:t>Host exposure</w:t>
            </w:r>
          </w:p>
        </w:tc>
        <w:tc>
          <w:tcPr>
            <w:tcW w:type="dxa" w:w="2484"/>
            <w:vAlign w:val="center"/>
          </w:tcPr>
          <w:p>
            <w:r>
              <w:t>Database ports were published broadly.</w:t>
            </w:r>
          </w:p>
        </w:tc>
        <w:tc>
          <w:tcPr>
            <w:tcW w:type="dxa" w:w="2484"/>
            <w:vAlign w:val="center"/>
          </w:tcPr>
          <w:p>
            <w:r>
              <w:t>PostgreSQL, Redis, and Neo4j host ports bind to 127.0.0.1 by default.</w:t>
            </w:r>
          </w:p>
        </w:tc>
        <w:tc>
          <w:tcPr>
            <w:tcW w:type="dxa" w:w="2484"/>
            <w:vAlign w:val="center"/>
          </w:tcPr>
          <w:p>
            <w:r>
              <w:t>Reduce accidental LAN exposure in development.</w:t>
            </w:r>
          </w:p>
        </w:tc>
      </w:tr>
      <w:tr>
        <w:tc>
          <w:tcPr>
            <w:tcW w:type="dxa" w:w="2484"/>
            <w:vAlign w:val="center"/>
          </w:tcPr>
          <w:p>
            <w:r>
              <w:t>Image reproducibility</w:t>
            </w:r>
          </w:p>
        </w:tc>
        <w:tc>
          <w:tcPr>
            <w:tcW w:type="dxa" w:w="2484"/>
            <w:vAlign w:val="center"/>
          </w:tcPr>
          <w:p>
            <w:r>
              <w:t>Moving major tags such as postgres:16-alpine were used.</w:t>
            </w:r>
          </w:p>
        </w:tc>
        <w:tc>
          <w:tcPr>
            <w:tcW w:type="dxa" w:w="2484"/>
            <w:vAlign w:val="center"/>
          </w:tcPr>
          <w:p>
            <w:r>
              <w:t>Images are pinned to PostgreSQL 16.4, Redis 7.4, and Neo4j 5.24 tags.</w:t>
            </w:r>
          </w:p>
        </w:tc>
        <w:tc>
          <w:tcPr>
            <w:tcW w:type="dxa" w:w="2484"/>
            <w:vAlign w:val="center"/>
          </w:tcPr>
          <w:p>
            <w:r>
              <w:t>Make local rebuilds more predictable.</w:t>
            </w:r>
          </w:p>
        </w:tc>
      </w:tr>
      <w:tr>
        <w:tc>
          <w:tcPr>
            <w:tcW w:type="dxa" w:w="2484"/>
            <w:vAlign w:val="center"/>
          </w:tcPr>
          <w:p>
            <w:r>
              <w:t>Regression coverage</w:t>
            </w:r>
          </w:p>
        </w:tc>
        <w:tc>
          <w:tcPr>
            <w:tcW w:type="dxa" w:w="2484"/>
            <w:vAlign w:val="center"/>
          </w:tcPr>
          <w:p>
            <w:r>
              <w:t>Original suite contained 31 tests.</w:t>
            </w:r>
          </w:p>
        </w:tc>
        <w:tc>
          <w:tcPr>
            <w:tcW w:type="dxa" w:w="2484"/>
            <w:vAlign w:val="center"/>
          </w:tcPr>
          <w:p>
            <w:r>
              <w:t>Suite contains 55 tests, including security and edge-case regressions.</w:t>
            </w:r>
          </w:p>
        </w:tc>
        <w:tc>
          <w:tcPr>
            <w:tcW w:type="dxa" w:w="2484"/>
            <w:vAlign w:val="center"/>
          </w:tcPr>
          <w:p>
            <w:r>
              <w:t>Make each hardening decision executable and reviewable.</w:t>
            </w:r>
          </w:p>
        </w:tc>
      </w:tr>
    </w:tbl>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F4E78"/>
            <w:vAlign w:val="center"/>
          </w:tcPr>
          <w:p>
            <w:r>
              <w:rPr>
                <w:b/>
                <w:color w:val="FFFFFF"/>
              </w:rPr>
              <w:t>Command</w:t>
            </w:r>
          </w:p>
        </w:tc>
        <w:tc>
          <w:tcPr>
            <w:tcW w:type="dxa" w:w="3312"/>
            <w:shd w:fill="1F4E78"/>
            <w:vAlign w:val="center"/>
          </w:tcPr>
          <w:p>
            <w:r>
              <w:rPr>
                <w:b/>
                <w:color w:val="FFFFFF"/>
              </w:rPr>
              <w:t>Actual result</w:t>
            </w:r>
          </w:p>
        </w:tc>
        <w:tc>
          <w:tcPr>
            <w:tcW w:type="dxa" w:w="3312"/>
            <w:shd w:fill="1F4E78"/>
            <w:vAlign w:val="center"/>
          </w:tcPr>
          <w:p>
            <w:r>
              <w:rPr>
                <w:b/>
                <w:color w:val="FFFFFF"/>
              </w:rPr>
              <w:t>Interpretation</w:t>
            </w:r>
          </w:p>
        </w:tc>
      </w:tr>
      <w:tr>
        <w:tc>
          <w:tcPr>
            <w:tcW w:type="dxa" w:w="3312"/>
            <w:vAlign w:val="center"/>
          </w:tcPr>
          <w:p>
            <w:r>
              <w:t>.\.venv\Scripts\python.exe -m pytest -q</w:t>
            </w:r>
          </w:p>
        </w:tc>
        <w:tc>
          <w:tcPr>
            <w:tcW w:type="dxa" w:w="3312"/>
            <w:vAlign w:val="center"/>
          </w:tcPr>
          <w:p>
            <w:r>
              <w:t>55 passed in 0.42s</w:t>
            </w:r>
          </w:p>
        </w:tc>
        <w:tc>
          <w:tcPr>
            <w:tcW w:type="dxa" w:w="3312"/>
            <w:vAlign w:val="center"/>
          </w:tcPr>
          <w:p>
            <w:r>
              <w:t>All available unit tests passed in the local Python 3.12.1 environment.</w:t>
            </w:r>
          </w:p>
        </w:tc>
      </w:tr>
      <w:tr>
        <w:tc>
          <w:tcPr>
            <w:tcW w:type="dxa" w:w="3312"/>
            <w:vAlign w:val="center"/>
          </w:tcPr>
          <w:p>
            <w:r>
              <w:t>docker compose config --quiet</w:t>
            </w:r>
          </w:p>
        </w:tc>
        <w:tc>
          <w:tcPr>
            <w:tcW w:type="dxa" w:w="3312"/>
            <w:vAlign w:val="center"/>
          </w:tcPr>
          <w:p>
            <w:r>
              <w:t>Exit code 1; required-variable errors for NEO4J_PASSWORD, POSTGRES_PASSWORD, and REDIS_PASSWORD.</w:t>
            </w:r>
          </w:p>
        </w:tc>
        <w:tc>
          <w:tcPr>
            <w:tcW w:type="dxa" w:w="3312"/>
            <w:vAlign w:val="center"/>
          </w:tcPr>
          <w:p>
            <w:r>
              <w:t>Expected fail-closed behavior when .env credentials are absent. Compose syntax was not validated with a populated .env.</w:t>
            </w:r>
          </w:p>
        </w:tc>
      </w:tr>
      <w:tr>
        <w:tc>
          <w:tcPr>
            <w:tcW w:type="dxa" w:w="3312"/>
            <w:vAlign w:val="center"/>
          </w:tcPr>
          <w:p>
            <w:r>
              <w:t>Docker service startup</w:t>
            </w:r>
          </w:p>
        </w:tc>
        <w:tc>
          <w:tcPr>
            <w:tcW w:type="dxa" w:w="3312"/>
            <w:vAlign w:val="center"/>
          </w:tcPr>
          <w:p>
            <w:r>
              <w:t>Not run</w:t>
            </w:r>
          </w:p>
        </w:tc>
        <w:tc>
          <w:tcPr>
            <w:tcW w:type="dxa" w:w="3312"/>
            <w:vAlign w:val="center"/>
          </w:tcPr>
          <w:p>
            <w:r>
              <w:t>No claim is made that PostgreSQL, Redis, or Neo4j started or became healthy.</w:t>
            </w:r>
          </w:p>
        </w:tc>
      </w:tr>
      <w:tr>
        <w:tc>
          <w:tcPr>
            <w:tcW w:type="dxa" w:w="3312"/>
            <w:vAlign w:val="center"/>
          </w:tcPr>
          <w:p>
            <w:r>
              <w:t>Wazuh/MISP integration</w:t>
            </w:r>
          </w:p>
        </w:tc>
        <w:tc>
          <w:tcPr>
            <w:tcW w:type="dxa" w:w="3312"/>
            <w:vAlign w:val="center"/>
          </w:tcPr>
          <w:p>
            <w:r>
              <w:t>Not run</w:t>
            </w:r>
          </w:p>
        </w:tc>
        <w:tc>
          <w:tcPr>
            <w:tcW w:type="dxa" w:w="3312"/>
            <w:vAlign w:val="center"/>
          </w:tcPr>
          <w:p>
            <w:r>
              <w:t>TLS policy was unit-tested at the settings layer only; no external integration was verified.</w:t>
            </w:r>
          </w:p>
        </w:tc>
      </w:tr>
      <w:tr>
        <w:tc>
          <w:tcPr>
            <w:tcW w:type="dxa" w:w="3312"/>
            <w:vAlign w:val="center"/>
          </w:tcPr>
          <w:p>
            <w:r>
              <w:t>Ruff / mypy</w:t>
            </w:r>
          </w:p>
        </w:tc>
        <w:tc>
          <w:tcPr>
            <w:tcW w:type="dxa" w:w="3312"/>
            <w:vAlign w:val="center"/>
          </w:tcPr>
          <w:p>
            <w:r>
              <w:t>Not run successfully; tools unavailable in the local environment.</w:t>
            </w:r>
          </w:p>
        </w:tc>
        <w:tc>
          <w:tcPr>
            <w:tcW w:type="dxa" w:w="3312"/>
            <w:vAlign w:val="center"/>
          </w:tcPr>
          <w:p>
            <w:r>
              <w:t>No lint or type-check pass is claimed.</w:t>
            </w:r>
          </w:p>
        </w:tc>
      </w:tr>
    </w:tbl>
    <w:p/>
    <w:tbl>
      <w:tblPr>
        <w:tblStyle w:val="LightShading-Accent1"/>
        <w:tblW w:type="auto" w:w="0"/>
        <w:jc w:val="center"/>
        <w:tblLook w:firstColumn="1" w:firstRow="1" w:lastColumn="0" w:lastRow="0" w:noHBand="0" w:noVBand="1" w:val="04A0"/>
      </w:tblPr>
      <w:tblGrid>
        <w:gridCol w:w="4968"/>
        <w:gridCol w:w="4968"/>
      </w:tblGrid>
      <w:tr>
        <w:tc>
          <w:tcPr>
            <w:tcW w:type="dxa" w:w="4968"/>
            <w:shd w:fill="1F4E78"/>
            <w:vAlign w:val="center"/>
          </w:tcPr>
          <w:p>
            <w:r>
              <w:rPr>
                <w:b/>
                <w:color w:val="FFFFFF"/>
              </w:rPr>
              <w:t>Control</w:t>
            </w:r>
          </w:p>
        </w:tc>
        <w:tc>
          <w:tcPr>
            <w:tcW w:type="dxa" w:w="4968"/>
            <w:shd w:fill="1F4E78"/>
            <w:vAlign w:val="center"/>
          </w:tcPr>
          <w:p>
            <w:r>
              <w:rPr>
                <w:b/>
                <w:color w:val="FFFFFF"/>
              </w:rPr>
              <w:t>Current status</w:t>
            </w:r>
          </w:p>
        </w:tc>
      </w:tr>
      <w:tr>
        <w:tc>
          <w:tcPr>
            <w:tcW w:type="dxa" w:w="4968"/>
            <w:vAlign w:val="center"/>
          </w:tcPr>
          <w:p>
            <w:r>
              <w:t>Secret storage and redaction</w:t>
            </w:r>
          </w:p>
        </w:tc>
        <w:tc>
          <w:tcPr>
            <w:tcW w:type="dxa" w:w="4968"/>
            <w:vAlign w:val="center"/>
          </w:tcPr>
          <w:p>
            <w:r>
              <w:t>Implemented in settings and .gitignore; credential-bearing URL helpers must still never be logged.</w:t>
            </w:r>
          </w:p>
        </w:tc>
      </w:tr>
      <w:tr>
        <w:tc>
          <w:tcPr>
            <w:tcW w:type="dxa" w:w="4968"/>
            <w:vAlign w:val="center"/>
          </w:tcPr>
          <w:p>
            <w:r>
              <w:t>TLS defaults</w:t>
            </w:r>
          </w:p>
        </w:tc>
        <w:tc>
          <w:tcPr>
            <w:tcW w:type="dxa" w:w="4968"/>
            <w:vAlign w:val="center"/>
          </w:tcPr>
          <w:p>
            <w:r>
              <w:t>Implemented and covered by unit tests; actual Wazuh/MISP connections unverified.</w:t>
            </w:r>
          </w:p>
        </w:tc>
      </w:tr>
      <w:tr>
        <w:tc>
          <w:tcPr>
            <w:tcW w:type="dxa" w:w="4968"/>
            <w:vAlign w:val="center"/>
          </w:tcPr>
          <w:p>
            <w:r>
              <w:t>Compose missing-secret behavior</w:t>
            </w:r>
          </w:p>
        </w:tc>
        <w:tc>
          <w:tcPr>
            <w:tcW w:type="dxa" w:w="4968"/>
            <w:vAlign w:val="center"/>
          </w:tcPr>
          <w:p>
            <w:r>
              <w:t>Implemented and verified by expected non-zero validation result.</w:t>
            </w:r>
          </w:p>
        </w:tc>
      </w:tr>
      <w:tr>
        <w:tc>
          <w:tcPr>
            <w:tcW w:type="dxa" w:w="4968"/>
            <w:vAlign w:val="center"/>
          </w:tcPr>
          <w:p>
            <w:r>
              <w:t>Local port boundary</w:t>
            </w:r>
          </w:p>
        </w:tc>
        <w:tc>
          <w:tcPr>
            <w:tcW w:type="dxa" w:w="4968"/>
            <w:vAlign w:val="center"/>
          </w:tcPr>
          <w:p>
            <w:r>
              <w:t>Implemented in Compose; no live network scan performed.</w:t>
            </w:r>
          </w:p>
        </w:tc>
      </w:tr>
      <w:tr>
        <w:tc>
          <w:tcPr>
            <w:tcW w:type="dxa" w:w="4968"/>
            <w:vAlign w:val="center"/>
          </w:tcPr>
          <w:p>
            <w:r>
              <w:t>Deterministic guardrail</w:t>
            </w:r>
          </w:p>
        </w:tc>
        <w:tc>
          <w:tcPr>
            <w:tcW w:type="dxa" w:w="4968"/>
            <w:vAlign w:val="center"/>
          </w:tcPr>
          <w:p>
            <w:r>
              <w:t>Planned; not implemented in Phase 0.</w:t>
            </w:r>
          </w:p>
        </w:tc>
      </w:tr>
      <w:tr>
        <w:tc>
          <w:tcPr>
            <w:tcW w:type="dxa" w:w="4968"/>
            <w:vAlign w:val="center"/>
          </w:tcPr>
          <w:p>
            <w:r>
              <w:t>Human approval before action</w:t>
            </w:r>
          </w:p>
        </w:tc>
        <w:tc>
          <w:tcPr>
            <w:tcW w:type="dxa" w:w="4968"/>
            <w:vAlign w:val="center"/>
          </w:tcPr>
          <w:p>
            <w:r>
              <w:t>Planned; not implemented in Phase 0.</w:t>
            </w:r>
          </w:p>
        </w:tc>
      </w:tr>
    </w:tbl>
    <w:p/>
    <w:tbl>
      <w:tblPr>
        <w:tblStyle w:val="LightShading-Accent1"/>
        <w:tblW w:type="auto" w:w="0"/>
        <w:jc w:val="center"/>
        <w:tblLook w:firstColumn="1" w:firstRow="1" w:lastColumn="0" w:lastRow="0" w:noHBand="0" w:noVBand="1" w:val="04A0"/>
      </w:tblPr>
      <w:tblGrid>
        <w:gridCol w:w="4968"/>
        <w:gridCol w:w="4968"/>
      </w:tblGrid>
      <w:tr>
        <w:tc>
          <w:tcPr>
            <w:tcW w:type="dxa" w:w="4968"/>
            <w:shd w:fill="1F4E78"/>
            <w:vAlign w:val="center"/>
          </w:tcPr>
          <w:p>
            <w:r>
              <w:rPr>
                <w:b/>
                <w:color w:val="FFFFFF"/>
              </w:rPr>
              <w:t>Status</w:t>
            </w:r>
          </w:p>
        </w:tc>
        <w:tc>
          <w:tcPr>
            <w:tcW w:type="dxa" w:w="4968"/>
            <w:shd w:fill="1F4E78"/>
            <w:vAlign w:val="center"/>
          </w:tcPr>
          <w:p>
            <w:r>
              <w:rPr>
                <w:b/>
                <w:color w:val="FFFFFF"/>
              </w:rPr>
              <w:t>Items</w:t>
            </w:r>
          </w:p>
        </w:tc>
      </w:tr>
      <w:tr>
        <w:tc>
          <w:tcPr>
            <w:tcW w:type="dxa" w:w="4968"/>
            <w:vAlign w:val="center"/>
          </w:tcPr>
          <w:p>
            <w:r>
              <w:t>Implemented and verified</w:t>
            </w:r>
          </w:p>
        </w:tc>
        <w:tc>
          <w:tcPr>
            <w:tcW w:type="dxa" w:w="4968"/>
            <w:vAlign w:val="center"/>
          </w:tcPr>
          <w:p>
            <w:r>
              <w:t>Security hardening for all seven findings; secure TLS defaults and production gates; encoded connection URLs; UNKNOWN empty health; fail-closed Compose variables; localhost bindings; pinned minor image tags; 55 unit tests passing.</w:t>
            </w:r>
          </w:p>
        </w:tc>
      </w:tr>
      <w:tr>
        <w:tc>
          <w:tcPr>
            <w:tcW w:type="dxa" w:w="4968"/>
            <w:vAlign w:val="center"/>
          </w:tcPr>
          <w:p>
            <w:r>
              <w:t>Implemented but integration-unverified</w:t>
            </w:r>
          </w:p>
        </w:tc>
        <w:tc>
          <w:tcPr>
            <w:tcW w:type="dxa" w:w="4968"/>
            <w:vAlign w:val="center"/>
          </w:tcPr>
          <w:p>
            <w:r>
              <w:t>Compose service definitions; Redis AOF and healthcheck; PostgreSQL/Redis/Neo4j connectivity; Wazuh/MISP settings policy; JSON logging behavior.</w:t>
            </w:r>
          </w:p>
        </w:tc>
      </w:tr>
      <w:tr>
        <w:tc>
          <w:tcPr>
            <w:tcW w:type="dxa" w:w="4968"/>
            <w:vAlign w:val="center"/>
          </w:tcPr>
          <w:p>
            <w:r>
              <w:t>Planned for later phases</w:t>
            </w:r>
          </w:p>
        </w:tc>
        <w:tc>
          <w:tcPr>
            <w:tcW w:type="dxa" w:w="4968"/>
            <w:vAlign w:val="center"/>
          </w:tcPr>
          <w:p>
            <w:r>
              <w:t>Database schema and migrations; Neo4j graph constraints/query layer; Wazuh ingestion; OCSF normalization; entity resolution; enrichment; deterministic guardrail; approval queue; LangGraph; API; dashboard; simulation.</w:t>
            </w:r>
          </w:p>
        </w:tc>
      </w:tr>
      <w:tr>
        <w:tc>
          <w:tcPr>
            <w:tcW w:type="dxa" w:w="4968"/>
            <w:vAlign w:val="center"/>
          </w:tcPr>
          <w:p>
            <w:r>
              <w:t>Still recommended</w:t>
            </w:r>
          </w:p>
        </w:tc>
        <w:tc>
          <w:tcPr>
            <w:tcW w:type="dxa" w:w="4968"/>
            <w:vAlign w:val="center"/>
          </w:tcPr>
          <w:p>
            <w:r>
              <w:t>Run Compose with a populated local .env; install and run Ruff/mypy; start services and execute smoke tests; pin image digests; decide whether to replace extra='ignore'; add CI and coverage enforcement.</w:t>
            </w:r>
          </w:p>
        </w:tc>
      </w:tr>
    </w:tbl>
    <w:p/>
    <w:p>
      <w:r>
        <w:br w:type="page"/>
      </w:r>
    </w:p>
    <w:p>
      <w:pPr>
        <w:pStyle w:val="Heading1"/>
      </w:pPr>
      <w:r>
        <w:t>Latest verification update</w:t>
      </w:r>
    </w:p>
    <w:p>
      <w:r>
        <w:t>Verification date: 17 October 2026</w:t>
      </w:r>
    </w:p>
    <w:p>
      <w:r>
        <w:t>This update records the latest verified repository and environment results. It does not replace the original design explanation or the remediation addendum. Results are deliberately separated into verified, pending, and unverified categories.</w:t>
      </w:r>
    </w:p>
    <w:p>
      <w:pPr>
        <w:pStyle w:val="Heading2"/>
      </w:pPr>
      <w:r>
        <w:t>1. Latest verified results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F4E78"/>
            <w:vAlign w:val="center"/>
          </w:tcPr>
          <w:p>
            <w:r>
              <w:rPr>
                <w:b/>
                <w:color w:val="FFFFFF"/>
              </w:rPr>
              <w:t>Check</w:t>
            </w:r>
          </w:p>
        </w:tc>
        <w:tc>
          <w:tcPr>
            <w:tcW w:type="dxa" w:w="3312"/>
            <w:shd w:fill="1F4E78"/>
            <w:vAlign w:val="center"/>
          </w:tcPr>
          <w:p>
            <w:r>
              <w:rPr>
                <w:b/>
                <w:color w:val="FFFFFF"/>
              </w:rPr>
              <w:t>Result</w:t>
            </w:r>
          </w:p>
        </w:tc>
        <w:tc>
          <w:tcPr>
            <w:tcW w:type="dxa" w:w="3312"/>
            <w:shd w:fill="1F4E78"/>
            <w:vAlign w:val="center"/>
          </w:tcPr>
          <w:p>
            <w:r>
              <w:rPr>
                <w:b/>
                <w:color w:val="FFFFFF"/>
              </w:rPr>
              <w:t>Status and interpretation</w:t>
            </w:r>
          </w:p>
        </w:tc>
      </w:tr>
      <w:tr>
        <w:tc>
          <w:tcPr>
            <w:tcW w:type="dxa" w:w="3312"/>
            <w:vAlign w:val="center"/>
          </w:tcPr>
          <w:p>
            <w:r>
              <w:t>pytest</w:t>
            </w:r>
          </w:p>
        </w:tc>
        <w:tc>
          <w:tcPr>
            <w:tcW w:type="dxa" w:w="3312"/>
            <w:vAlign w:val="center"/>
          </w:tcPr>
          <w:p>
            <w:r>
              <w:t>55 passed in 0.37 seconds in the current run.</w:t>
            </w:r>
          </w:p>
        </w:tc>
        <w:tc>
          <w:tcPr>
            <w:tcW w:type="dxa" w:w="3312"/>
            <w:vAlign w:val="center"/>
          </w:tcPr>
          <w:p>
            <w:r>
              <w:t>VERIFIED. This is the latest observed result; the user-provided 0.47-second result is also consistent with a passing run.</w:t>
            </w:r>
          </w:p>
        </w:tc>
      </w:tr>
      <w:tr>
        <w:tc>
          <w:tcPr>
            <w:tcW w:type="dxa" w:w="3312"/>
            <w:vAlign w:val="center"/>
          </w:tcPr>
          <w:p>
            <w:r>
              <w:t>Ruff</w:t>
            </w:r>
          </w:p>
        </w:tc>
        <w:tc>
          <w:tcPr>
            <w:tcW w:type="dxa" w:w="3312"/>
            <w:vAlign w:val="center"/>
          </w:tcPr>
          <w:p>
            <w:r>
              <w:t>All checks passed!</w:t>
            </w:r>
          </w:p>
        </w:tc>
        <w:tc>
          <w:tcPr>
            <w:tcW w:type="dxa" w:w="3312"/>
            <w:vAlign w:val="center"/>
          </w:tcPr>
          <w:p>
            <w:r>
              <w:t>VERIFIED using the repository virtual environment.</w:t>
            </w:r>
          </w:p>
        </w:tc>
      </w:tr>
      <w:tr>
        <w:tc>
          <w:tcPr>
            <w:tcW w:type="dxa" w:w="3312"/>
            <w:vAlign w:val="center"/>
          </w:tcPr>
          <w:p>
            <w:r>
              <w:t>mypy</w:t>
            </w:r>
          </w:p>
        </w:tc>
        <w:tc>
          <w:tcPr>
            <w:tcW w:type="dxa" w:w="3312"/>
            <w:vAlign w:val="center"/>
          </w:tcPr>
          <w:p>
            <w:r>
              <w:t>Success: no issues found in 10 source files.</w:t>
            </w:r>
          </w:p>
        </w:tc>
        <w:tc>
          <w:tcPr>
            <w:tcW w:type="dxa" w:w="3312"/>
            <w:vAlign w:val="center"/>
          </w:tcPr>
          <w:p>
            <w:r>
              <w:t>VERIFIED using the repository virtual environment.</w:t>
            </w:r>
          </w:p>
        </w:tc>
      </w:tr>
      <w:tr>
        <w:tc>
          <w:tcPr>
            <w:tcW w:type="dxa" w:w="3312"/>
            <w:vAlign w:val="center"/>
          </w:tcPr>
          <w:p>
            <w:r>
              <w:t>docker compose config --quiet</w:t>
            </w:r>
          </w:p>
        </w:tc>
        <w:tc>
          <w:tcPr>
            <w:tcW w:type="dxa" w:w="3312"/>
            <w:vAlign w:val="center"/>
          </w:tcPr>
          <w:p>
            <w:r>
              <w:t>Exit code 0 with the configured environment.</w:t>
            </w:r>
          </w:p>
        </w:tc>
        <w:tc>
          <w:tcPr>
            <w:tcW w:type="dxa" w:w="3312"/>
            <w:vAlign w:val="center"/>
          </w:tcPr>
          <w:p>
            <w:r>
              <w:t>VERIFIED. This validates rendered Compose configuration, not service health by itself.</w:t>
            </w:r>
          </w:p>
        </w:tc>
      </w:tr>
      <w:tr>
        <w:tc>
          <w:tcPr>
            <w:tcW w:type="dxa" w:w="3312"/>
            <w:vAlign w:val="center"/>
          </w:tcPr>
          <w:p>
            <w:r>
              <w:t>Docker container health</w:t>
            </w:r>
          </w:p>
        </w:tc>
        <w:tc>
          <w:tcPr>
            <w:tcW w:type="dxa" w:w="3312"/>
            <w:vAlign w:val="center"/>
          </w:tcPr>
          <w:p>
            <w:r>
              <w:t>PostgreSQL, Redis, and Neo4j were running and reported healthy in the current docker compose ps check.</w:t>
            </w:r>
          </w:p>
        </w:tc>
        <w:tc>
          <w:tcPr>
            <w:tcW w:type="dxa" w:w="3312"/>
            <w:vAlign w:val="center"/>
          </w:tcPr>
          <w:p>
            <w:r>
              <w:t>VERIFIED at this check time. Health can change after the check.</w:t>
            </w:r>
          </w:p>
        </w:tc>
      </w:tr>
      <w:tr>
        <w:tc>
          <w:tcPr>
            <w:tcW w:type="dxa" w:w="3312"/>
            <w:vAlign w:val="center"/>
          </w:tcPr>
          <w:p>
            <w:r>
              <w:t>Editable package status</w:t>
            </w:r>
          </w:p>
        </w:tc>
        <w:tc>
          <w:tcPr>
            <w:tcW w:type="dxa" w:w="3312"/>
            <w:vAlign w:val="center"/>
          </w:tcPr>
          <w:p>
            <w:r>
              <w:t>pip show reports threatfusion-ai 0.1.0 with Editable project location set to the repository.</w:t>
            </w:r>
          </w:p>
        </w:tc>
        <w:tc>
          <w:tcPr>
            <w:tcW w:type="dxa" w:w="3312"/>
            <w:vAlign w:val="center"/>
          </w:tcPr>
          <w:p>
            <w:r>
              <w:t>CURRENT STATUS VERIFIED. The prior Windows error-32 installation attempt was not rerun in this update.</w:t>
            </w:r>
          </w:p>
        </w:tc>
      </w:tr>
    </w:tbl>
    <w:p/>
    <w:p>
      <w:r>
        <w:t>The current container check showed all three services healthy, including Neo4j. This is a verified point-in-time observation, not a guarantee of future availability or of application-level connectivity.</w:t>
      </w:r>
    </w:p>
    <w:p>
      <w:pPr>
        <w:pStyle w:val="Heading2"/>
      </w:pPr>
      <w:r>
        <w:t>2. Commands used</w:t>
      </w:r>
    </w:p>
    <w:p>
      <w:r>
        <w:rPr>
          <w:i/>
          <w:color w:val="595959"/>
          <w:sz w:val="18"/>
        </w:rPr>
        <w:t>Validation commands used for this update</w:t>
      </w:r>
    </w:p>
    <w:p>
      <w:pPr>
        <w:pStyle w:val="CodeBlock"/>
      </w:pPr>
      <w:r>
        <w:t>.\.venv\Scripts\python.exe -m pytest -q</w:t>
        <w:br/>
        <w:t>.\.venv\Scripts\python.exe -m ruff check .</w:t>
        <w:br/>
        <w:t>.\.venv\Scripts\python.exe -m mypy core tests</w:t>
        <w:br/>
        <w:t>docker compose config --quiet</w:t>
        <w:br/>
        <w:t>docker compose ps --format json</w:t>
        <w:br/>
        <w:t>.\.venv\Scripts\pip.exe show threatfusion-ai</w:t>
      </w:r>
    </w:p>
    <w:p>
      <w:r>
        <w:t>No passwords, tokens, private keys, or .env contents are included in this guide. Compose validation and container status were inspected without reproducing credential values.</w:t>
      </w:r>
    </w:p>
    <w:p>
      <w:pPr>
        <w:pStyle w:val="Heading2"/>
      </w:pPr>
      <w:r>
        <w:t>3. Pending and unverified checks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F4E78"/>
            <w:vAlign w:val="center"/>
          </w:tcPr>
          <w:p>
            <w:r>
              <w:rPr>
                <w:b/>
                <w:color w:val="FFFFFF"/>
              </w:rPr>
              <w:t>Item</w:t>
            </w:r>
          </w:p>
        </w:tc>
        <w:tc>
          <w:tcPr>
            <w:tcW w:type="dxa" w:w="3312"/>
            <w:shd w:fill="1F4E78"/>
            <w:vAlign w:val="center"/>
          </w:tcPr>
          <w:p>
            <w:r>
              <w:rPr>
                <w:b/>
                <w:color w:val="FFFFFF"/>
              </w:rPr>
              <w:t>Status</w:t>
            </w:r>
          </w:p>
        </w:tc>
        <w:tc>
          <w:tcPr>
            <w:tcW w:type="dxa" w:w="3312"/>
            <w:shd w:fill="1F4E78"/>
            <w:vAlign w:val="center"/>
          </w:tcPr>
          <w:p>
            <w:r>
              <w:rPr>
                <w:b/>
                <w:color w:val="FFFFFF"/>
              </w:rPr>
              <w:t>What remains</w:t>
            </w:r>
          </w:p>
        </w:tc>
      </w:tr>
      <w:tr>
        <w:tc>
          <w:tcPr>
            <w:tcW w:type="dxa" w:w="3312"/>
            <w:vAlign w:val="center"/>
          </w:tcPr>
          <w:p>
            <w:r>
              <w:t>Editable installation command</w:t>
            </w:r>
          </w:p>
        </w:tc>
        <w:tc>
          <w:tcPr>
            <w:tcW w:type="dxa" w:w="3312"/>
            <w:vAlign w:val="center"/>
          </w:tcPr>
          <w:p>
            <w:r>
              <w:t>PENDING</w:t>
            </w:r>
          </w:p>
        </w:tc>
        <w:tc>
          <w:tcPr>
            <w:tcW w:type="dxa" w:w="3312"/>
            <w:vAlign w:val="center"/>
          </w:tcPr>
          <w:p>
            <w:r>
              <w:t>The current package is installed editable, but the prior pip install -e attempt that produced Windows error 32 was not rerun. Re-run the installation in a controlled environment to confirm whether the original failure is resolved.</w:t>
            </w:r>
          </w:p>
        </w:tc>
      </w:tr>
      <w:tr>
        <w:tc>
          <w:tcPr>
            <w:tcW w:type="dxa" w:w="3312"/>
            <w:vAlign w:val="center"/>
          </w:tcPr>
          <w:p>
            <w:r>
              <w:t>Docker lifecycle stability</w:t>
            </w:r>
          </w:p>
        </w:tc>
        <w:tc>
          <w:tcPr>
            <w:tcW w:type="dxa" w:w="3312"/>
            <w:vAlign w:val="center"/>
          </w:tcPr>
          <w:p>
            <w:r>
              <w:t>UNVERIFIED</w:t>
            </w:r>
          </w:p>
        </w:tc>
        <w:tc>
          <w:tcPr>
            <w:tcW w:type="dxa" w:w="3312"/>
            <w:vAlign w:val="center"/>
          </w:tcPr>
          <w:p>
            <w:r>
              <w:t>Containers were observed healthy at one point; restart behavior, persistence, and health after a clean recreate were not tested in this update.</w:t>
            </w:r>
          </w:p>
        </w:tc>
      </w:tr>
      <w:tr>
        <w:tc>
          <w:tcPr>
            <w:tcW w:type="dxa" w:w="3312"/>
            <w:vAlign w:val="center"/>
          </w:tcPr>
          <w:p>
            <w:r>
              <w:t>Application-level database connectivity</w:t>
            </w:r>
          </w:p>
        </w:tc>
        <w:tc>
          <w:tcPr>
            <w:tcW w:type="dxa" w:w="3312"/>
            <w:vAlign w:val="center"/>
          </w:tcPr>
          <w:p>
            <w:r>
              <w:t>UNVERIFIED</w:t>
            </w:r>
          </w:p>
        </w:tc>
        <w:tc>
          <w:tcPr>
            <w:tcW w:type="dxa" w:w="3312"/>
            <w:vAlign w:val="center"/>
          </w:tcPr>
          <w:p>
            <w:r>
              <w:t>No PostgreSQL, Redis, or Neo4j client code exists in Phase 0 to prove an application connection.</w:t>
            </w:r>
          </w:p>
        </w:tc>
      </w:tr>
      <w:tr>
        <w:tc>
          <w:tcPr>
            <w:tcW w:type="dxa" w:w="3312"/>
            <w:vAlign w:val="center"/>
          </w:tcPr>
          <w:p>
            <w:r>
              <w:t>Wazuh/MISP live integrations</w:t>
            </w:r>
          </w:p>
        </w:tc>
        <w:tc>
          <w:tcPr>
            <w:tcW w:type="dxa" w:w="3312"/>
            <w:vAlign w:val="center"/>
          </w:tcPr>
          <w:p>
            <w:r>
              <w:t>UNVERIFIED</w:t>
            </w:r>
          </w:p>
        </w:tc>
        <w:tc>
          <w:tcPr>
            <w:tcW w:type="dxa" w:w="3312"/>
            <w:vAlign w:val="center"/>
          </w:tcPr>
          <w:p>
            <w:r>
              <w:t>TLS policy is unit-tested at settings level, but no live external clients were run.</w:t>
            </w:r>
          </w:p>
        </w:tc>
      </w:tr>
      <w:tr>
        <w:tc>
          <w:tcPr>
            <w:tcW w:type="dxa" w:w="3312"/>
            <w:vAlign w:val="center"/>
          </w:tcPr>
          <w:p>
            <w:r>
              <w:t>Production deployment and CI</w:t>
            </w:r>
          </w:p>
        </w:tc>
        <w:tc>
          <w:tcPr>
            <w:tcW w:type="dxa" w:w="3312"/>
            <w:vAlign w:val="center"/>
          </w:tcPr>
          <w:p>
            <w:r>
              <w:t>UNVERIFIED</w:t>
            </w:r>
          </w:p>
        </w:tc>
        <w:tc>
          <w:tcPr>
            <w:tcW w:type="dxa" w:w="3312"/>
            <w:vAlign w:val="center"/>
          </w:tcPr>
          <w:p>
            <w:r>
              <w:t>No production deployment, CI pipeline run, image-digest verification, or coverage threshold was verified.</w:t>
            </w:r>
          </w:p>
        </w:tc>
      </w:tr>
    </w:tbl>
    <w:p/>
    <w:p>
      <w:pPr>
        <w:pStyle w:val="Heading2"/>
      </w:pPr>
      <w:r>
        <w:t>4. Lessons learned</w:t>
      </w:r>
    </w:p>
    <w:p>
      <w:pPr>
        <w:pStyle w:val="ListBullet"/>
      </w:pPr>
      <w:r>
        <w:t>A passing unit suite proves deterministic Python behavior, not container startup or external integration.</w:t>
      </w:r>
    </w:p>
    <w:p>
      <w:pPr>
        <w:pStyle w:val="ListBullet"/>
      </w:pPr>
      <w:r>
        <w:t>docker compose config --quiet checks interpolation and syntax; docker compose ps checks container state and health; neither alone proves application-level connectivity.</w:t>
      </w:r>
    </w:p>
    <w:p>
      <w:pPr>
        <w:pStyle w:val="ListBullet"/>
      </w:pPr>
      <w:r>
        <w:t>A service can be healthy according to its container healthcheck while the application still has incorrect credentials, schema assumptions, or network settings.</w:t>
      </w:r>
    </w:p>
    <w:p>
      <w:pPr>
        <w:pStyle w:val="ListBullet"/>
      </w:pPr>
      <w:r>
        <w:t>Tool availability matters: running Ruff and mypy through the repository virtual environment gives reproducible validation instead of relying on global PATH state.</w:t>
      </w:r>
    </w:p>
    <w:p>
      <w:pPr>
        <w:pStyle w:val="ListBullet"/>
      </w:pPr>
      <w:r>
        <w:t>Editable-package installation is a separate verification concern from importing source files directly; both should be checked when packaging is part of the phase.</w:t>
      </w:r>
    </w:p>
    <w:p>
      <w:pPr>
        <w:pStyle w:val="ListBullet"/>
      </w:pPr>
      <w:r>
        <w:t>Point-in-time infrastructure results should be reported with timestamps or check context because health is not a permanent property.</w:t>
      </w:r>
    </w:p>
    <w:p>
      <w:pPr>
        <w:pStyle w:val="Heading2"/>
      </w:pPr>
      <w:r>
        <w:t>5. Updated completion checklist</w:t>
      </w:r>
    </w:p>
    <w:tbl>
      <w:tblPr>
        <w:tblStyle w:val="LightShading-Accent1"/>
        <w:tblW w:type="auto" w:w="0"/>
        <w:jc w:val="center"/>
        <w:tblLook w:firstColumn="1" w:firstRow="1" w:lastColumn="0" w:lastRow="0" w:noHBand="0" w:noVBand="1" w:val="04A0"/>
      </w:tblPr>
      <w:tblGrid>
        <w:gridCol w:w="4968"/>
        <w:gridCol w:w="4968"/>
      </w:tblGrid>
      <w:tr>
        <w:tc>
          <w:tcPr>
            <w:tcW w:type="dxa" w:w="4968"/>
            <w:shd w:fill="1F4E78"/>
            <w:vAlign w:val="center"/>
          </w:tcPr>
          <w:p>
            <w:r>
              <w:rPr>
                <w:b/>
                <w:color w:val="FFFFFF"/>
              </w:rPr>
              <w:t>Category</w:t>
            </w:r>
          </w:p>
        </w:tc>
        <w:tc>
          <w:tcPr>
            <w:tcW w:type="dxa" w:w="4968"/>
            <w:shd w:fill="1F4E78"/>
            <w:vAlign w:val="center"/>
          </w:tcPr>
          <w:p>
            <w:r>
              <w:rPr>
                <w:b/>
                <w:color w:val="FFFFFF"/>
              </w:rPr>
              <w:t>Current items</w:t>
            </w:r>
          </w:p>
        </w:tc>
      </w:tr>
      <w:tr>
        <w:tc>
          <w:tcPr>
            <w:tcW w:type="dxa" w:w="4968"/>
            <w:vAlign w:val="center"/>
          </w:tcPr>
          <w:p>
            <w:r>
              <w:t>Verified</w:t>
            </w:r>
          </w:p>
        </w:tc>
        <w:tc>
          <w:tcPr>
            <w:tcW w:type="dxa" w:w="4968"/>
            <w:vAlign w:val="center"/>
          </w:tcPr>
          <w:p>
            <w:r>
              <w:t>55 pytest tests pass; Ruff passes; mypy reports no issues in 10 source files; Compose renders successfully with configured environment; PostgreSQL, Redis, and Neo4j reported healthy during the current status check; threatfusion-ai is currently installed editable.</w:t>
            </w:r>
          </w:p>
        </w:tc>
      </w:tr>
      <w:tr>
        <w:tc>
          <w:tcPr>
            <w:tcW w:type="dxa" w:w="4968"/>
            <w:vAlign w:val="center"/>
          </w:tcPr>
          <w:p>
            <w:r>
              <w:t>Implemented but not fully integration-tested</w:t>
            </w:r>
          </w:p>
        </w:tc>
        <w:tc>
          <w:tcPr>
            <w:tcW w:type="dxa" w:w="4968"/>
            <w:vAlign w:val="center"/>
          </w:tcPr>
          <w:p>
            <w:r>
              <w:t>Configuration validation, structured logging setup, health model, Compose infrastructure, security hardening, and regression tests.</w:t>
            </w:r>
          </w:p>
        </w:tc>
      </w:tr>
      <w:tr>
        <w:tc>
          <w:tcPr>
            <w:tcW w:type="dxa" w:w="4968"/>
            <w:vAlign w:val="center"/>
          </w:tcPr>
          <w:p>
            <w:r>
              <w:t>Pending</w:t>
            </w:r>
          </w:p>
        </w:tc>
        <w:tc>
          <w:tcPr>
            <w:tcW w:type="dxa" w:w="4968"/>
            <w:vAlign w:val="center"/>
          </w:tcPr>
          <w:p>
            <w:r>
              <w:t>Rerun and document pip install -e status to resolve the prior Windows error-32 question; optionally perform a clean Compose recreate and recheck all health states.</w:t>
            </w:r>
          </w:p>
        </w:tc>
      </w:tr>
      <w:tr>
        <w:tc>
          <w:tcPr>
            <w:tcW w:type="dxa" w:w="4968"/>
            <w:vAlign w:val="center"/>
          </w:tcPr>
          <w:p>
            <w:r>
              <w:t>Unverified</w:t>
            </w:r>
          </w:p>
        </w:tc>
        <w:tc>
          <w:tcPr>
            <w:tcW w:type="dxa" w:w="4968"/>
            <w:vAlign w:val="center"/>
          </w:tcPr>
          <w:p>
            <w:r>
              <w:t>Application-level service clients, Wazuh/MISP integrations, production deployment, CI, coverage policy, image-digest verification, and later agent/guardrail workflow.</w:t>
            </w:r>
          </w:p>
        </w:tc>
      </w:tr>
    </w:tbl>
    <w:p/>
    <w:p>
      <w:pPr>
        <w:pStyle w:val="Heading2"/>
      </w:pPr>
      <w:r>
        <w:t>6. Updated interview explanation</w:t>
      </w:r>
    </w:p>
    <w:p>
      <w:r>
        <w:t>"For Phase 0, I built and then hardened the project foundation. The design uses Pydantic Settings for typed startup configuration, Docker Compose for PostgreSQL, Redis, and Neo4j, structlog for JSON logging, a pure deterministic health model, and pytest fixtures that isolate environment state. After review, I added fail-closed Compose secrets, secure TLS defaults, encoded connection credentials, safe empty-health semantics, localhost port bindings, pinned image versions, and regression tests. The final local validation is stronger than the initial baseline: 55 tests pass, Ruff passes, and mypy reports no issues in 10 source files. Compose renders successfully with the configured environment, and a current status check observed PostgreSQL, Redis, and Neo4j healthy. I would still distinguish container health from application connectivity, and I would call out that the prior editable-install Windows error was not rerun in this update even though the package is currently present as an editable installation."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Char w:fldCharType="begin"/>
    <w:instrText xml:space="preserve"> PAGE </w:instrText>
    <w:fldChar w:fldCharType="separate"/>
    <w:t>1</w: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ThreatFusion AI  |  Phase 0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ThreatFusion AI - Phase 0 Foundation and Latest Verification</dc:title>
  <dc:subject>Phase 0 learning guide, remediation, and verified validation results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