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Fulfillment and Inventory Control Policy (P05)</w:t>
      </w:r>
    </w:p>
    <w:p>
      <w:pPr>
        <w:pStyle w:val="Heading1"/>
      </w:pPr>
      <w:r>
        <w:t>1. Purpose and authority</w:t>
      </w:r>
    </w:p>
    <w:p>
      <w:r>
        <w:t>Fulfillment and inventory control policy. Authority: Supply Chain Governance.</w:t>
      </w:r>
    </w:p>
    <w:p>
      <w:r>
        <w:t>Effective 2026-01-18. Constrains R03, D03; operated by S04.</w:t>
      </w:r>
    </w:p>
    <w:p>
      <w:pPr>
        <w:pStyle w:val="Heading1"/>
      </w:pPr>
      <w:r>
        <w:t>2. Controls (SYNTHETIC with one unresolved anchor)</w:t>
      </w:r>
    </w:p>
    <w:p>
      <w:r>
        <w:t>Immediate issuance for completed orders SHOULD route through the</w:t>
      </w:r>
    </w:p>
    <w:p>
      <w:r>
        <w:t>[OFBiz-reference-out-of-scope] issueImmediatelyFulfilledOrder integration (mode</w:t>
      </w:r>
    </w:p>
    <w:p>
      <w:r>
        <w:t>sync per eecas.xml eca[1] action). Because that service is outside the current</w:t>
      </w:r>
    </w:p>
    <w:p>
      <w:r>
        <w:t>extraction scope, compliance CANNOT be verified from the deterministic graph alone;</w:t>
      </w:r>
    </w:p>
    <w:p>
      <w:r>
        <w:t>the reference is INTENTIONALLY UNRESOLVED. All other controls (ship-group release</w:t>
      </w:r>
    </w:p>
    <w:p>
      <w:r>
        <w:t>checks, drop-ship review, escalation timers) are SYNTHETIC policy.</w:t>
      </w:r>
    </w:p>
    <w:p>
      <w:pPr>
        <w:pStyle w:val="Heading1"/>
      </w:pPr>
      <w:r>
        <w:t>3. OFBiz relationship</w:t>
      </w:r>
    </w:p>
    <w:p>
      <w:r>
        <w:t>Ship groups ([OFBiz-existing] OrderItemShipGroup, createOrderItemShipGroup),</w:t>
      </w:r>
    </w:p>
    <w:p>
      <w:r>
        <w:t>totals ([OFBiz-existing] resetGrandTotal), drop-ship assessment ([OFBiz-existing]</w:t>
      </w:r>
    </w:p>
    <w:p>
      <w:r>
        <w:t>checkCreateDropShipPurchaseOrders) are real anchors. Inventory effects are</w:t>
      </w:r>
    </w:p>
    <w:p>
      <w:r>
        <w:t>SYNTHETIC interpretation.</w:t>
      </w:r>
    </w:p>
    <w:p>
      <w:pPr>
        <w:pStyle w:val="Heading1"/>
      </w:pPr>
      <w:r>
        <w:t>4. Traceability</w:t>
      </w:r>
    </w:p>
    <w:p>
      <w:r>
        <w:t>P05 → R03, D03, S04.</w:t>
      </w:r>
    </w:p>
    <w:p>
      <w:pPr>
        <w:pStyle w:val="Heading1"/>
      </w:pPr>
      <w:r>
        <w:t>5. Exceptions</w:t>
      </w:r>
    </w:p>
    <w:p>
      <w:r>
        <w:t>Stock-out emergencies (SYNTHETIC class) allow manual issuance with Supply Chain</w:t>
      </w:r>
    </w:p>
    <w:p>
      <w:r>
        <w:t>Lead approval while the product integration remains unresolved.</w:t>
      </w:r>
    </w:p>
    <w:p>
      <w:pPr>
        <w:pStyle w:val="Heading1"/>
      </w:pPr>
      <w:r>
        <w:t>6. Interaction with cancellation</w:t>
      </w:r>
    </w:p>
    <w:p>
      <w:r>
        <w:t>Issuance MUST NOT proceed for lines with pending P03 cancellation.</w:t>
      </w:r>
    </w:p>
    <w:p>
      <w:pPr>
        <w:pStyle w:val="Heading1"/>
      </w:pPr>
      <w:r>
        <w:t>7. Review</w:t>
      </w:r>
    </w:p>
    <w:p>
      <w:r>
        <w:t>Semi-annual review; timers change only by governance decision.</w:t>
      </w:r>
    </w:p>
    <w:p>
      <w:pPr>
        <w:pStyle w:val="Heading1"/>
      </w:pPr>
      <w:r>
        <w:t>Worked example</w:t>
      </w:r>
    </w:p>
    <w:p>
      <w:r>
        <w:t>Order O-7785 completes with needsInventoryIssuance Y; the ECA action is unresolved in scope, so the coordinator runs the manual check, logs sign-off, and escalates at 72 hours when stock is unconfirmed.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**48-hour timer**: Delay escalation trigger (SYNTHETIC).</w:t>
      </w:r>
    </w:p>
    <w:p>
      <w:pPr>
        <w:pStyle w:val="ListBullet"/>
      </w:pPr>
      <w:r>
        <w:t>**Manual check**: Required while product hand-off unresolved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P05-fulfillment-inventory-policy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