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Procurement Approval Policy P01</w:t>
      </w:r>
    </w:p>
    <w:p>
      <w:r>
        <w:t>Effective January 15, 2026. Owner: Acme Corporation, Procurement Office, California.</w:t>
      </w:r>
    </w:p>
    <w:p>
      <w:pPr>
        <w:pStyle w:val="Heading2"/>
      </w:pPr>
      <w:r>
        <w:t>1. Purpose</w:t>
      </w:r>
    </w:p>
    <w:p>
      <w:r>
        <w:t>This policy governs how the Order Management System and the Invoice Ledger</w:t>
      </w:r>
    </w:p>
    <w:p>
      <w:r>
        <w:t>request, approve, and settle supplier purchases. Every purchase above the</w:t>
      </w:r>
    </w:p>
    <w:p>
      <w:r>
        <w:t>micro-purchase floor must cite a business purpose before funds are reserved.</w:t>
      </w:r>
    </w:p>
    <w:p>
      <w:r>
        <w:t>The Procurement Officer reviews each request for completeness within two</w:t>
      </w:r>
    </w:p>
    <w:p>
      <w:r>
        <w:t>business days of submission. Incomplete requests return to the requestor with</w:t>
      </w:r>
    </w:p>
    <w:p>
      <w:r>
        <w:t>written reasons. All approvals are recorded in the Order Management System so</w:t>
      </w:r>
    </w:p>
    <w:p>
      <w:r>
        <w:t>that auditors can reconstruct who approved what and when. This section exists</w:t>
      </w:r>
    </w:p>
    <w:p>
      <w:r>
        <w:t>to keep spending visible and to prevent duplicate orders across departments.</w:t>
      </w:r>
    </w:p>
    <w:p>
      <w:pPr>
        <w:pStyle w:val="Heading2"/>
      </w:pPr>
      <w:r>
        <w:t>2. Approval thresholds</w:t>
      </w:r>
    </w:p>
    <w:p>
      <w:r>
        <w:t>2.1 Purchases up to $5,000 require one approval from the requestor's Manager.</w:t>
      </w:r>
    </w:p>
    <w:p>
      <w:r>
        <w:t>2.2 Purchases from $5,001 to $50,000 require two approvals: the requestor's</w:t>
      </w:r>
    </w:p>
    <w:p>
      <w:r>
        <w:t>Manager and the Procurement Officer. Amounts in this band must include at</w:t>
      </w:r>
    </w:p>
    <w:p>
      <w:r>
        <w:t>least two competing quotes attached to the order record.</w:t>
      </w:r>
    </w:p>
    <w:p>
      <w:r>
        <w:t>2.3 Purchases above $50,000 require three approvals: the requestor's Manager,</w:t>
      </w:r>
    </w:p>
    <w:p>
      <w:r>
        <w:t>the Procurement Officer, and the Finance Administrator. The Finance</w:t>
      </w:r>
    </w:p>
    <w:p>
      <w:r>
        <w:t>Administrator verifies budget availability in the Invoice Ledger before the</w:t>
      </w:r>
    </w:p>
    <w:p>
      <w:r>
        <w:t>final signature. Emergency purchases above $50,000 follow the same chain but</w:t>
      </w:r>
    </w:p>
    <w:p>
      <w:r>
        <w:t>may collect signatures within five business days after the order ships.</w:t>
      </w:r>
    </w:p>
    <w:p>
      <w:r>
        <w:t>2.4 Recurring subscriptions renew automatically unless the Procurement Officer</w:t>
      </w:r>
    </w:p>
    <w:p>
      <w:r>
        <w:t>cancels them thirty days before the renewal date of March 1, 2026.</w:t>
      </w:r>
    </w:p>
    <w:p>
      <w:pPr>
        <w:pStyle w:val="Heading2"/>
      </w:pPr>
      <w:r>
        <w:t>3. Systems of record</w:t>
      </w:r>
    </w:p>
    <w:p>
      <w:r>
        <w:t>3.1 The Order Management System is the system of record for purchase intent.</w:t>
      </w:r>
    </w:p>
    <w:p>
      <w:r>
        <w:t>Every approved request creates an OrderHeader row before any supplier contact.</w:t>
      </w:r>
    </w:p>
    <w:p>
      <w:r>
        <w:t>3.2 The Invoice Ledger is the system of record for settlement. No invoice</w:t>
      </w:r>
    </w:p>
    <w:p>
      <w:r>
        <w:t>settles without a matching OrderHeader reference and a recorded approval</w:t>
      </w:r>
    </w:p>
    <w:p>
      <w:r>
        <w:t>chain. Jane Smith, Procurement Officer, audits unmatched invoices weekly.</w:t>
      </w:r>
    </w:p>
    <w:p>
      <w:r>
        <w:t>3.3 The Party Directory holds supplier identities. New suppliers need a Party</w:t>
      </w:r>
    </w:p>
    <w:p>
      <w:r>
        <w:t>record with tax jurisdiction before their first purchase order. Suppliers</w:t>
      </w:r>
    </w:p>
    <w:p>
      <w:r>
        <w:t>operating in California must also file a state resale certificate.</w:t>
      </w:r>
    </w:p>
    <w:p>
      <w:pPr>
        <w:pStyle w:val="Heading2"/>
      </w:pPr>
      <w:r>
        <w:t>4. Operational procedure</w:t>
      </w:r>
    </w:p>
    <w:p>
      <w:r>
        <w:t>4.1 The requestor drafts the order in the Order Management System and attaches</w:t>
      </w:r>
    </w:p>
    <w:p>
      <w:r>
        <w:t>quotes, statements of work, and delivery dates. Drafts older than fourteen</w:t>
      </w:r>
    </w:p>
    <w:p>
      <w:r>
        <w:t>days expire automatically and must be recreated from scratch.</w:t>
      </w:r>
    </w:p>
    <w:p>
      <w:r>
        <w:t>4.2 The Manager approves or rejects within three business days. Rejections</w:t>
      </w:r>
    </w:p>
    <w:p>
      <w:r>
        <w:t>must state a reason; silent rejections escalate to the Procurement Officer on</w:t>
      </w:r>
    </w:p>
    <w:p>
      <w:r>
        <w:t>the fourth day. Approved drafts lock their line items against editing.</w:t>
      </w:r>
    </w:p>
    <w:p>
      <w:r>
        <w:t>4.3 The Procurement Officer confirms policy compliance, checks the approval</w:t>
      </w:r>
    </w:p>
    <w:p>
      <w:r>
        <w:t>threshold band, and releases the order to the supplier. Releases happen only</w:t>
      </w:r>
    </w:p>
    <w:p>
      <w:r>
        <w:t>on business days between 9am and 5pm Pacific. Same-day rush releases need a</w:t>
      </w:r>
    </w:p>
    <w:p>
      <w:r>
        <w:t>written justification countersigned by the Finance Administrator.</w:t>
      </w:r>
    </w:p>
    <w:p>
      <w:r>
        <w:t>4.4 Receiving confirms delivery against the order lines within two business</w:t>
      </w:r>
    </w:p>
    <w:p>
      <w:r>
        <w:t>days of arrival. Short shipments create a follow-up task assigned to the</w:t>
      </w:r>
    </w:p>
    <w:p>
      <w:r>
        <w:t>supplier contact within the Party Directory. Over-shipments are quarantined</w:t>
      </w:r>
    </w:p>
    <w:p>
      <w:r>
        <w:t>until the Procurement Officer decides to accept or return them.</w:t>
      </w:r>
    </w:p>
    <w:p>
      <w:pPr>
        <w:pStyle w:val="Heading2"/>
      </w:pPr>
      <w:r>
        <w:t>5. Compliance and review</w:t>
      </w:r>
    </w:p>
    <w:p>
      <w:r>
        <w:t>This policy is reviewed every September by the Procurement Officer together</w:t>
      </w:r>
    </w:p>
    <w:p>
      <w:r>
        <w:t>with the Finance Administrator. Violations are reported to Acme Corporation</w:t>
      </w:r>
    </w:p>
    <w:p>
      <w:r>
        <w:t>leadership within five business days of discovery. Repeat violations trigger a</w:t>
      </w:r>
    </w:p>
    <w:p>
      <w:r>
        <w:t>spending freeze for the offending department until retraining completes. Audit</w:t>
      </w:r>
    </w:p>
    <w:p>
      <w:r>
        <w:t>evidence lives in the Order Management System and the Invoice Ledger for a</w:t>
      </w:r>
    </w:p>
    <w:p>
      <w:r>
        <w:t>minimum of seven years. Questions about interpretation go to the Procurement</w:t>
      </w:r>
    </w:p>
    <w:p>
      <w:r>
        <w:t>Office in writing; verbal guidance never overrides this document. Adopted</w:t>
      </w:r>
    </w:p>
    <w:p>
      <w:r>
        <w:t>December 1, 2025, superseding policy P00 in its entirety.</w:t>
      </w:r>
    </w:p>
    <w:p>
      <w:pPr>
        <w:pStyle w:val="Heading2"/>
      </w:pPr>
      <w:r>
        <w:t>6. Exceptions</w:t>
      </w:r>
    </w:p>
    <w:p>
      <w:r>
        <w:t>Exceptions require a written memo signed by the Procurement Officer and the</w:t>
      </w:r>
    </w:p>
    <w:p>
      <w:r>
        <w:t>Finance Administrator before the order ships. Memos cite the policy section</w:t>
      </w:r>
    </w:p>
    <w:p>
      <w:r>
        <w:t>being waived and expire after ninety days. Standing exceptions are reviewed</w:t>
      </w:r>
    </w:p>
    <w:p>
      <w:r>
        <w:t>each quarter and published to all Managers in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