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60"/>
                <w:szCs w:val="60"/>
              </w:rPr>
              <w:t xml:space="preserve">MediRAG</w:t>
            </w:r>
          </w:p>
          <w:p>
            <w:pPr>
              <w:jc w:val="center"/>
            </w:pPr>
            <w:r>
              <w:rPr>
                <w:rFonts w:ascii="Arial" w:cs="Arial" w:eastAsia="Arial" w:hAnsi="Arial"/>
                <w:color w:val="A8D4F5"/>
                <w:sz w:val="32"/>
                <w:szCs w:val="32"/>
              </w:rPr>
              <w:t xml:space="preserve">Backend Architecture — Day 3</w:t>
            </w:r>
          </w:p>
          <w:p>
            <w:pPr>
              <w:jc w:val="center"/>
            </w:pPr>
            <w:r>
              <w:rPr>
                <w:rFonts w:ascii="Arial" w:cs="Arial" w:eastAsia="Arial" w:hAnsi="Arial"/>
                <w:color w:val="7EC8E3"/>
                <w:sz w:val="22"/>
                <w:szCs w:val="22"/>
              </w:rPr>
              <w:t xml:space="preserve">Health &amp; Wellness Service · OpenAI API · @PrePersist · Upsert · Date Range Queries · Fallback Pattern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 What Did We Build in Day 3?</w:t>
      </w:r>
    </w:p>
    <w:p>
      <w:pPr>
        <w:spacing w:before="60" w:after="80"/>
      </w:pPr>
      <w:r>
        <w:rPr>
          <w:rFonts w:ascii="Arial" w:cs="Arial" w:eastAsia="Arial" w:hAnsi="Arial"/>
          <w:color w:val="222222"/>
          <w:sz w:val="22"/>
          <w:szCs w:val="22"/>
        </w:rPr>
        <w:t xml:space="preserve">Day 3 delivers the Health &amp; Wellness Service — the personalisation engine of MediRAG. It is the first service to call an external third-party API (OpenAI) and also introduces computed fields, upsert logic, and date-range time-series queries.</w:t>
      </w:r>
    </w:p>
    <w:p>
      <w:pPr>
        <w:spacing w:before="60" w:after="60"/>
      </w:pPr>
      <w:r>
        <w:t xml:space="preserve"/>
      </w:r>
    </w:p>
    <w:p>
      <w:pPr>
        <w:spacing w:before="60" w:after="80"/>
      </w:pPr>
      <w:r>
        <w:rPr>
          <w:rFonts w:ascii="Arial" w:cs="Arial" w:eastAsia="Arial" w:hAnsi="Arial"/>
          <w:color w:val="222222"/>
          <w:sz w:val="22"/>
          <w:szCs w:val="22"/>
        </w:rPr>
        <w:t xml:space="preserve">We built four modules:</w:t>
      </w:r>
    </w:p>
    <w:p>
      <w:pPr>
        <w:pStyle w:val="ListParagraph"/>
        <w:numPr>
          <w:ilvl w:val="0"/>
          <w:numId w:val="2"/>
        </w:numPr>
        <w:spacing w:before="40" w:after="40"/>
      </w:pPr>
      <w:r>
        <w:rPr>
          <w:rFonts w:ascii="Arial" w:cs="Arial" w:eastAsia="Arial" w:hAnsi="Arial"/>
          <w:color w:val="222222"/>
          <w:sz w:val="22"/>
          <w:szCs w:val="22"/>
        </w:rPr>
        <w:t xml:space="preserve">Health Profile — stores a patient's physical stats (height, weight, blood type, allergies, medical conditions) with auto-computed BMI. Supports upsert — one endpoint that creates if not exists, updates if already exists.</w:t>
      </w:r>
    </w:p>
    <w:p>
      <w:pPr>
        <w:pStyle w:val="ListParagraph"/>
        <w:numPr>
          <w:ilvl w:val="0"/>
          <w:numId w:val="2"/>
        </w:numPr>
        <w:spacing w:before="40" w:after="40"/>
      </w:pPr>
      <w:r>
        <w:rPr>
          <w:rFonts w:ascii="Arial" w:cs="Arial" w:eastAsia="Arial" w:hAnsi="Arial"/>
          <w:color w:val="222222"/>
          <w:sz w:val="22"/>
          <w:szCs w:val="22"/>
        </w:rPr>
        <w:t xml:space="preserve">Sleep Logs — time-series data tracking bedtime, wake time, duration (auto-computed), and quality rating per day. Supports date range filtering.</w:t>
      </w:r>
    </w:p>
    <w:p>
      <w:pPr>
        <w:pStyle w:val="ListParagraph"/>
        <w:numPr>
          <w:ilvl w:val="0"/>
          <w:numId w:val="2"/>
        </w:numPr>
        <w:spacing w:before="40" w:after="40"/>
      </w:pPr>
      <w:r>
        <w:rPr>
          <w:rFonts w:ascii="Arial" w:cs="Arial" w:eastAsia="Arial" w:hAnsi="Arial"/>
          <w:color w:val="222222"/>
          <w:sz w:val="22"/>
          <w:szCs w:val="22"/>
        </w:rPr>
        <w:t xml:space="preserve">Meal Plans — AI-generated personalised meal plans stored in PostgreSQL with Redis caching. Caches the full list per user.</w:t>
      </w:r>
    </w:p>
    <w:p>
      <w:pPr>
        <w:pStyle w:val="ListParagraph"/>
        <w:numPr>
          <w:ilvl w:val="0"/>
          <w:numId w:val="2"/>
        </w:numPr>
        <w:spacing w:before="40" w:after="40"/>
      </w:pPr>
      <w:r>
        <w:rPr>
          <w:rFonts w:ascii="Arial" w:cs="Arial" w:eastAsia="Arial" w:hAnsi="Arial"/>
          <w:color w:val="222222"/>
          <w:sz w:val="22"/>
          <w:szCs w:val="22"/>
        </w:rPr>
        <w:t xml:space="preserve">OpenAI Integration — calls the gpt-4o-mini API with a structured prompt built from the user's health profile. Parses the JSON response and saves it as a MealPlan. Includes a fallback default plan if the API is unavailable.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2. Database Design — Three Entities</w:t>
      </w:r>
    </w:p>
    <w:p>
      <w:pPr>
        <w:spacing w:before="60" w:after="80"/>
      </w:pPr>
      <w:r>
        <w:rPr>
          <w:rFonts w:ascii="Arial" w:cs="Arial" w:eastAsia="Arial" w:hAnsi="Arial"/>
          <w:color w:val="222222"/>
          <w:sz w:val="22"/>
          <w:szCs w:val="22"/>
        </w:rPr>
        <w:t xml:space="preserve">The Health Service owns three tables inside the health schema. All three use userId (extracted from JWT) as the link to the patient — never a foreign key to the auth schema.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Special Feature</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HealthProfile</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health.health_profiles</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userId (unique), height, weight, bloodType, allergies, conditions, bmi</w:t>
            </w:r>
          </w:p>
        </w:tc>
        <w:tc>
          <w:tcPr>
            <w:tcW w:type="dxa" w:w="1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BMI auto-computed by @PrePersist/@PreUpdate</w:t>
            </w:r>
          </w:p>
        </w:tc>
      </w:tr>
      <w:tr>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SleepLog</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health.sleep_logs</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userId, date, bedTime, wakeTime, durationHours, quality</w:t>
            </w:r>
          </w:p>
        </w:tc>
        <w:tc>
          <w:tcPr>
            <w:tcW w:type="dxa" w:w="1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Duration auto-computed, date range queries</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MealPlan</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health.meal_plans</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userId, date, calories, macros, mealsJson (TEXT), aiGenerated</w:t>
            </w:r>
          </w:p>
        </w:tc>
        <w:tc>
          <w:tcPr>
            <w:tcW w:type="dxa" w:w="1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AI response stored as JSON string in TEXT column</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2.1  Why store mealsJson as TEXT?</w:t>
      </w:r>
    </w:p>
    <w:p>
      <w:pPr>
        <w:spacing w:before="60" w:after="80"/>
      </w:pPr>
      <w:r>
        <w:rPr>
          <w:rFonts w:ascii="Arial" w:cs="Arial" w:eastAsia="Arial" w:hAnsi="Arial"/>
          <w:color w:val="222222"/>
          <w:sz w:val="22"/>
          <w:szCs w:val="22"/>
        </w:rPr>
        <w:t xml:space="preserve">The AI returns a rich nested JSON structure describing breakfast, lunch, dinner, and snacks with items and calories. Instead of creating four more tables (Meal, MealItem, etc.), we store the full JSON as a TEXT column. This is a pragmatic decision — the meals data is always read and written together, never queried field-by-field. For this scale, TEXT JSON is perfectly valid.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When to use a TEXT JSON column vs proper tables</w:t>
            </w:r>
          </w:p>
          <w:p>
            <w:pPr>
              <w:spacing w:before="40"/>
            </w:pPr>
            <w:r>
              <w:rPr>
                <w:rFonts w:ascii="Arial" w:cs="Arial" w:eastAsia="Arial" w:hAnsi="Arial"/>
                <w:color w:val="333333"/>
                <w:sz w:val="20"/>
                <w:szCs w:val="20"/>
              </w:rPr>
              <w:t xml:space="preserve">Use TEXT JSON when: the data is always read and written as a unit, you never need to filter or aggregate on fields inside it, and the structure may evolve. Use proper tables when: you need to query individual fields, run aggregations (SUM calories per week), or enforce foreign key constraints on the data inside.</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3. @PrePersist and @PreUpdate — Computed Fields</w:t>
      </w:r>
    </w:p>
    <w:p>
      <w:pPr>
        <w:spacing w:before="60" w:after="80"/>
      </w:pPr>
      <w:r>
        <w:rPr>
          <w:rFonts w:ascii="Arial" w:cs="Arial" w:eastAsia="Arial" w:hAnsi="Arial"/>
          <w:color w:val="222222"/>
          <w:sz w:val="22"/>
          <w:szCs w:val="22"/>
        </w:rPr>
        <w:t xml:space="preserve">Both HealthProfile and SleepLog have fields that are calculated from other fields rather than entered directly by the user. BMI is calculated from height and weight. Sleep duration is calculated from bedTime and wakeTime. We use JPA lifecycle callbacks to compute these automatically.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3.1  How it works</w:t>
      </w:r>
    </w:p>
    <w:p>
      <w:pPr>
        <w:spacing w:before="60" w:after="80"/>
      </w:pPr>
      <w:r>
        <w:rPr>
          <w:rFonts w:ascii="Arial" w:cs="Arial" w:eastAsia="Arial" w:hAnsi="Arial"/>
          <w:color w:val="222222"/>
          <w:sz w:val="22"/>
          <w:szCs w:val="22"/>
        </w:rPr>
        <w:t xml:space="preserve">@PrePersist runs the annotated method immediately before a new entity is saved (INSERT). @PreUpdate runs immediately before an existing entity is updated (UPDATE). In both cases, the method has access to all the entity's current field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@PrePersist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@PreUpdate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protected void computeBmi()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if (heightCm != null &amp;&amp; weightKg != null &amp;&amp; heightCm &gt; 0)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double heightM = heightCm / 100.0;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this.bmi = Math.round((weightKg / (heightM * heightM)) * 10.0) / 10.0;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The result: the caller never sets bmi — they set heightCm and weightKg and the entity computes bmi automatically before every save. This keeps business logic inside the entity where it belongs and makes it impossible to store an incorrect BMI.</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3.2  Advantages over computing in the service layer</w:t>
      </w:r>
    </w:p>
    <w:p>
      <w:pPr>
        <w:pStyle w:val="ListParagraph"/>
        <w:numPr>
          <w:ilvl w:val="0"/>
          <w:numId w:val="2"/>
        </w:numPr>
        <w:spacing w:before="40" w:after="40"/>
      </w:pPr>
      <w:r>
        <w:rPr>
          <w:rFonts w:ascii="Arial" w:cs="Arial" w:eastAsia="Arial" w:hAnsi="Arial"/>
          <w:color w:val="222222"/>
          <w:sz w:val="22"/>
          <w:szCs w:val="22"/>
        </w:rPr>
        <w:t xml:space="preserve">Guaranteed consistency — BMI cannot be wrong even if multiple services or admin tools modify the entity directly</w:t>
      </w:r>
    </w:p>
    <w:p>
      <w:pPr>
        <w:pStyle w:val="ListParagraph"/>
        <w:numPr>
          <w:ilvl w:val="0"/>
          <w:numId w:val="2"/>
        </w:numPr>
        <w:spacing w:before="40" w:after="40"/>
      </w:pPr>
      <w:r>
        <w:rPr>
          <w:rFonts w:ascii="Arial" w:cs="Arial" w:eastAsia="Arial" w:hAnsi="Arial"/>
          <w:color w:val="222222"/>
          <w:sz w:val="22"/>
          <w:szCs w:val="22"/>
        </w:rPr>
        <w:t xml:space="preserve">Self-contained entity — the entity carries its own invariants, reducing the risk of bugs from forgetting to compute in service code</w:t>
      </w:r>
    </w:p>
    <w:p>
      <w:pPr>
        <w:pStyle w:val="ListParagraph"/>
        <w:numPr>
          <w:ilvl w:val="0"/>
          <w:numId w:val="2"/>
        </w:numPr>
        <w:spacing w:before="40" w:after="40"/>
      </w:pPr>
      <w:r>
        <w:rPr>
          <w:rFonts w:ascii="Arial" w:cs="Arial" w:eastAsia="Arial" w:hAnsi="Arial"/>
          <w:color w:val="222222"/>
          <w:sz w:val="22"/>
          <w:szCs w:val="22"/>
        </w:rPr>
        <w:t xml:space="preserve">Works with bulk operations — even batch imports that bypass service code will trigger the lifecycle callback</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4. Upsert Pattern — Create or Update in One Endpoint</w:t>
      </w:r>
    </w:p>
    <w:p>
      <w:pPr>
        <w:spacing w:before="60" w:after="80"/>
      </w:pPr>
      <w:r>
        <w:rPr>
          <w:rFonts w:ascii="Arial" w:cs="Arial" w:eastAsia="Arial" w:hAnsi="Arial"/>
          <w:color w:val="222222"/>
          <w:sz w:val="22"/>
          <w:szCs w:val="22"/>
        </w:rPr>
        <w:t xml:space="preserve">The health profile endpoint (POST /api/health/profile) is designed as an upsert — a single endpoint that creates the profile if the user does not have one yet, or updates it if they do. This is more user-friendly than having separate POST (create) and PUT (update) endpoints.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In HealthService.saveProfile():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HealthProfile profile = profileRepository.findByUserId(userId)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.orElse(HealthProfile.builder().userId(userId).build());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 if not found, create a new empty one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Now update all fields on whatever we found or created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profile.setHeightCm(request.getHeightCm());</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profile.setWeightKg(request.getWeightKg());</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profileRepository.save(profile);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JPA: if profile.id == null → INSERT, else → UPDATE</w:t>
            </w:r>
          </w:p>
        </w:tc>
      </w:tr>
    </w:tbl>
    <w:p>
      <w:pPr>
        <w:spacing w:before="60" w:after="60"/>
      </w:pPr>
      <w:r>
        <w:t xml:space="preserve"/>
      </w:r>
    </w:p>
    <w:p>
      <w:pPr>
        <w:spacing w:before="60" w:after="80"/>
      </w:pPr>
      <w:r>
        <w:rPr>
          <w:rFonts w:ascii="Arial" w:cs="Arial" w:eastAsia="Arial" w:hAnsi="Arial"/>
          <w:color w:val="222222"/>
          <w:sz w:val="22"/>
          <w:szCs w:val="22"/>
        </w:rPr>
        <w:t xml:space="preserve">JPA's save() method is smart — if the entity has no ID (newly built), it issues an INSERT. If it already has an ID (fetched from the database), it issues an UPDATE. The userId column has a UNIQUE constraint, so there can never be two profiles for the same user.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Interview tip</w:t>
            </w:r>
          </w:p>
          <w:p>
            <w:pPr>
              <w:spacing w:before="40"/>
            </w:pPr>
            <w:r>
              <w:rPr>
                <w:rFonts w:ascii="Arial" w:cs="Arial" w:eastAsia="Arial" w:hAnsi="Arial"/>
                <w:color w:val="333333"/>
                <w:sz w:val="20"/>
                <w:szCs w:val="20"/>
              </w:rPr>
              <w:t xml:space="preserve">Upsert is a common pattern in REST APIs. An alternative is to use HTTP semantics strictly: POST to create (returns 201), PUT to replace (returns 200), PATCH to partial update. The upsert approach trades strict REST compliance for simplicity — one endpoint, no 'does it exist?' logic on the client side.</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5. Date Range Queries — Spring Data JPA Method Names</w:t>
      </w:r>
    </w:p>
    <w:p>
      <w:pPr>
        <w:spacing w:before="60" w:after="80"/>
      </w:pPr>
      <w:r>
        <w:rPr>
          <w:rFonts w:ascii="Arial" w:cs="Arial" w:eastAsia="Arial" w:hAnsi="Arial"/>
          <w:color w:val="222222"/>
          <w:sz w:val="22"/>
          <w:szCs w:val="22"/>
        </w:rPr>
        <w:t xml:space="preserve">The sleep log feature introduces date-range filtering. Spring Data JPA can generate complex SQL queries just from the method name, with no @Query annotation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Spring Data parses this method name and generates SQL automatically: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List&lt;SleepLog&gt; findByUserIdAndDateBetweenOrderByDateAsc(</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Long userId, LocalDate from, LocalDate to);</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Generated SQL equivalent: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SELECT * FROM health.sleep_logs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WHERE user_id =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AND date BETWEEN ? AND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ORDER BY date ASC</w:t>
            </w:r>
          </w:p>
        </w:tc>
      </w:tr>
    </w:tbl>
    <w:p>
      <w:pPr>
        <w:spacing w:before="60" w:after="60"/>
      </w:pPr>
      <w:r>
        <w:t xml:space="preserve"/>
      </w:r>
    </w:p>
    <w:p>
      <w:pPr>
        <w:spacing w:before="60" w:after="80"/>
      </w:pPr>
      <w:r>
        <w:rPr>
          <w:rFonts w:ascii="Arial" w:cs="Arial" w:eastAsia="Arial" w:hAnsi="Arial"/>
          <w:color w:val="222222"/>
          <w:sz w:val="22"/>
          <w:szCs w:val="22"/>
        </w:rPr>
        <w:t xml:space="preserve">Spring Data JPA parses the method name by splitting on keywords: findBy, And, Between, OrderBy, Asc. Each keyword maps to a SQL clause. Parameters are bound in the order they appear in the method signature.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Name Keyword</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SQL Equivalent</w:t>
            </w:r>
          </w:p>
        </w:tc>
        <w:tc>
          <w:tcPr>
            <w:tcW w:type="dxa" w:w="3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WHERE clause start</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findByUserId → WHERE user_id = ?</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And</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AND condition</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findByUserIdAndDate → WHERE user_id = ? AND date = ?</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Between</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BETWEEN ? AND ?</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findByDateBetween(from, to) → WHERE date BETWEEN ? AND ?</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OrderBy</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ORDER BY clause</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findByUserIdOrderByDateDesc → ORDER BY date DESC</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Asc / Desc</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Sort direction</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OrderByDateAsc / OrderByDateDesc</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IgnoreCase</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LOWER() comparison</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findBySpecializationIgnoreCase → LOWER(specialization) = LOWER(?)</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IsBooked</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 field = true</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findByIsBookedFalse → WHERE is_booked = false</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6. OpenAI Integration — Calling an External API</w:t>
      </w:r>
    </w:p>
    <w:p>
      <w:pPr>
        <w:spacing w:before="60" w:after="80"/>
      </w:pPr>
      <w:r>
        <w:rPr>
          <w:rFonts w:ascii="Arial" w:cs="Arial" w:eastAsia="Arial" w:hAnsi="Arial"/>
          <w:color w:val="222222"/>
          <w:sz w:val="22"/>
          <w:szCs w:val="22"/>
        </w:rPr>
        <w:t xml:space="preserve">Day 3 introduces the first external API call in MediRAG. The OpenAI integration demonstrates how a Spring service calls a third-party REST API using RestTemplate and handles structured prompt engineering.</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6.1  RestTemplate — Spring's HTTP Client</w:t>
      </w:r>
    </w:p>
    <w:p>
      <w:pPr>
        <w:spacing w:before="60" w:after="80"/>
      </w:pPr>
      <w:r>
        <w:rPr>
          <w:rFonts w:ascii="Arial" w:cs="Arial" w:eastAsia="Arial" w:hAnsi="Arial"/>
          <w:color w:val="222222"/>
          <w:sz w:val="22"/>
          <w:szCs w:val="22"/>
        </w:rPr>
        <w:t xml:space="preserve">RestTemplate is Spring's synchronous HTTP client for making REST API calls. It handles serialisation, deserialisation, headers, and HTTP verbs.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Build the request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HttpHeaders headers = new HttpHeaders();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headers.setContentType(MediaType.APPLICATION_JSON);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headers.setBearerAuth(apiKey);  // Authorization: Bearer sk-...</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HttpEntity&lt;Map&lt;String, Object&gt;&gt; entity = new HttpEntity&lt;&gt;(requestBody, headers);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POST to OpenAI and get response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ResponseEntity&lt;Map&gt; response = restTemplate.postForEntity(apiUrl, entity, Map.class);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Navigate the nested response: choices[0].message.content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List&lt;Map&gt; choices = (List&lt;Map&gt;) response.getBody().get("choices");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Map message = (Map) choices.get(0).get("message");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String aiText = (String) message.get("content");</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6.2  Prompt Engineering</w:t>
      </w:r>
    </w:p>
    <w:p>
      <w:pPr>
        <w:spacing w:before="60" w:after="80"/>
      </w:pPr>
      <w:r>
        <w:rPr>
          <w:rFonts w:ascii="Arial" w:cs="Arial" w:eastAsia="Arial" w:hAnsi="Arial"/>
          <w:color w:val="222222"/>
          <w:sz w:val="22"/>
          <w:szCs w:val="22"/>
        </w:rPr>
        <w:t xml:space="preserve">The quality of the AI response depends entirely on how the prompt is written. We use three techniques:</w:t>
      </w:r>
    </w:p>
    <w:p>
      <w:pPr>
        <w:spacing w:before="60" w:after="60"/>
      </w:pPr>
      <w:r>
        <w:t xml:space="preserve"/>
      </w:r>
    </w:p>
    <w:p>
      <w:pPr>
        <w:pStyle w:val="ListParagraph"/>
        <w:numPr>
          <w:ilvl w:val="0"/>
          <w:numId w:val="2"/>
        </w:numPr>
        <w:spacing w:before="40" w:after="40"/>
      </w:pPr>
      <w:r>
        <w:rPr>
          <w:rFonts w:ascii="Arial" w:cs="Arial" w:eastAsia="Arial" w:hAnsi="Arial"/>
          <w:color w:val="222222"/>
          <w:sz w:val="22"/>
          <w:szCs w:val="22"/>
        </w:rPr>
        <w:t xml:space="preserve">System message — tells the AI to act as a certified nutritionist and respond with JSON only, suppressing any conversational preamble</w:t>
      </w:r>
    </w:p>
    <w:p>
      <w:pPr>
        <w:pStyle w:val="ListParagraph"/>
        <w:numPr>
          <w:ilvl w:val="0"/>
          <w:numId w:val="2"/>
        </w:numPr>
        <w:spacing w:before="40" w:after="40"/>
      </w:pPr>
      <w:r>
        <w:rPr>
          <w:rFonts w:ascii="Arial" w:cs="Arial" w:eastAsia="Arial" w:hAnsi="Arial"/>
          <w:color w:val="222222"/>
          <w:sz w:val="22"/>
          <w:szCs w:val="22"/>
        </w:rPr>
        <w:t xml:space="preserve">Structured output instruction — explicitly defines the JSON schema we expect in the response, with field names and types</w:t>
      </w:r>
    </w:p>
    <w:p>
      <w:pPr>
        <w:pStyle w:val="ListParagraph"/>
        <w:numPr>
          <w:ilvl w:val="0"/>
          <w:numId w:val="2"/>
        </w:numPr>
        <w:spacing w:before="40" w:after="40"/>
      </w:pPr>
      <w:r>
        <w:rPr>
          <w:rFonts w:ascii="Arial" w:cs="Arial" w:eastAsia="Arial" w:hAnsi="Arial"/>
          <w:color w:val="222222"/>
          <w:sz w:val="22"/>
          <w:szCs w:val="22"/>
        </w:rPr>
        <w:t xml:space="preserve">Personalised context — injects the patient's actual BMI, weight, height, blood type, allergies, and conditions so the plan is tailored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Why JSON-only in the system message?</w:t>
            </w:r>
          </w:p>
          <w:p>
            <w:pPr>
              <w:spacing w:before="40"/>
            </w:pPr>
            <w:r>
              <w:rPr>
                <w:rFonts w:ascii="Arial" w:cs="Arial" w:eastAsia="Arial" w:hAnsi="Arial"/>
                <w:color w:val="333333"/>
                <w:sz w:val="20"/>
                <w:szCs w:val="20"/>
              </w:rPr>
              <w:t xml:space="preserve">Without explicit instruction, GPT models often wrap JSON in markdown code blocks like ```json ... ```. This breaks JSON parsing. The system message 'No markdown, no explanation, just the JSON object' forces a clean, parseable response.</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6.3  The Fallback Pattern</w:t>
      </w:r>
    </w:p>
    <w:p>
      <w:pPr>
        <w:spacing w:before="60" w:after="80"/>
      </w:pPr>
      <w:r>
        <w:rPr>
          <w:rFonts w:ascii="Arial" w:cs="Arial" w:eastAsia="Arial" w:hAnsi="Arial"/>
          <w:color w:val="222222"/>
          <w:sz w:val="22"/>
          <w:szCs w:val="22"/>
        </w:rPr>
        <w:t xml:space="preserve">External API calls can fail — network issues, API rate limits, billing problems, or the service being down. We must never let an external dependency break the core user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public String generateMealPlan(HealthProfile profile)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Call OpenAI</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ResponseEntity&lt;Map&gt; response = restTemplate.postForEntity(...);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return extractContent(response);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catch (Exception 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log.error("OpenAI API call failed: {}", e.getMessage());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return getDefaultMealPlan(profile);  // fallback</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The fallback returns a hardcoded default meal plan. The user still gets a valid response, the booking still succeeds, and the error is logged for the developer to investigate. This is the Graceful Degradation pattern — the system degrades to a simpler behaviour rather than failing completely.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6.4  Parsing the AI Response</w:t>
      </w:r>
    </w:p>
    <w:p>
      <w:pPr>
        <w:spacing w:before="60" w:after="80"/>
      </w:pPr>
      <w:r>
        <w:rPr>
          <w:rFonts w:ascii="Arial" w:cs="Arial" w:eastAsia="Arial" w:hAnsi="Arial"/>
          <w:color w:val="222222"/>
          <w:sz w:val="22"/>
          <w:szCs w:val="22"/>
        </w:rPr>
        <w:t xml:space="preserve">The AI returns a JSON string. We parse it with ObjectMapper and extract individual macro fields (totalCalories, proteinG, carbsG, fatG) to store as proper database columns for future querying. The full meals breakdown is stored as a JSON string in the TEXT column.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4"/>
              <w:bottom w:val="none" w:color="FFFFFF" w:sz="0"/>
              <w:right w:val="none" w:color="FFFFFF" w:sz="0"/>
            </w:tcBorders>
            <w:shd w:fill="FFF8E1" w:val="clear"/>
            <w:tcMar>
              <w:top w:type="dxa" w:w="100"/>
              <w:left w:type="dxa" w:w="200"/>
              <w:bottom w:type="dxa" w:w="100"/>
              <w:right w:type="dxa" w:w="160"/>
            </w:tcMar>
          </w:tcPr>
          <w:p>
            <w:r>
              <w:rPr>
                <w:rFonts w:ascii="Arial" w:cs="Arial" w:eastAsia="Arial" w:hAnsi="Arial"/>
                <w:b/>
                <w:bCs/>
                <w:color w:val="7A5800"/>
                <w:sz w:val="20"/>
                <w:szCs w:val="20"/>
              </w:rPr>
              <w:t xml:space="preserve">Production consideration</w:t>
            </w:r>
          </w:p>
          <w:p>
            <w:pPr>
              <w:spacing w:before="40"/>
            </w:pPr>
            <w:r>
              <w:rPr>
                <w:rFonts w:ascii="Arial" w:cs="Arial" w:eastAsia="Arial" w:hAnsi="Arial"/>
                <w:color w:val="333333"/>
                <w:sz w:val="20"/>
                <w:szCs w:val="20"/>
              </w:rPr>
              <w:t xml:space="preserve">In production, you would use Spring WebClient instead of RestTemplate for non-blocking HTTP calls. RestTemplate is synchronous — the thread blocks while waiting for the OpenAI response (which can take 2-5 seconds). WebClient is reactive and non-blocking, allowing the thread to serve other requests while waiting.</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7. Redis Caching in Health Service</w:t>
      </w:r>
    </w:p>
    <w:p>
      <w:pPr>
        <w:spacing w:before="60" w:after="80"/>
      </w:pPr>
      <w:r>
        <w:rPr>
          <w:rFonts w:ascii="Arial" w:cs="Arial" w:eastAsia="Arial" w:hAnsi="Arial"/>
          <w:color w:val="222222"/>
          <w:sz w:val="22"/>
          <w:szCs w:val="22"/>
        </w:rPr>
        <w:t xml:space="preserve">We apply the same Cache-Aside pattern established in Day 2, but with a longer TTL since meal plans change less frequently than doctor availability.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is cached</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Cache key pattern</w:t>
            </w:r>
          </w:p>
        </w:tc>
        <w:tc>
          <w:tcPr>
            <w:tcW w:type="dxa" w:w="1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Invalidated when</w:t>
            </w:r>
          </w:p>
        </w:tc>
      </w:tr>
      <w:tr>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meal plan list</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mealplans:{userId}</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minutes</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AI meal plan generated OR health profile updated</w:t>
            </w:r>
          </w:p>
        </w:tc>
      </w:tr>
    </w:tbl>
    <w:p>
      <w:pPr>
        <w:spacing w:before="60" w:after="60"/>
      </w:pPr>
      <w:r>
        <w:t xml:space="preserve"/>
      </w:r>
    </w:p>
    <w:p>
      <w:pPr>
        <w:spacing w:before="60" w:after="80"/>
      </w:pPr>
      <w:r>
        <w:rPr>
          <w:rFonts w:ascii="Arial" w:cs="Arial" w:eastAsia="Arial" w:hAnsi="Arial"/>
          <w:color w:val="222222"/>
          <w:sz w:val="22"/>
          <w:szCs w:val="22"/>
        </w:rPr>
        <w:t xml:space="preserve">We intentionally do NOT cache the health profile or sleep logs. Health profiles are updated infrequently but reads are not high-volume enough to justify cache complexity. Sleep logs change daily and are user-specific — caching them per-user adds overhead without significant benefit at this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Cache design principle</w:t>
            </w:r>
          </w:p>
          <w:p>
            <w:pPr>
              <w:spacing w:before="40"/>
            </w:pPr>
            <w:r>
              <w:rPr>
                <w:rFonts w:ascii="Arial" w:cs="Arial" w:eastAsia="Arial" w:hAnsi="Arial"/>
                <w:color w:val="333333"/>
                <w:sz w:val="20"/>
                <w:szCs w:val="20"/>
              </w:rPr>
              <w:t xml:space="preserve">Cache what is expensive to compute or query AND accessed frequently by many users. Doctor lists (Day 2) qualify — many patients query them repeatedly. Per-user meal plans qualify — fetching and sorting from PostgreSQL on every dashboard load adds up. Per-user health profiles do not qualify — they are accessed occasionally and the query is fast.</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8. BMI Calculation and Categories</w:t>
      </w:r>
    </w:p>
    <w:p>
      <w:pPr>
        <w:spacing w:before="60" w:after="80"/>
      </w:pPr>
      <w:r>
        <w:rPr>
          <w:rFonts w:ascii="Arial" w:cs="Arial" w:eastAsia="Arial" w:hAnsi="Arial"/>
          <w:color w:val="222222"/>
          <w:sz w:val="22"/>
          <w:szCs w:val="22"/>
        </w:rPr>
        <w:t xml:space="preserve">BMI (Body Mass Index) is automatically computed from height and weight using the standard formula: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BMI = weight(kg) / (height(m))^2</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Example: 70kg, 175cm</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height in metres = 175 / 100 = 1.75</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BMI = 70 / (1.75 * 1.75) = 70 / 3.0625 = 22.9</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BMI Range</w:t>
            </w:r>
          </w:p>
        </w:tc>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Implication for Meal Plan</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Below 18.5</w:t>
            </w:r>
          </w:p>
        </w:tc>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Underweight</w:t>
            </w:r>
          </w:p>
        </w:tc>
        <w:tc>
          <w:tcPr>
            <w:tcW w:type="dxa" w:w="5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Higher calorie target, more protein for muscle gain</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18.5 to 24.9</w:t>
            </w:r>
          </w:p>
        </w:tc>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Normal</w:t>
            </w:r>
          </w:p>
        </w:tc>
        <w:tc>
          <w:tcPr>
            <w:tcW w:type="dxa" w:w="5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Maintenance calories, balanced macros</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25.0 to 29.9</w:t>
            </w:r>
          </w:p>
        </w:tc>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Overweight</w:t>
            </w:r>
          </w:p>
        </w:tc>
        <w:tc>
          <w:tcPr>
            <w:tcW w:type="dxa" w:w="5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Calorie deficit, lower carbs, higher fibre</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30.0 and above</w:t>
            </w:r>
          </w:p>
        </w:tc>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Obese</w:t>
            </w:r>
          </w:p>
        </w:tc>
        <w:tc>
          <w:tcPr>
            <w:tcW w:type="dxa" w:w="5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Significant deficit, low glycaemic index foods</w:t>
            </w:r>
          </w:p>
        </w:tc>
      </w:tr>
    </w:tbl>
    <w:p>
      <w:pPr>
        <w:spacing w:before="60" w:after="60"/>
      </w:pPr>
      <w:r>
        <w:t xml:space="preserve"/>
      </w:r>
    </w:p>
    <w:p>
      <w:pPr>
        <w:spacing w:before="60" w:after="80"/>
      </w:pPr>
      <w:r>
        <w:rPr>
          <w:rFonts w:ascii="Arial" w:cs="Arial" w:eastAsia="Arial" w:hAnsi="Arial"/>
          <w:color w:val="222222"/>
          <w:sz w:val="22"/>
          <w:szCs w:val="22"/>
        </w:rPr>
        <w:t xml:space="preserve">The BMI category is included in the OpenAI prompt so the AI can tailor the meal plan accordingly. It is also returned in the HealthProfileResponse as bmiCategory so the frontend can display it to the user.</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9.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8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/api/health/profile</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or update health profile. Upsert — one endpoint for both.</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/api/health/profile</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Retrieve own health profile with computed BMI and category.</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/api/health/sleep</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a sleep entry. Duration auto-computed from bedTime/wakeTime.</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/api/health/sleep</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 sleep logs. Optional ?from=&amp;to= date range filter.</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/api/health/meal-plan/generate</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Call OpenAI to generate a personalised meal plan. Requires profile.</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/api/health/meal-plan</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 saved meal plans. Redis cached per user, 30-minute TTL.</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/api/health/health</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health check.</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10. Established Patterns — What Repeats Every Service</w:t>
      </w:r>
    </w:p>
    <w:p>
      <w:pPr>
        <w:spacing w:before="60" w:after="80"/>
      </w:pPr>
      <w:r>
        <w:rPr>
          <w:rFonts w:ascii="Arial" w:cs="Arial" w:eastAsia="Arial" w:hAnsi="Arial"/>
          <w:color w:val="222222"/>
          <w:sz w:val="22"/>
          <w:szCs w:val="22"/>
        </w:rPr>
        <w:t xml:space="preserve">By Day 3, a clear pattern has emerged that every microservice follows. Recognising this pattern is important for interviews.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Repeats in every service?</w:t>
            </w:r>
          </w:p>
        </w:tc>
        <w:tc>
          <w:tcPr>
            <w:tcW w:type="dxa" w:w="2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filter</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JwtAuthFilter.java</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identical</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package name changes</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 parsing</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 — identical</w:t>
            </w:r>
          </w:p>
        </w:tc>
        <w:tc>
          <w:tcPr>
            <w:tcW w:type="dxa" w:w="2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Same secret key, same claims</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config</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same shape</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Permit list differs per service</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Exception handler</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 — identical</w:t>
            </w:r>
          </w:p>
        </w:tc>
        <w:tc>
          <w:tcPr>
            <w:tcW w:type="dxa" w:w="2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Copy-paste across services</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ObjectMapper bean</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AppConfig.java</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identical</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JavaTimeModule for LocalDateTime</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 mapping</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 service layer</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 — always DTOs</w:t>
            </w:r>
          </w:p>
        </w:tc>
        <w:tc>
          <w:tcPr>
            <w:tcW w:type="dxa" w:w="2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Never return entities from controllers</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Cache-Aside</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 service layer</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Where applicable</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 DB on miss, invalidate on write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Why copy JwtUtil across services?</w:t>
            </w:r>
          </w:p>
          <w:p>
            <w:pPr>
              <w:spacing w:before="40"/>
            </w:pPr>
            <w:r>
              <w:rPr>
                <w:rFonts w:ascii="Arial" w:cs="Arial" w:eastAsia="Arial" w:hAnsi="Arial"/>
                <w:color w:val="333333"/>
                <w:sz w:val="20"/>
                <w:szCs w:val="20"/>
              </w:rPr>
              <w:t xml:space="preserve">In a real production system, you would extract JwtUtil into a shared library (a common Maven module) that all services depend on. For MediRAG at this stage, copying is simpler — no shared module to build and version. The tradeoff is that changing the JWT secret requires updating every service's application.yml. A shared library solves this at the cost of more complex Maven configuration.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11. Common Interview Questions for Day 3</w:t>
      </w:r>
    </w:p>
    <w:p>
      <w:pPr>
        <w:pStyle w:val="Heading2"/>
        <w:spacing w:before="240" w:after="100"/>
      </w:pPr>
      <w:r>
        <w:rPr>
          <w:rFonts w:ascii="Arial" w:cs="Arial" w:eastAsia="Arial" w:hAnsi="Arial"/>
          <w:b/>
          <w:bCs/>
          <w:color w:val="2E75B6"/>
          <w:sz w:val="24"/>
          <w:szCs w:val="24"/>
        </w:rPr>
        <w:t xml:space="preserve">OpenAI / External API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 you call an external REST API from a Spring Boot service?</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Using RestTemplate (synchronous) or WebClient (reactive/non-blocking). RestTemplate is simpler: instantiate it, build an HttpEntity with headers and body, call postForEntity() or getForEntity() with the target URL and expected response type. We set Content-Type: application/json and Authorization: Bearer &lt;api-key&gt; in the headers. The response is deserialized into a Map or a typed DTO. In production, WebClient is preferred because it is non-blocking — the thread is freed while waiting for the external response, allowing it to handle other requests.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Graceful Degradation pattern and why is it important?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Graceful Degradation means the system falls back to simpler behaviour when a dependency fails, rather than failing entirely. In the OpenAI integration, if the API call throws any exception (network timeout, rate limit, billing issue), we catch it, log the error, and return a hardcoded default meal plan. The user still gets a response, the HTTP request still succeeds, and the failure is visible in logs without impacting the user experience. This is critical for external dependencies you do not control.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prompt engineering and how did you apply it here?</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Prompt engineering is the practice of carefully crafting the input to an AI model to get reliable, structured output. We use three techniques: a system message that sets the AI's role as a nutritionist and mandates JSON-only output (preventing markdown wrapping that would break parsing); a structured output template that defines the exact JSON schema expected; and personalised context injection that embeds the patient's actual BMI, allergies, and conditions so the plan is tailored. Without the JSON-only instruction, GPT wraps responses in markdown code fences, breaking JSON parsing.</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JPA / Database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are @PrePersist and @PreUpdate and when do you use them?</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@PrePersist is a JPA lifecycle callback that runs immediately before an entity is first saved (INSERT). @PreUpdate runs immediately before an existing entity is updated (UPDATE). We use them to compute derived fields — BMI from height and weight, sleep duration from bedTime and wakeTime. The advantage over computing in the service layer is guaranteed consistency: no matter how the entity is saved (through service code, admin tools, or batch imports), the computed fields are always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upsert pattern and how did you implement it?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Upsert means insert if not exists, update if exists — a single operation for both creation and modification. We implement it by calling findByUserId() on the repository: if the profile exists we get it back and update its fields; if not, orElse() creates a new empty entity. Then a single save() call handles both cases — JPA issues an INSERT if the entity has no ID, or an UPDATE if it already has an ID. The userId column has a UNIQUE constraint to prevent duplicate profiles.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does Spring Data JPA derive queries from method names?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Spring Data JPA parses method names on repository interfaces at startup time. It splits the name on keywords (findBy, And, Between, OrderBy, IgnoreCase, etc.) and generates a JPQL query. findByUserIdAndDateBetweenOrderByDateAsc becomes SELECT s FROM SleepLog s WHERE s.userId = ?1 AND s.date BETWEEN ?2 AND ?3 ORDER BY s.date ASC. Parameters are bound in left-to-right order. This eliminates boilerplate query code for simple cases. For complex queries with joins or aggregations, @Query with JPQL or native SQL is used instead.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When would you store JSON in a TEXT column versus creating proper relational tables?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Use a TEXT column for JSON when: the data is always read and written as a unit (you never query individual fields inside it), the structure may evolve without requiring schema migrations, and there are no foreign key or uniqueness constraints needed inside the data. Use proper tables when: you need to filter, sort, or aggregate on fields inside the JSON (e.g. SUM calories by week), enforce referential integrity, or run joins. In MediRAG, the meals breakdown is always displayed as a whole block — it is never filtered by meal type or ingredient — so TEXT JSON is the right choice.</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Architecture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does the Health Service also have its own copy of JwtUtil instead of calling the Auth Service to validate tokens?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Calling the Auth Service on every request would create tight coupling and a network round-trip on every authenticated request. If the Auth Service is slow or down, every service fails. Instead, each service independently validates the JWT using the shared secret key — this is the stateless JWT design. The cryptographic signature guarantees the token was issued by Auth Service without needing to ask it. The tradeoff is that the secret key must be consistent across all services. In production this is managed via a secrets manager like AWS Secrets Manager or HashiCorp Vault.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RestTemplate and how does it differ from WebClient?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RestTemplate is Spring's classic synchronous HTTP client. When you call postForEntity(), the current thread blocks until the HTTP response arrives. For a 2-second OpenAI call, that thread is held for 2 seconds and cannot serve other requests. WebClient is Spring WebFlux's reactive, non-blocking HTTP client. It returns a Mono or Flux — the thread is freed while waiting, and the response is processed when it arrives. For high-throughput services making many external API calls, WebClient is significantly more efficient. RestTemplate is simpler to use and sufficient for low-volume external calls like AI meal plan generation.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12. Files Created in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7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HealthServiceApplication.java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com.medirag.health</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entry point</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HealthProfile.java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 BMI computed by @PrePersist/@PreUpdate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SleepLog.java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JPA entity — duration auto-computed, quality enum</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MealPlan.java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 mealsJson as TEXT, aiGenerated flag</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HealthProfileRepository.java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findByUserId, existsByUserId</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SleepLogRepository.java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findByUserIdAndDateBetweenOrderByDateAsc</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MealPlanRepository.java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findByUserIdOrderByDateDesc</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HealthProfileRequest.java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 — height, weight, bloodType, allergies, conditions</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HealthProfileResponse.java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includes computed bmi and bmiCategory</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SleepLogRequest.java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 — date, bedTime, wakeTime, quality</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SleepLogResponse.java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includes computed durationHours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MealPlanResponse.java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 macros + mealsJson + aiGenerated flag</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parsing — same pattern as all services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JwtAuthFilter.java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OncePerRequestFilter — validates JWT per request</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OpenAIService.java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RestTemplate call to OpenAI, prompt builder, fallback</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HealthService.java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Upsert profile, sleep logs, meal plan Cache-Aside, AI generation</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HealthController.java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...controller</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endpoints — profile, sleep, meal plan</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JwtAuthFilter registered, all endpoints need auth</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AppConfig.java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ObjectMapper bean with JavaTimeModule</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Clean JSON error responses</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src/main/resources</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Redis, JWT, OpenAI config with docker/local profiles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Dockerfile</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health-service/</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Two-stage Maven + JRE build, port 8083</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13. What Comes Next — Day 4 Preview</w:t>
      </w:r>
    </w:p>
    <w:p>
      <w:pPr>
        <w:spacing w:before="60" w:after="80"/>
      </w:pPr>
      <w:r>
        <w:rPr>
          <w:rFonts w:ascii="Arial" w:cs="Arial" w:eastAsia="Arial" w:hAnsi="Arial"/>
          <w:color w:val="222222"/>
          <w:sz w:val="22"/>
          <w:szCs w:val="22"/>
        </w:rPr>
        <w:t xml:space="preserve">Day 4 builds the Mental Health Service — the AI-powered 24/7 chat interface and relaxation resources hub.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Concepts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chat sessions</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 API + PostgreSQL</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Conversation history management, multi-turn context window</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 messages</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Data JPA</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One-to-many: Session has many Messages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Relaxation resources</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 Redis</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Static content heavily cached — rarely changes</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Session management</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 JWT</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Each session tied to a userId, history preserved across requests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Day 3 Complete — Health &amp; Wellness Service</w:t>
            </w:r>
          </w:p>
          <w:p>
            <w:pPr>
              <w:jc w:val="center"/>
            </w:pPr>
            <w:r>
              <w:rPr>
                <w:rFonts w:ascii="Arial" w:cs="Arial" w:eastAsia="Arial" w:hAnsi="Arial"/>
                <w:color w:val="555555"/>
                <w:sz w:val="20"/>
                <w:szCs w:val="20"/>
              </w:rPr>
              <w:t xml:space="preserve">@PrePersist · Upsert · Date Range Queries · OpenAI RestTemplate · Fallback Pattern · Graceful Degradation</w:t>
            </w:r>
          </w:p>
          <w:p>
            <w:pPr>
              <w:jc w:val="center"/>
            </w:pPr>
            <w:r>
              <w:rPr>
                <w:rFonts w:ascii="Arial" w:cs="Arial" w:eastAsia="Arial" w:hAnsi="Arial"/>
                <w:color w:val="2E75B6"/>
                <w:sz w:val="20"/>
                <w:szCs w:val="20"/>
              </w:rPr>
              <w:t xml:space="preserve">Ready for Day 4 — Mental Health 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3: Health &amp; Wellness Service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2026-04-03T04:11:15.457Z</dcterms:created>
  <dcterms:modified xsi:type="dcterms:W3CDTF">2026-04-03T04:11:15.458Z</dcterms:modified>
</cp:coreProperties>
</file>

<file path=docProps/custom.xml><?xml version="1.0" encoding="utf-8"?>
<Properties xmlns="http://schemas.openxmlformats.org/officeDocument/2006/custom-properties" xmlns:vt="http://schemas.openxmlformats.org/officeDocument/2006/docPropsVTypes"/>
</file>