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BD0DF" w14:textId="77777777" w:rsidR="0079614E" w:rsidRDefault="0079614E" w:rsidP="0079614E">
      <w:pPr>
        <w:ind w:left="720" w:hanging="360"/>
      </w:pPr>
    </w:p>
    <w:p w14:paraId="5FF8D898" w14:textId="77777777" w:rsidR="0079614E" w:rsidRPr="000322F2" w:rsidRDefault="0079614E" w:rsidP="0079614E">
      <w:pPr>
        <w:jc w:val="center"/>
        <w:rPr>
          <w:rFonts w:ascii="Baskerville Old Face" w:hAnsi="Baskerville Old Face"/>
          <w:sz w:val="50"/>
          <w:szCs w:val="50"/>
        </w:rPr>
      </w:pPr>
      <w:proofErr w:type="spellStart"/>
      <w:r w:rsidRPr="000322F2">
        <w:rPr>
          <w:rFonts w:ascii="Baskerville Old Face" w:hAnsi="Baskerville Old Face"/>
          <w:sz w:val="50"/>
          <w:szCs w:val="50"/>
          <w:lang w:val="en-US"/>
        </w:rPr>
        <w:t>Detec</w:t>
      </w:r>
      <w:r w:rsidRPr="000322F2">
        <w:rPr>
          <w:rFonts w:ascii="Cambria" w:hAnsi="Cambria" w:cs="Cambria"/>
          <w:sz w:val="50"/>
          <w:szCs w:val="50"/>
        </w:rPr>
        <w:t>ț</w:t>
      </w:r>
      <w:r w:rsidRPr="000322F2">
        <w:rPr>
          <w:rFonts w:ascii="Baskerville Old Face" w:hAnsi="Baskerville Old Face"/>
          <w:sz w:val="50"/>
          <w:szCs w:val="50"/>
        </w:rPr>
        <w:t>ia</w:t>
      </w:r>
      <w:proofErr w:type="spellEnd"/>
      <w:r w:rsidRPr="000322F2">
        <w:rPr>
          <w:rFonts w:ascii="Baskerville Old Face" w:hAnsi="Baskerville Old Face"/>
          <w:sz w:val="50"/>
          <w:szCs w:val="50"/>
        </w:rPr>
        <w:t xml:space="preserve"> semnelor de circula</w:t>
      </w:r>
      <w:r w:rsidRPr="000322F2">
        <w:rPr>
          <w:rFonts w:ascii="Cambria" w:hAnsi="Cambria" w:cs="Cambria"/>
          <w:sz w:val="50"/>
          <w:szCs w:val="50"/>
        </w:rPr>
        <w:t>ț</w:t>
      </w:r>
      <w:r w:rsidRPr="000322F2">
        <w:rPr>
          <w:rFonts w:ascii="Baskerville Old Face" w:hAnsi="Baskerville Old Face"/>
          <w:sz w:val="50"/>
          <w:szCs w:val="50"/>
        </w:rPr>
        <w:t>ie</w:t>
      </w:r>
    </w:p>
    <w:p w14:paraId="689A3A66" w14:textId="77777777" w:rsidR="0079614E" w:rsidRPr="000322F2" w:rsidRDefault="0079614E" w:rsidP="0079614E">
      <w:pPr>
        <w:pStyle w:val="ListParagraph"/>
        <w:numPr>
          <w:ilvl w:val="0"/>
          <w:numId w:val="5"/>
        </w:numPr>
        <w:rPr>
          <w:rFonts w:ascii="Bahnschrift" w:hAnsi="Bahnschrift"/>
          <w:sz w:val="40"/>
          <w:szCs w:val="40"/>
        </w:rPr>
      </w:pPr>
      <w:r w:rsidRPr="000322F2">
        <w:rPr>
          <w:rFonts w:ascii="Bahnschrift" w:hAnsi="Bahnschrift"/>
          <w:sz w:val="40"/>
          <w:szCs w:val="40"/>
        </w:rPr>
        <w:t>Introducere</w:t>
      </w:r>
    </w:p>
    <w:p w14:paraId="7FBF4C91" w14:textId="77777777" w:rsidR="0079614E" w:rsidRPr="000322F2" w:rsidRDefault="0079614E" w:rsidP="0079614E">
      <w:pPr>
        <w:rPr>
          <w:sz w:val="28"/>
          <w:szCs w:val="28"/>
        </w:rPr>
      </w:pPr>
      <w:r w:rsidRPr="000322F2">
        <w:rPr>
          <w:sz w:val="28"/>
          <w:szCs w:val="28"/>
        </w:rPr>
        <w:t xml:space="preserve">    Semnele de circulație reprezintă cea mai importantă bază pe care trebuie să o cunoască orice conducător auto, dar odată cu timpul se pare că și mașinile autonome au ajuns să integreze această parte în sistemul lor. Sistemele de detectare și de recunoaștere reprezintă cea mai importantă parte a autonomiei unei mașini și totodată un suport pentru conducătorii auto. </w:t>
      </w:r>
    </w:p>
    <w:p w14:paraId="68E95DFE" w14:textId="77777777" w:rsidR="0079614E" w:rsidRPr="000322F2" w:rsidRDefault="0079614E" w:rsidP="0079614E">
      <w:pPr>
        <w:rPr>
          <w:sz w:val="28"/>
          <w:szCs w:val="28"/>
          <w:lang w:val="en-US"/>
        </w:rPr>
      </w:pPr>
      <w:r w:rsidRPr="000322F2">
        <w:rPr>
          <w:sz w:val="28"/>
          <w:szCs w:val="28"/>
        </w:rPr>
        <w:t xml:space="preserve">    Semnele de circulație sunt concepute în diferite forme și culori specifice fiecărei categorii, cu textul sau simbolul respectiv în contrast cu fundalul. Cu toate acestea, de multe ori pot apărea diferiți factori care împiedice sistemul de recunoaștere din a detecta aceste semne, acești factori putând fi reprezentați de</w:t>
      </w:r>
      <w:r w:rsidRPr="000322F2">
        <w:rPr>
          <w:sz w:val="28"/>
          <w:szCs w:val="28"/>
          <w:lang w:val="en-US"/>
        </w:rPr>
        <w:t xml:space="preserve">: lumina </w:t>
      </w:r>
      <w:proofErr w:type="spellStart"/>
      <w:r w:rsidRPr="000322F2">
        <w:rPr>
          <w:sz w:val="28"/>
          <w:szCs w:val="28"/>
          <w:lang w:val="en-US"/>
        </w:rPr>
        <w:t>slabă</w:t>
      </w:r>
      <w:proofErr w:type="spellEnd"/>
      <w:r w:rsidRPr="000322F2">
        <w:rPr>
          <w:sz w:val="28"/>
          <w:szCs w:val="28"/>
          <w:lang w:val="en-US"/>
        </w:rPr>
        <w:t xml:space="preserve">, </w:t>
      </w:r>
      <w:proofErr w:type="spellStart"/>
      <w:r w:rsidRPr="000322F2">
        <w:rPr>
          <w:sz w:val="28"/>
          <w:szCs w:val="28"/>
          <w:lang w:val="en-US"/>
        </w:rPr>
        <w:t>ceață</w:t>
      </w:r>
      <w:proofErr w:type="spellEnd"/>
      <w:r w:rsidRPr="000322F2">
        <w:rPr>
          <w:sz w:val="28"/>
          <w:szCs w:val="28"/>
          <w:lang w:val="en-US"/>
        </w:rPr>
        <w:t xml:space="preserve">, </w:t>
      </w:r>
      <w:proofErr w:type="spellStart"/>
      <w:r w:rsidRPr="000322F2">
        <w:rPr>
          <w:sz w:val="28"/>
          <w:szCs w:val="28"/>
          <w:lang w:val="en-US"/>
        </w:rPr>
        <w:t>furtuni</w:t>
      </w:r>
      <w:proofErr w:type="spellEnd"/>
      <w:r w:rsidRPr="000322F2">
        <w:rPr>
          <w:sz w:val="28"/>
          <w:szCs w:val="28"/>
          <w:lang w:val="en-US"/>
        </w:rPr>
        <w:t xml:space="preserve"> etc. </w:t>
      </w:r>
    </w:p>
    <w:p w14:paraId="5BC7DB46" w14:textId="77777777" w:rsidR="0079614E" w:rsidRPr="000322F2" w:rsidRDefault="0079614E" w:rsidP="0079614E">
      <w:pPr>
        <w:rPr>
          <w:sz w:val="28"/>
          <w:szCs w:val="28"/>
        </w:rPr>
      </w:pPr>
      <w:r w:rsidRPr="000322F2">
        <w:rPr>
          <w:sz w:val="28"/>
          <w:szCs w:val="28"/>
          <w:lang w:val="en-US"/>
        </w:rPr>
        <w:t xml:space="preserve">    </w:t>
      </w:r>
      <w:r w:rsidRPr="000322F2">
        <w:rPr>
          <w:sz w:val="28"/>
          <w:szCs w:val="28"/>
        </w:rPr>
        <w:t>Sistemele de recunoaștere a semnelor de circulație pot fi utilizate și pentru a ușura sarcina de întreținere a drumurilor. Sistemul trebuie să fie suficient de modular pentru a fi ușor adaptat pentru diferite forme de design ale semnelor respective, acestea fiind detectate în funcție de culoare, formă. Combinația celor două caracteristici pot duce la determinarea categoriilor din care fac parte semnele respective, cum ar fi: pericol, informare, obligare sau chiar interdicție.</w:t>
      </w:r>
    </w:p>
    <w:p w14:paraId="1D33EBE4" w14:textId="77777777" w:rsidR="0079614E" w:rsidRPr="000322F2" w:rsidRDefault="0079614E" w:rsidP="0079614E">
      <w:pPr>
        <w:pStyle w:val="ListParagraph"/>
        <w:numPr>
          <w:ilvl w:val="0"/>
          <w:numId w:val="2"/>
        </w:numPr>
        <w:rPr>
          <w:rFonts w:ascii="Bahnschrift" w:hAnsi="Bahnschrift"/>
          <w:sz w:val="40"/>
          <w:szCs w:val="40"/>
          <w:lang w:val="en-US"/>
        </w:rPr>
      </w:pPr>
      <w:r w:rsidRPr="000322F2">
        <w:rPr>
          <w:rFonts w:ascii="Bahnschrift" w:hAnsi="Bahnschrift"/>
          <w:sz w:val="40"/>
          <w:szCs w:val="40"/>
          <w:lang w:val="en-US"/>
        </w:rPr>
        <w:t>State of the Art</w:t>
      </w:r>
    </w:p>
    <w:p w14:paraId="6BED4D09" w14:textId="77777777" w:rsidR="0079614E" w:rsidRDefault="0079614E" w:rsidP="0079614E">
      <w:pPr>
        <w:jc w:val="center"/>
        <w:rPr>
          <w:sz w:val="26"/>
          <w:szCs w:val="26"/>
          <w:lang w:val="en-US"/>
        </w:rPr>
      </w:pPr>
    </w:p>
    <w:p w14:paraId="09B14FDA" w14:textId="77777777" w:rsidR="0079614E" w:rsidRDefault="0079614E" w:rsidP="0079614E">
      <w:pPr>
        <w:jc w:val="center"/>
        <w:rPr>
          <w:sz w:val="26"/>
          <w:szCs w:val="26"/>
          <w:lang w:val="en-US"/>
        </w:rPr>
      </w:pPr>
      <w:r>
        <w:rPr>
          <w:noProof/>
          <w:sz w:val="26"/>
          <w:szCs w:val="26"/>
          <w:lang w:val="en-US"/>
        </w:rPr>
        <w:drawing>
          <wp:inline distT="0" distB="0" distL="0" distR="0" wp14:anchorId="72A4C833" wp14:editId="36A136C7">
            <wp:extent cx="4937323" cy="2007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63702" cy="2018572"/>
                    </a:xfrm>
                    <a:prstGeom prst="rect">
                      <a:avLst/>
                    </a:prstGeom>
                    <a:noFill/>
                    <a:ln>
                      <a:noFill/>
                    </a:ln>
                  </pic:spPr>
                </pic:pic>
              </a:graphicData>
            </a:graphic>
          </wp:inline>
        </w:drawing>
      </w:r>
    </w:p>
    <w:p w14:paraId="72512227" w14:textId="77777777" w:rsidR="0079614E" w:rsidRPr="000322F2" w:rsidRDefault="0079614E" w:rsidP="0079614E">
      <w:pPr>
        <w:shd w:val="clear" w:color="auto" w:fill="FFFFFF"/>
        <w:spacing w:after="0" w:line="240" w:lineRule="auto"/>
        <w:rPr>
          <w:rFonts w:eastAsia="Times New Roman" w:cstheme="minorHAnsi"/>
          <w:sz w:val="28"/>
          <w:szCs w:val="28"/>
          <w:lang w:val="en-US"/>
        </w:rPr>
      </w:pPr>
      <w:r w:rsidRPr="000322F2">
        <w:rPr>
          <w:rFonts w:eastAsia="Times New Roman" w:cstheme="minorHAnsi"/>
          <w:sz w:val="28"/>
          <w:szCs w:val="28"/>
        </w:rPr>
        <w:lastRenderedPageBreak/>
        <w:t>Prezentarea imaginii de mai sus</w:t>
      </w:r>
      <w:r w:rsidRPr="000322F2">
        <w:rPr>
          <w:rFonts w:eastAsia="Times New Roman" w:cstheme="minorHAnsi"/>
          <w:sz w:val="28"/>
          <w:szCs w:val="28"/>
          <w:lang w:val="en-US"/>
        </w:rPr>
        <w:t>:</w:t>
      </w:r>
    </w:p>
    <w:p w14:paraId="2D9828B5" w14:textId="77777777" w:rsidR="0079614E" w:rsidRPr="000A37B8" w:rsidRDefault="0079614E" w:rsidP="0079614E">
      <w:pPr>
        <w:shd w:val="clear" w:color="auto" w:fill="FFFFFF"/>
        <w:spacing w:after="0" w:line="240" w:lineRule="auto"/>
        <w:rPr>
          <w:rFonts w:eastAsia="Times New Roman" w:cstheme="minorHAnsi"/>
          <w:sz w:val="28"/>
          <w:szCs w:val="28"/>
          <w:lang w:val="en-US"/>
        </w:rPr>
      </w:pPr>
      <w:r w:rsidRPr="000322F2">
        <w:rPr>
          <w:rFonts w:eastAsia="Times New Roman" w:cstheme="minorHAnsi"/>
          <w:sz w:val="28"/>
          <w:szCs w:val="28"/>
          <w:lang w:val="en-US"/>
        </w:rPr>
        <w:t xml:space="preserve"> </w:t>
      </w:r>
    </w:p>
    <w:p w14:paraId="415E6904" w14:textId="77777777" w:rsidR="0079614E" w:rsidRPr="000A37B8" w:rsidRDefault="0079614E" w:rsidP="0079614E">
      <w:pPr>
        <w:numPr>
          <w:ilvl w:val="0"/>
          <w:numId w:val="3"/>
        </w:numPr>
        <w:shd w:val="clear" w:color="auto" w:fill="FFFFFF"/>
        <w:spacing w:after="0" w:line="240" w:lineRule="auto"/>
        <w:ind w:left="1020"/>
        <w:rPr>
          <w:rFonts w:eastAsia="Times New Roman" w:cstheme="minorHAnsi"/>
          <w:sz w:val="28"/>
          <w:szCs w:val="28"/>
        </w:rPr>
      </w:pPr>
      <w:r w:rsidRPr="000A37B8">
        <w:rPr>
          <w:rFonts w:eastAsia="Times New Roman" w:cstheme="minorHAnsi"/>
          <w:sz w:val="28"/>
          <w:szCs w:val="28"/>
        </w:rPr>
        <w:t>Camera de înaltă rezoluție și un unghi larg care detectează semnele de circulație și oferă imagini clare; </w:t>
      </w:r>
    </w:p>
    <w:p w14:paraId="5DEFA04F" w14:textId="77777777" w:rsidR="0079614E" w:rsidRPr="000A37B8" w:rsidRDefault="0079614E" w:rsidP="0079614E">
      <w:pPr>
        <w:numPr>
          <w:ilvl w:val="0"/>
          <w:numId w:val="3"/>
        </w:numPr>
        <w:shd w:val="clear" w:color="auto" w:fill="FFFFFF"/>
        <w:spacing w:after="0" w:line="240" w:lineRule="auto"/>
        <w:ind w:left="1020"/>
        <w:rPr>
          <w:rFonts w:eastAsia="Times New Roman" w:cstheme="minorHAnsi"/>
          <w:sz w:val="28"/>
          <w:szCs w:val="28"/>
        </w:rPr>
      </w:pPr>
      <w:r w:rsidRPr="000A37B8">
        <w:rPr>
          <w:rFonts w:eastAsia="Times New Roman" w:cstheme="minorHAnsi"/>
          <w:sz w:val="28"/>
          <w:szCs w:val="28"/>
        </w:rPr>
        <w:t>Segmentarea culorii, care este un pas important pentru a elimina toate obiectele de fond și informații neimportante în imagine;</w:t>
      </w:r>
    </w:p>
    <w:p w14:paraId="4CE5D914" w14:textId="77777777" w:rsidR="0079614E" w:rsidRPr="000A37B8" w:rsidRDefault="0079614E" w:rsidP="0079614E">
      <w:pPr>
        <w:numPr>
          <w:ilvl w:val="0"/>
          <w:numId w:val="3"/>
        </w:numPr>
        <w:shd w:val="clear" w:color="auto" w:fill="FFFFFF"/>
        <w:spacing w:after="0" w:line="240" w:lineRule="auto"/>
        <w:ind w:left="1020"/>
        <w:rPr>
          <w:rFonts w:eastAsia="Times New Roman" w:cstheme="minorHAnsi"/>
          <w:sz w:val="28"/>
          <w:szCs w:val="28"/>
        </w:rPr>
      </w:pPr>
      <w:r w:rsidRPr="000A37B8">
        <w:rPr>
          <w:rFonts w:eastAsia="Times New Roman" w:cstheme="minorHAnsi"/>
          <w:sz w:val="28"/>
          <w:szCs w:val="28"/>
        </w:rPr>
        <w:t>Analiza formei semnului de circulație: acest modul normalizează semnul de circulație recunoscut, astfel încât acesta să devină invariabil la transformări. Acest lucru înseamnă că semnul rezultat are o dimensiune fixă și este situat într-o poziție standard;</w:t>
      </w:r>
    </w:p>
    <w:p w14:paraId="28C5C110" w14:textId="77777777" w:rsidR="0079614E" w:rsidRPr="000A37B8" w:rsidRDefault="0079614E" w:rsidP="0079614E">
      <w:pPr>
        <w:numPr>
          <w:ilvl w:val="0"/>
          <w:numId w:val="3"/>
        </w:numPr>
        <w:shd w:val="clear" w:color="auto" w:fill="FFFFFF"/>
        <w:spacing w:after="0" w:line="240" w:lineRule="auto"/>
        <w:ind w:left="1020"/>
        <w:rPr>
          <w:rFonts w:eastAsia="Times New Roman" w:cstheme="minorHAnsi"/>
          <w:sz w:val="28"/>
          <w:szCs w:val="28"/>
        </w:rPr>
      </w:pPr>
      <w:r w:rsidRPr="000A37B8">
        <w:rPr>
          <w:rFonts w:eastAsia="Times New Roman" w:cstheme="minorHAnsi"/>
          <w:sz w:val="28"/>
          <w:szCs w:val="28"/>
        </w:rPr>
        <w:t>Baza de date cu imagini brute este pur și simplu o colecție de scene de trafic realizate de către cameră;</w:t>
      </w:r>
    </w:p>
    <w:p w14:paraId="458C52C3" w14:textId="77777777" w:rsidR="0079614E" w:rsidRPr="000A37B8" w:rsidRDefault="0079614E" w:rsidP="0079614E">
      <w:pPr>
        <w:numPr>
          <w:ilvl w:val="0"/>
          <w:numId w:val="3"/>
        </w:numPr>
        <w:shd w:val="clear" w:color="auto" w:fill="FFFFFF"/>
        <w:spacing w:after="0" w:line="240" w:lineRule="auto"/>
        <w:ind w:left="1020"/>
        <w:rPr>
          <w:rFonts w:eastAsia="Times New Roman" w:cstheme="minorHAnsi"/>
          <w:sz w:val="28"/>
          <w:szCs w:val="28"/>
        </w:rPr>
      </w:pPr>
      <w:r w:rsidRPr="000A37B8">
        <w:rPr>
          <w:rFonts w:eastAsia="Times New Roman" w:cstheme="minorHAnsi"/>
          <w:sz w:val="28"/>
          <w:szCs w:val="28"/>
        </w:rPr>
        <w:t>Baza de date cu imagini binare, care conține imagini binare de dimensiuni normalizate precum 36x36 pixeli. Această bază de date este folosită pentru extragerea unor caracteristici ale semnelor de circulație pentru validarea acestora;</w:t>
      </w:r>
    </w:p>
    <w:p w14:paraId="334FD569" w14:textId="77777777" w:rsidR="0079614E" w:rsidRPr="000A37B8" w:rsidRDefault="0079614E" w:rsidP="0079614E">
      <w:pPr>
        <w:numPr>
          <w:ilvl w:val="0"/>
          <w:numId w:val="3"/>
        </w:numPr>
        <w:shd w:val="clear" w:color="auto" w:fill="FFFFFF"/>
        <w:spacing w:after="0" w:line="240" w:lineRule="auto"/>
        <w:ind w:left="1020"/>
        <w:rPr>
          <w:rFonts w:eastAsia="Times New Roman" w:cstheme="minorHAnsi"/>
          <w:sz w:val="28"/>
          <w:szCs w:val="28"/>
        </w:rPr>
      </w:pPr>
      <w:r w:rsidRPr="000A37B8">
        <w:rPr>
          <w:rFonts w:eastAsia="Times New Roman" w:cstheme="minorHAnsi"/>
          <w:sz w:val="28"/>
          <w:szCs w:val="28"/>
        </w:rPr>
        <w:t>Modulul de extragere a caracteristicilor imaginilor conține algoritmi care sunt utilizați pentru a extrage caracteristici de la oricare imagine formată în baza de date; </w:t>
      </w:r>
    </w:p>
    <w:p w14:paraId="18BAFD6E" w14:textId="77777777" w:rsidR="0079614E" w:rsidRPr="000322F2" w:rsidRDefault="0079614E" w:rsidP="0079614E">
      <w:pPr>
        <w:numPr>
          <w:ilvl w:val="0"/>
          <w:numId w:val="3"/>
        </w:numPr>
        <w:shd w:val="clear" w:color="auto" w:fill="FFFFFF"/>
        <w:spacing w:after="0" w:line="240" w:lineRule="auto"/>
        <w:ind w:left="1020"/>
        <w:rPr>
          <w:rFonts w:eastAsia="Times New Roman" w:cstheme="minorHAnsi"/>
          <w:sz w:val="28"/>
          <w:szCs w:val="28"/>
        </w:rPr>
      </w:pPr>
      <w:r w:rsidRPr="000A37B8">
        <w:rPr>
          <w:rFonts w:eastAsia="Times New Roman" w:cstheme="minorHAnsi"/>
          <w:sz w:val="28"/>
          <w:szCs w:val="28"/>
        </w:rPr>
        <w:t>Modulul de clasificare a imaginii joacă un rol central în această etapă și semnele sunt clasificate în clase diferite, cum ar fi triunghiuri, cercuri, octogoane, etc. Pictograma analizată permite o etapă ulterioară de clasificare, prin analizarea pictogramei împreună cu textul din interiorul semnului, fiind ușor a decide clasa individuală a semnului în cauză.</w:t>
      </w:r>
    </w:p>
    <w:p w14:paraId="58992818" w14:textId="77777777" w:rsidR="0079614E" w:rsidRDefault="0079614E" w:rsidP="0079614E">
      <w:pPr>
        <w:shd w:val="clear" w:color="auto" w:fill="FFFFFF"/>
        <w:spacing w:after="0" w:line="240" w:lineRule="auto"/>
        <w:ind w:left="1020"/>
        <w:rPr>
          <w:rFonts w:eastAsia="Times New Roman" w:cstheme="minorHAnsi"/>
          <w:sz w:val="26"/>
          <w:szCs w:val="26"/>
        </w:rPr>
      </w:pPr>
    </w:p>
    <w:p w14:paraId="06A41756" w14:textId="77777777" w:rsidR="0079614E" w:rsidRDefault="0079614E" w:rsidP="0079614E">
      <w:pPr>
        <w:shd w:val="clear" w:color="auto" w:fill="FFFFFF"/>
        <w:spacing w:after="0" w:line="240" w:lineRule="auto"/>
        <w:ind w:left="1020"/>
        <w:rPr>
          <w:rFonts w:eastAsia="Times New Roman" w:cstheme="minorHAnsi"/>
          <w:sz w:val="26"/>
          <w:szCs w:val="26"/>
        </w:rPr>
      </w:pPr>
      <w:r>
        <w:rPr>
          <w:rFonts w:eastAsia="Times New Roman" w:cstheme="minorHAnsi"/>
          <w:sz w:val="26"/>
          <w:szCs w:val="26"/>
        </w:rPr>
        <w:t>Culorile și semnificațiile lor:</w:t>
      </w:r>
    </w:p>
    <w:tbl>
      <w:tblPr>
        <w:tblStyle w:val="TableGrid"/>
        <w:tblW w:w="0" w:type="auto"/>
        <w:tblInd w:w="1020" w:type="dxa"/>
        <w:tblLook w:val="04A0" w:firstRow="1" w:lastRow="0" w:firstColumn="1" w:lastColumn="0" w:noHBand="0" w:noVBand="1"/>
      </w:tblPr>
      <w:tblGrid>
        <w:gridCol w:w="4117"/>
        <w:gridCol w:w="4213"/>
      </w:tblGrid>
      <w:tr w:rsidR="0079614E" w14:paraId="3D762642" w14:textId="77777777" w:rsidTr="006779CB">
        <w:tc>
          <w:tcPr>
            <w:tcW w:w="4788" w:type="dxa"/>
          </w:tcPr>
          <w:p w14:paraId="601FDFF5" w14:textId="77777777" w:rsidR="0079614E" w:rsidRPr="002A23BC" w:rsidRDefault="0079614E" w:rsidP="006779CB">
            <w:pPr>
              <w:rPr>
                <w:rFonts w:eastAsia="Times New Roman" w:cstheme="minorHAnsi"/>
                <w:b/>
                <w:bCs/>
                <w:sz w:val="32"/>
                <w:szCs w:val="32"/>
              </w:rPr>
            </w:pPr>
            <w:r w:rsidRPr="002A23BC">
              <w:rPr>
                <w:rFonts w:eastAsia="Times New Roman" w:cstheme="minorHAnsi"/>
                <w:b/>
                <w:bCs/>
                <w:sz w:val="32"/>
                <w:szCs w:val="32"/>
              </w:rPr>
              <w:t>Culoare</w:t>
            </w:r>
          </w:p>
        </w:tc>
        <w:tc>
          <w:tcPr>
            <w:tcW w:w="4788" w:type="dxa"/>
          </w:tcPr>
          <w:p w14:paraId="41DFB02B" w14:textId="77777777" w:rsidR="0079614E" w:rsidRPr="002A23BC" w:rsidRDefault="0079614E" w:rsidP="006779CB">
            <w:pPr>
              <w:rPr>
                <w:rFonts w:eastAsia="Times New Roman" w:cstheme="minorHAnsi"/>
                <w:b/>
                <w:bCs/>
                <w:sz w:val="32"/>
                <w:szCs w:val="32"/>
              </w:rPr>
            </w:pPr>
            <w:r w:rsidRPr="002A23BC">
              <w:rPr>
                <w:rFonts w:eastAsia="Times New Roman" w:cstheme="minorHAnsi"/>
                <w:b/>
                <w:bCs/>
                <w:sz w:val="32"/>
                <w:szCs w:val="32"/>
              </w:rPr>
              <w:t>Semnificație</w:t>
            </w:r>
          </w:p>
        </w:tc>
      </w:tr>
      <w:tr w:rsidR="0079614E" w14:paraId="4CD5EBAC" w14:textId="77777777" w:rsidTr="006779CB">
        <w:tc>
          <w:tcPr>
            <w:tcW w:w="4788" w:type="dxa"/>
          </w:tcPr>
          <w:p w14:paraId="78A67423" w14:textId="77777777" w:rsidR="0079614E" w:rsidRPr="000322F2" w:rsidRDefault="0079614E" w:rsidP="006779CB">
            <w:pPr>
              <w:rPr>
                <w:rFonts w:eastAsia="Times New Roman" w:cstheme="minorHAnsi"/>
                <w:sz w:val="28"/>
                <w:szCs w:val="28"/>
              </w:rPr>
            </w:pPr>
            <w:r w:rsidRPr="000322F2">
              <w:rPr>
                <w:rFonts w:eastAsia="Times New Roman" w:cstheme="minorHAnsi"/>
                <w:sz w:val="28"/>
                <w:szCs w:val="28"/>
              </w:rPr>
              <w:t>Roșu</w:t>
            </w:r>
          </w:p>
        </w:tc>
        <w:tc>
          <w:tcPr>
            <w:tcW w:w="4788" w:type="dxa"/>
          </w:tcPr>
          <w:p w14:paraId="24C24B77" w14:textId="77777777" w:rsidR="0079614E" w:rsidRPr="000322F2" w:rsidRDefault="0079614E" w:rsidP="006779CB">
            <w:pPr>
              <w:rPr>
                <w:rFonts w:eastAsia="Times New Roman" w:cstheme="minorHAnsi"/>
                <w:sz w:val="28"/>
                <w:szCs w:val="28"/>
              </w:rPr>
            </w:pPr>
            <w:r w:rsidRPr="000322F2">
              <w:rPr>
                <w:rFonts w:eastAsia="Times New Roman" w:cstheme="minorHAnsi"/>
                <w:sz w:val="28"/>
                <w:szCs w:val="28"/>
              </w:rPr>
              <w:t>Avertisment</w:t>
            </w:r>
          </w:p>
        </w:tc>
      </w:tr>
      <w:tr w:rsidR="0079614E" w14:paraId="1FA4EB77" w14:textId="77777777" w:rsidTr="006779CB">
        <w:tc>
          <w:tcPr>
            <w:tcW w:w="4788" w:type="dxa"/>
          </w:tcPr>
          <w:p w14:paraId="45BEFE59" w14:textId="77777777" w:rsidR="0079614E" w:rsidRPr="000322F2" w:rsidRDefault="0079614E" w:rsidP="006779CB">
            <w:pPr>
              <w:rPr>
                <w:rFonts w:eastAsia="Times New Roman" w:cstheme="minorHAnsi"/>
                <w:sz w:val="28"/>
                <w:szCs w:val="28"/>
              </w:rPr>
            </w:pPr>
            <w:r w:rsidRPr="000322F2">
              <w:rPr>
                <w:rFonts w:eastAsia="Times New Roman" w:cstheme="minorHAnsi"/>
                <w:sz w:val="28"/>
                <w:szCs w:val="28"/>
              </w:rPr>
              <w:t>Albastru</w:t>
            </w:r>
          </w:p>
        </w:tc>
        <w:tc>
          <w:tcPr>
            <w:tcW w:w="4788" w:type="dxa"/>
          </w:tcPr>
          <w:p w14:paraId="4B308681" w14:textId="77777777" w:rsidR="0079614E" w:rsidRPr="000322F2" w:rsidRDefault="0079614E" w:rsidP="006779CB">
            <w:pPr>
              <w:rPr>
                <w:rFonts w:eastAsia="Times New Roman" w:cstheme="minorHAnsi"/>
                <w:sz w:val="28"/>
                <w:szCs w:val="28"/>
              </w:rPr>
            </w:pPr>
            <w:r w:rsidRPr="000322F2">
              <w:rPr>
                <w:rFonts w:eastAsia="Times New Roman" w:cstheme="minorHAnsi"/>
                <w:sz w:val="28"/>
                <w:szCs w:val="28"/>
              </w:rPr>
              <w:t>Direcția</w:t>
            </w:r>
          </w:p>
        </w:tc>
      </w:tr>
      <w:tr w:rsidR="0079614E" w14:paraId="22E7E310" w14:textId="77777777" w:rsidTr="006779CB">
        <w:tc>
          <w:tcPr>
            <w:tcW w:w="4788" w:type="dxa"/>
          </w:tcPr>
          <w:p w14:paraId="14E9FD97" w14:textId="77777777" w:rsidR="0079614E" w:rsidRPr="000322F2" w:rsidRDefault="0079614E" w:rsidP="006779CB">
            <w:pPr>
              <w:rPr>
                <w:rFonts w:eastAsia="Times New Roman" w:cstheme="minorHAnsi"/>
                <w:sz w:val="28"/>
                <w:szCs w:val="28"/>
              </w:rPr>
            </w:pPr>
            <w:r w:rsidRPr="000322F2">
              <w:rPr>
                <w:rFonts w:eastAsia="Times New Roman" w:cstheme="minorHAnsi"/>
                <w:sz w:val="28"/>
                <w:szCs w:val="28"/>
              </w:rPr>
              <w:t>Verde</w:t>
            </w:r>
          </w:p>
        </w:tc>
        <w:tc>
          <w:tcPr>
            <w:tcW w:w="4788" w:type="dxa"/>
          </w:tcPr>
          <w:p w14:paraId="6FB236A9" w14:textId="77777777" w:rsidR="0079614E" w:rsidRPr="000322F2" w:rsidRDefault="0079614E" w:rsidP="006779CB">
            <w:pPr>
              <w:rPr>
                <w:rFonts w:eastAsia="Times New Roman" w:cstheme="minorHAnsi"/>
                <w:sz w:val="28"/>
                <w:szCs w:val="28"/>
              </w:rPr>
            </w:pPr>
            <w:r w:rsidRPr="000322F2">
              <w:rPr>
                <w:rFonts w:eastAsia="Times New Roman" w:cstheme="minorHAnsi"/>
                <w:sz w:val="28"/>
                <w:szCs w:val="28"/>
              </w:rPr>
              <w:t>Ghidare și kilometraj</w:t>
            </w:r>
          </w:p>
        </w:tc>
      </w:tr>
      <w:tr w:rsidR="0079614E" w14:paraId="75011E24" w14:textId="77777777" w:rsidTr="006779CB">
        <w:tc>
          <w:tcPr>
            <w:tcW w:w="4788" w:type="dxa"/>
          </w:tcPr>
          <w:p w14:paraId="34FEA56B" w14:textId="77777777" w:rsidR="0079614E" w:rsidRPr="000322F2" w:rsidRDefault="0079614E" w:rsidP="006779CB">
            <w:pPr>
              <w:rPr>
                <w:rFonts w:eastAsia="Times New Roman" w:cstheme="minorHAnsi"/>
                <w:sz w:val="28"/>
                <w:szCs w:val="28"/>
              </w:rPr>
            </w:pPr>
            <w:r w:rsidRPr="000322F2">
              <w:rPr>
                <w:rFonts w:eastAsia="Times New Roman" w:cstheme="minorHAnsi"/>
                <w:sz w:val="28"/>
                <w:szCs w:val="28"/>
              </w:rPr>
              <w:t>Portocaliu</w:t>
            </w:r>
          </w:p>
        </w:tc>
        <w:tc>
          <w:tcPr>
            <w:tcW w:w="4788" w:type="dxa"/>
          </w:tcPr>
          <w:p w14:paraId="281CD416" w14:textId="77777777" w:rsidR="0079614E" w:rsidRPr="000322F2" w:rsidRDefault="0079614E" w:rsidP="006779CB">
            <w:pPr>
              <w:rPr>
                <w:rFonts w:eastAsia="Times New Roman" w:cstheme="minorHAnsi"/>
                <w:sz w:val="28"/>
                <w:szCs w:val="28"/>
              </w:rPr>
            </w:pPr>
            <w:r w:rsidRPr="000322F2">
              <w:rPr>
                <w:rFonts w:eastAsia="Times New Roman" w:cstheme="minorHAnsi"/>
                <w:sz w:val="28"/>
                <w:szCs w:val="28"/>
              </w:rPr>
              <w:t>Construcții și lucrări de mentenanță</w:t>
            </w:r>
          </w:p>
        </w:tc>
      </w:tr>
      <w:tr w:rsidR="0079614E" w14:paraId="7BF554DE" w14:textId="77777777" w:rsidTr="006779CB">
        <w:tc>
          <w:tcPr>
            <w:tcW w:w="4788" w:type="dxa"/>
          </w:tcPr>
          <w:p w14:paraId="46EE363A" w14:textId="77777777" w:rsidR="0079614E" w:rsidRPr="000322F2" w:rsidRDefault="0079614E" w:rsidP="006779CB">
            <w:pPr>
              <w:rPr>
                <w:rFonts w:eastAsia="Times New Roman" w:cstheme="minorHAnsi"/>
                <w:sz w:val="28"/>
                <w:szCs w:val="28"/>
              </w:rPr>
            </w:pPr>
            <w:r w:rsidRPr="000322F2">
              <w:rPr>
                <w:rFonts w:eastAsia="Times New Roman" w:cstheme="minorHAnsi"/>
                <w:sz w:val="28"/>
                <w:szCs w:val="28"/>
              </w:rPr>
              <w:t>Maro</w:t>
            </w:r>
          </w:p>
        </w:tc>
        <w:tc>
          <w:tcPr>
            <w:tcW w:w="4788" w:type="dxa"/>
          </w:tcPr>
          <w:p w14:paraId="3BA31F52" w14:textId="77777777" w:rsidR="0079614E" w:rsidRPr="000322F2" w:rsidRDefault="0079614E" w:rsidP="006779CB">
            <w:pPr>
              <w:rPr>
                <w:rFonts w:eastAsia="Times New Roman" w:cstheme="minorHAnsi"/>
                <w:sz w:val="28"/>
                <w:szCs w:val="28"/>
              </w:rPr>
            </w:pPr>
            <w:r w:rsidRPr="000322F2">
              <w:rPr>
                <w:rFonts w:eastAsia="Times New Roman" w:cstheme="minorHAnsi"/>
                <w:sz w:val="28"/>
                <w:szCs w:val="28"/>
              </w:rPr>
              <w:t>Recreere</w:t>
            </w:r>
          </w:p>
        </w:tc>
      </w:tr>
      <w:tr w:rsidR="0079614E" w:rsidRPr="003F120D" w14:paraId="0F35A490" w14:textId="77777777" w:rsidTr="006779CB">
        <w:tc>
          <w:tcPr>
            <w:tcW w:w="4788" w:type="dxa"/>
          </w:tcPr>
          <w:p w14:paraId="0DC5BED0" w14:textId="77777777" w:rsidR="0079614E" w:rsidRPr="000322F2" w:rsidRDefault="0079614E" w:rsidP="006779CB">
            <w:pPr>
              <w:rPr>
                <w:rFonts w:eastAsia="Times New Roman" w:cstheme="minorHAnsi"/>
                <w:sz w:val="28"/>
                <w:szCs w:val="28"/>
              </w:rPr>
            </w:pPr>
            <w:r w:rsidRPr="000322F2">
              <w:rPr>
                <w:rFonts w:eastAsia="Times New Roman" w:cstheme="minorHAnsi"/>
                <w:sz w:val="28"/>
                <w:szCs w:val="28"/>
              </w:rPr>
              <w:t>Galben</w:t>
            </w:r>
          </w:p>
        </w:tc>
        <w:tc>
          <w:tcPr>
            <w:tcW w:w="4788" w:type="dxa"/>
          </w:tcPr>
          <w:p w14:paraId="7635F645" w14:textId="77777777" w:rsidR="0079614E" w:rsidRPr="000322F2" w:rsidRDefault="0079614E" w:rsidP="006779CB">
            <w:pPr>
              <w:rPr>
                <w:rFonts w:eastAsia="Times New Roman" w:cstheme="minorHAnsi"/>
                <w:sz w:val="28"/>
                <w:szCs w:val="28"/>
              </w:rPr>
            </w:pPr>
            <w:r w:rsidRPr="000322F2">
              <w:rPr>
                <w:rFonts w:eastAsia="Times New Roman" w:cstheme="minorHAnsi"/>
                <w:sz w:val="28"/>
                <w:szCs w:val="28"/>
              </w:rPr>
              <w:t>Avertizare</w:t>
            </w:r>
          </w:p>
        </w:tc>
      </w:tr>
      <w:tr w:rsidR="0079614E" w:rsidRPr="003F120D" w14:paraId="5C3CD0BB" w14:textId="77777777" w:rsidTr="006779CB">
        <w:tc>
          <w:tcPr>
            <w:tcW w:w="4788" w:type="dxa"/>
          </w:tcPr>
          <w:p w14:paraId="17F6E695" w14:textId="77777777" w:rsidR="0079614E" w:rsidRPr="000322F2" w:rsidRDefault="0079614E" w:rsidP="006779CB">
            <w:pPr>
              <w:rPr>
                <w:rFonts w:eastAsia="Times New Roman" w:cstheme="minorHAnsi"/>
                <w:sz w:val="28"/>
                <w:szCs w:val="28"/>
              </w:rPr>
            </w:pPr>
            <w:r w:rsidRPr="000322F2">
              <w:rPr>
                <w:rFonts w:eastAsia="Times New Roman" w:cstheme="minorHAnsi"/>
                <w:sz w:val="28"/>
                <w:szCs w:val="28"/>
              </w:rPr>
              <w:t>Alb</w:t>
            </w:r>
          </w:p>
        </w:tc>
        <w:tc>
          <w:tcPr>
            <w:tcW w:w="4788" w:type="dxa"/>
          </w:tcPr>
          <w:p w14:paraId="75F8936E" w14:textId="77777777" w:rsidR="0079614E" w:rsidRPr="000322F2" w:rsidRDefault="0079614E" w:rsidP="006779CB">
            <w:pPr>
              <w:rPr>
                <w:rFonts w:eastAsia="Times New Roman" w:cstheme="minorHAnsi"/>
                <w:sz w:val="28"/>
                <w:szCs w:val="28"/>
              </w:rPr>
            </w:pPr>
            <w:r w:rsidRPr="000322F2">
              <w:rPr>
                <w:rFonts w:eastAsia="Times New Roman" w:cstheme="minorHAnsi"/>
                <w:sz w:val="28"/>
                <w:szCs w:val="28"/>
              </w:rPr>
              <w:t>Auxiliar</w:t>
            </w:r>
          </w:p>
        </w:tc>
      </w:tr>
    </w:tbl>
    <w:p w14:paraId="242073D2" w14:textId="77777777" w:rsidR="0079614E" w:rsidRDefault="0079614E" w:rsidP="0079614E">
      <w:pPr>
        <w:shd w:val="clear" w:color="auto" w:fill="FFFFFF"/>
        <w:spacing w:after="0" w:line="240" w:lineRule="auto"/>
        <w:ind w:left="1020"/>
        <w:rPr>
          <w:rFonts w:eastAsia="Times New Roman" w:cstheme="minorHAnsi"/>
          <w:sz w:val="26"/>
          <w:szCs w:val="26"/>
        </w:rPr>
      </w:pPr>
    </w:p>
    <w:p w14:paraId="0C08099F" w14:textId="77777777" w:rsidR="0079614E" w:rsidRDefault="0079614E" w:rsidP="0079614E">
      <w:pPr>
        <w:shd w:val="clear" w:color="auto" w:fill="FFFFFF"/>
        <w:spacing w:after="0" w:line="240" w:lineRule="auto"/>
        <w:ind w:left="1020"/>
        <w:rPr>
          <w:rFonts w:eastAsia="Times New Roman" w:cstheme="minorHAnsi"/>
          <w:sz w:val="26"/>
          <w:szCs w:val="26"/>
        </w:rPr>
      </w:pPr>
    </w:p>
    <w:p w14:paraId="2B65D36F" w14:textId="77777777" w:rsidR="0079614E" w:rsidRPr="003F120D" w:rsidRDefault="0079614E" w:rsidP="0079614E">
      <w:pPr>
        <w:shd w:val="clear" w:color="auto" w:fill="FFFFFF"/>
        <w:spacing w:after="0" w:line="240" w:lineRule="auto"/>
        <w:ind w:left="1020"/>
        <w:rPr>
          <w:rFonts w:eastAsia="Times New Roman" w:cstheme="minorHAnsi"/>
          <w:sz w:val="26"/>
          <w:szCs w:val="26"/>
        </w:rPr>
      </w:pPr>
    </w:p>
    <w:p w14:paraId="7C6D056A" w14:textId="77777777" w:rsidR="0079614E" w:rsidRPr="000A37B8" w:rsidRDefault="0079614E" w:rsidP="0079614E">
      <w:pPr>
        <w:shd w:val="clear" w:color="auto" w:fill="FFFFFF"/>
        <w:spacing w:after="0" w:line="240" w:lineRule="auto"/>
        <w:ind w:left="1020"/>
        <w:rPr>
          <w:rFonts w:eastAsia="Times New Roman" w:cstheme="minorHAnsi"/>
          <w:sz w:val="28"/>
          <w:szCs w:val="28"/>
        </w:rPr>
      </w:pPr>
      <w:r w:rsidRPr="000322F2">
        <w:rPr>
          <w:rFonts w:eastAsia="Times New Roman" w:cstheme="minorHAnsi"/>
          <w:sz w:val="28"/>
          <w:szCs w:val="28"/>
        </w:rPr>
        <w:t>Formele și semnificațiile lor:</w:t>
      </w:r>
    </w:p>
    <w:tbl>
      <w:tblPr>
        <w:tblStyle w:val="TableGrid"/>
        <w:tblW w:w="0" w:type="auto"/>
        <w:tblInd w:w="1008" w:type="dxa"/>
        <w:tblLook w:val="04A0" w:firstRow="1" w:lastRow="0" w:firstColumn="1" w:lastColumn="0" w:noHBand="0" w:noVBand="1"/>
      </w:tblPr>
      <w:tblGrid>
        <w:gridCol w:w="4112"/>
        <w:gridCol w:w="4230"/>
      </w:tblGrid>
      <w:tr w:rsidR="0079614E" w:rsidRPr="003F120D" w14:paraId="5E103ADE" w14:textId="77777777" w:rsidTr="006779CB">
        <w:tc>
          <w:tcPr>
            <w:tcW w:w="4230" w:type="dxa"/>
          </w:tcPr>
          <w:p w14:paraId="7D75A745" w14:textId="77777777" w:rsidR="0079614E" w:rsidRPr="003F120D" w:rsidRDefault="0079614E" w:rsidP="006779CB">
            <w:pPr>
              <w:rPr>
                <w:b/>
                <w:bCs/>
                <w:sz w:val="32"/>
                <w:szCs w:val="32"/>
              </w:rPr>
            </w:pPr>
            <w:r w:rsidRPr="003F120D">
              <w:rPr>
                <w:b/>
                <w:bCs/>
                <w:sz w:val="32"/>
                <w:szCs w:val="32"/>
              </w:rPr>
              <w:t>Formă</w:t>
            </w:r>
          </w:p>
        </w:tc>
        <w:tc>
          <w:tcPr>
            <w:tcW w:w="4338" w:type="dxa"/>
          </w:tcPr>
          <w:p w14:paraId="259EF456" w14:textId="77777777" w:rsidR="0079614E" w:rsidRPr="003F120D" w:rsidRDefault="0079614E" w:rsidP="006779CB">
            <w:pPr>
              <w:rPr>
                <w:b/>
                <w:bCs/>
                <w:sz w:val="32"/>
                <w:szCs w:val="32"/>
              </w:rPr>
            </w:pPr>
            <w:r w:rsidRPr="003F120D">
              <w:rPr>
                <w:b/>
                <w:bCs/>
                <w:sz w:val="32"/>
                <w:szCs w:val="32"/>
              </w:rPr>
              <w:t>Semnificație</w:t>
            </w:r>
          </w:p>
        </w:tc>
      </w:tr>
      <w:tr w:rsidR="0079614E" w:rsidRPr="003F120D" w14:paraId="669EC199" w14:textId="77777777" w:rsidTr="006779CB">
        <w:tc>
          <w:tcPr>
            <w:tcW w:w="4230" w:type="dxa"/>
          </w:tcPr>
          <w:p w14:paraId="2FAF3642" w14:textId="77777777" w:rsidR="0079614E" w:rsidRPr="000322F2" w:rsidRDefault="0079614E" w:rsidP="006779CB">
            <w:pPr>
              <w:rPr>
                <w:sz w:val="28"/>
                <w:szCs w:val="28"/>
              </w:rPr>
            </w:pPr>
            <w:r w:rsidRPr="000322F2">
              <w:rPr>
                <w:sz w:val="28"/>
                <w:szCs w:val="28"/>
              </w:rPr>
              <w:t>Cerc</w:t>
            </w:r>
          </w:p>
        </w:tc>
        <w:tc>
          <w:tcPr>
            <w:tcW w:w="4338" w:type="dxa"/>
          </w:tcPr>
          <w:p w14:paraId="6FC1531F" w14:textId="77777777" w:rsidR="0079614E" w:rsidRPr="000322F2" w:rsidRDefault="0079614E" w:rsidP="006779CB">
            <w:pPr>
              <w:rPr>
                <w:sz w:val="28"/>
                <w:szCs w:val="28"/>
              </w:rPr>
            </w:pPr>
            <w:r w:rsidRPr="000322F2">
              <w:rPr>
                <w:sz w:val="28"/>
                <w:szCs w:val="28"/>
              </w:rPr>
              <w:t>Interdicție</w:t>
            </w:r>
          </w:p>
        </w:tc>
      </w:tr>
      <w:tr w:rsidR="0079614E" w:rsidRPr="003F120D" w14:paraId="7F6C9873" w14:textId="77777777" w:rsidTr="006779CB">
        <w:tc>
          <w:tcPr>
            <w:tcW w:w="4230" w:type="dxa"/>
          </w:tcPr>
          <w:p w14:paraId="7375F5CD" w14:textId="77777777" w:rsidR="0079614E" w:rsidRPr="000322F2" w:rsidRDefault="0079614E" w:rsidP="006779CB">
            <w:pPr>
              <w:rPr>
                <w:sz w:val="28"/>
                <w:szCs w:val="28"/>
              </w:rPr>
            </w:pPr>
            <w:r w:rsidRPr="000322F2">
              <w:rPr>
                <w:sz w:val="28"/>
                <w:szCs w:val="28"/>
              </w:rPr>
              <w:t>Triunghi echilateral cu vf. Sus</w:t>
            </w:r>
          </w:p>
        </w:tc>
        <w:tc>
          <w:tcPr>
            <w:tcW w:w="4338" w:type="dxa"/>
          </w:tcPr>
          <w:p w14:paraId="0F63B6E8" w14:textId="77777777" w:rsidR="0079614E" w:rsidRPr="000322F2" w:rsidRDefault="0079614E" w:rsidP="006779CB">
            <w:pPr>
              <w:rPr>
                <w:sz w:val="28"/>
                <w:szCs w:val="28"/>
              </w:rPr>
            </w:pPr>
            <w:r w:rsidRPr="000322F2">
              <w:rPr>
                <w:sz w:val="28"/>
                <w:szCs w:val="28"/>
              </w:rPr>
              <w:t>Avertizare</w:t>
            </w:r>
          </w:p>
        </w:tc>
      </w:tr>
      <w:tr w:rsidR="0079614E" w:rsidRPr="003F120D" w14:paraId="25F2BF6F" w14:textId="77777777" w:rsidTr="006779CB">
        <w:tc>
          <w:tcPr>
            <w:tcW w:w="4230" w:type="dxa"/>
          </w:tcPr>
          <w:p w14:paraId="0421807F" w14:textId="77777777" w:rsidR="0079614E" w:rsidRPr="000322F2" w:rsidRDefault="0079614E" w:rsidP="006779CB">
            <w:pPr>
              <w:rPr>
                <w:sz w:val="28"/>
                <w:szCs w:val="28"/>
              </w:rPr>
            </w:pPr>
            <w:r w:rsidRPr="000322F2">
              <w:rPr>
                <w:sz w:val="28"/>
                <w:szCs w:val="28"/>
              </w:rPr>
              <w:t xml:space="preserve">Triunghi echilateral cu vf. Jos </w:t>
            </w:r>
          </w:p>
        </w:tc>
        <w:tc>
          <w:tcPr>
            <w:tcW w:w="4338" w:type="dxa"/>
          </w:tcPr>
          <w:p w14:paraId="144B4069" w14:textId="77777777" w:rsidR="0079614E" w:rsidRPr="000322F2" w:rsidRDefault="0079614E" w:rsidP="006779CB">
            <w:pPr>
              <w:rPr>
                <w:sz w:val="28"/>
                <w:szCs w:val="28"/>
              </w:rPr>
            </w:pPr>
            <w:r w:rsidRPr="000322F2">
              <w:rPr>
                <w:sz w:val="28"/>
                <w:szCs w:val="28"/>
              </w:rPr>
              <w:t>Cedare</w:t>
            </w:r>
          </w:p>
        </w:tc>
      </w:tr>
      <w:tr w:rsidR="0079614E" w:rsidRPr="003F120D" w14:paraId="1911FC7E" w14:textId="77777777" w:rsidTr="006779CB">
        <w:tc>
          <w:tcPr>
            <w:tcW w:w="4230" w:type="dxa"/>
          </w:tcPr>
          <w:p w14:paraId="6CA6BD25" w14:textId="77777777" w:rsidR="0079614E" w:rsidRPr="000322F2" w:rsidRDefault="0079614E" w:rsidP="006779CB">
            <w:pPr>
              <w:rPr>
                <w:sz w:val="28"/>
                <w:szCs w:val="28"/>
              </w:rPr>
            </w:pPr>
            <w:proofErr w:type="spellStart"/>
            <w:r w:rsidRPr="000322F2">
              <w:rPr>
                <w:sz w:val="28"/>
                <w:szCs w:val="28"/>
              </w:rPr>
              <w:t>Octagon</w:t>
            </w:r>
            <w:proofErr w:type="spellEnd"/>
          </w:p>
        </w:tc>
        <w:tc>
          <w:tcPr>
            <w:tcW w:w="4338" w:type="dxa"/>
          </w:tcPr>
          <w:p w14:paraId="53B31AA5" w14:textId="77777777" w:rsidR="0079614E" w:rsidRPr="000322F2" w:rsidRDefault="0079614E" w:rsidP="006779CB">
            <w:pPr>
              <w:rPr>
                <w:sz w:val="28"/>
                <w:szCs w:val="28"/>
              </w:rPr>
            </w:pPr>
            <w:r w:rsidRPr="000322F2">
              <w:rPr>
                <w:sz w:val="28"/>
                <w:szCs w:val="28"/>
              </w:rPr>
              <w:t>Stop</w:t>
            </w:r>
          </w:p>
        </w:tc>
      </w:tr>
      <w:tr w:rsidR="0079614E" w:rsidRPr="003F120D" w14:paraId="72ECBF5C" w14:textId="77777777" w:rsidTr="006779CB">
        <w:tc>
          <w:tcPr>
            <w:tcW w:w="4230" w:type="dxa"/>
          </w:tcPr>
          <w:p w14:paraId="62102B5D" w14:textId="77777777" w:rsidR="0079614E" w:rsidRPr="000322F2" w:rsidRDefault="0079614E" w:rsidP="006779CB">
            <w:pPr>
              <w:rPr>
                <w:sz w:val="28"/>
                <w:szCs w:val="28"/>
              </w:rPr>
            </w:pPr>
            <w:r w:rsidRPr="000322F2">
              <w:rPr>
                <w:sz w:val="28"/>
                <w:szCs w:val="28"/>
              </w:rPr>
              <w:t>Diamant</w:t>
            </w:r>
          </w:p>
        </w:tc>
        <w:tc>
          <w:tcPr>
            <w:tcW w:w="4338" w:type="dxa"/>
          </w:tcPr>
          <w:p w14:paraId="215C7477" w14:textId="77777777" w:rsidR="0079614E" w:rsidRPr="000322F2" w:rsidRDefault="0079614E" w:rsidP="006779CB">
            <w:pPr>
              <w:rPr>
                <w:sz w:val="28"/>
                <w:szCs w:val="28"/>
              </w:rPr>
            </w:pPr>
            <w:r w:rsidRPr="000322F2">
              <w:rPr>
                <w:sz w:val="28"/>
                <w:szCs w:val="28"/>
              </w:rPr>
              <w:t>Construcții și mentenanță</w:t>
            </w:r>
          </w:p>
        </w:tc>
      </w:tr>
      <w:tr w:rsidR="0079614E" w:rsidRPr="003F120D" w14:paraId="0625E593" w14:textId="77777777" w:rsidTr="006779CB">
        <w:tc>
          <w:tcPr>
            <w:tcW w:w="4230" w:type="dxa"/>
          </w:tcPr>
          <w:p w14:paraId="7F762D38" w14:textId="77777777" w:rsidR="0079614E" w:rsidRPr="000322F2" w:rsidRDefault="0079614E" w:rsidP="006779CB">
            <w:pPr>
              <w:rPr>
                <w:sz w:val="28"/>
                <w:szCs w:val="28"/>
              </w:rPr>
            </w:pPr>
            <w:r w:rsidRPr="000322F2">
              <w:rPr>
                <w:sz w:val="28"/>
                <w:szCs w:val="28"/>
              </w:rPr>
              <w:t>Dreptunghi</w:t>
            </w:r>
          </w:p>
        </w:tc>
        <w:tc>
          <w:tcPr>
            <w:tcW w:w="4338" w:type="dxa"/>
          </w:tcPr>
          <w:p w14:paraId="73B1C6D6" w14:textId="77777777" w:rsidR="0079614E" w:rsidRPr="000322F2" w:rsidRDefault="0079614E" w:rsidP="006779CB">
            <w:pPr>
              <w:rPr>
                <w:sz w:val="28"/>
                <w:szCs w:val="28"/>
              </w:rPr>
            </w:pPr>
            <w:r w:rsidRPr="000322F2">
              <w:rPr>
                <w:sz w:val="28"/>
                <w:szCs w:val="28"/>
              </w:rPr>
              <w:t>Ghidare și informare</w:t>
            </w:r>
          </w:p>
        </w:tc>
      </w:tr>
    </w:tbl>
    <w:p w14:paraId="76E4E62E" w14:textId="77777777" w:rsidR="0079614E" w:rsidRPr="000322F2" w:rsidRDefault="0079614E" w:rsidP="0079614E">
      <w:pPr>
        <w:pStyle w:val="ListParagraph"/>
        <w:numPr>
          <w:ilvl w:val="0"/>
          <w:numId w:val="2"/>
        </w:numPr>
        <w:rPr>
          <w:rFonts w:ascii="Bahnschrift" w:hAnsi="Bahnschrift"/>
          <w:sz w:val="40"/>
          <w:szCs w:val="40"/>
        </w:rPr>
      </w:pPr>
      <w:r w:rsidRPr="000322F2">
        <w:rPr>
          <w:rFonts w:ascii="Bahnschrift" w:hAnsi="Bahnschrift"/>
          <w:sz w:val="40"/>
          <w:szCs w:val="40"/>
        </w:rPr>
        <w:t>Metode</w:t>
      </w:r>
    </w:p>
    <w:p w14:paraId="465F723D" w14:textId="77777777" w:rsidR="0079614E" w:rsidRPr="000322F2" w:rsidRDefault="0079614E" w:rsidP="0079614E">
      <w:pPr>
        <w:rPr>
          <w:sz w:val="28"/>
          <w:szCs w:val="28"/>
        </w:rPr>
      </w:pPr>
      <w:r w:rsidRPr="00982F42">
        <w:rPr>
          <w:sz w:val="26"/>
          <w:szCs w:val="26"/>
        </w:rPr>
        <w:t xml:space="preserve">         </w:t>
      </w:r>
      <w:r w:rsidRPr="00982F42">
        <w:rPr>
          <w:sz w:val="28"/>
          <w:szCs w:val="28"/>
        </w:rPr>
        <w:t>Pe acest subiect exist</w:t>
      </w:r>
      <w:r w:rsidRPr="000322F2">
        <w:rPr>
          <w:sz w:val="28"/>
          <w:szCs w:val="28"/>
        </w:rPr>
        <w:t xml:space="preserve">ă </w:t>
      </w:r>
      <w:r w:rsidRPr="00982F42">
        <w:rPr>
          <w:sz w:val="28"/>
          <w:szCs w:val="28"/>
        </w:rPr>
        <w:t>numero</w:t>
      </w:r>
      <w:r w:rsidRPr="000322F2">
        <w:rPr>
          <w:sz w:val="28"/>
          <w:szCs w:val="28"/>
        </w:rPr>
        <w:t>ș</w:t>
      </w:r>
      <w:r w:rsidRPr="00982F42">
        <w:rPr>
          <w:sz w:val="28"/>
          <w:szCs w:val="28"/>
        </w:rPr>
        <w:t>i algoritmi care rezolva problema detec</w:t>
      </w:r>
      <w:r w:rsidRPr="000322F2">
        <w:rPr>
          <w:sz w:val="28"/>
          <w:szCs w:val="28"/>
        </w:rPr>
        <w:t>ț</w:t>
      </w:r>
      <w:r w:rsidRPr="00982F42">
        <w:rPr>
          <w:sz w:val="28"/>
          <w:szCs w:val="28"/>
        </w:rPr>
        <w:t>iei obiectelor din imagini. O mare parte din ei se bazeaz</w:t>
      </w:r>
      <w:r w:rsidRPr="000322F2">
        <w:rPr>
          <w:sz w:val="28"/>
          <w:szCs w:val="28"/>
        </w:rPr>
        <w:t>ă</w:t>
      </w:r>
      <w:r w:rsidRPr="00982F42">
        <w:rPr>
          <w:sz w:val="28"/>
          <w:szCs w:val="28"/>
        </w:rPr>
        <w:t xml:space="preserve"> pe utilizarea re</w:t>
      </w:r>
      <w:r w:rsidRPr="000322F2">
        <w:rPr>
          <w:sz w:val="28"/>
          <w:szCs w:val="28"/>
        </w:rPr>
        <w:t>ț</w:t>
      </w:r>
      <w:r w:rsidRPr="00982F42">
        <w:rPr>
          <w:sz w:val="28"/>
          <w:szCs w:val="28"/>
        </w:rPr>
        <w:t>elelor neuronale de convolu</w:t>
      </w:r>
      <w:r w:rsidRPr="000322F2">
        <w:rPr>
          <w:sz w:val="28"/>
          <w:szCs w:val="28"/>
        </w:rPr>
        <w:t>ț</w:t>
      </w:r>
      <w:r w:rsidRPr="00982F42">
        <w:rPr>
          <w:sz w:val="28"/>
          <w:szCs w:val="28"/>
        </w:rPr>
        <w:t>ie</w:t>
      </w:r>
      <w:r w:rsidRPr="000322F2">
        <w:rPr>
          <w:sz w:val="28"/>
          <w:szCs w:val="28"/>
        </w:rPr>
        <w:t>(CNN)</w:t>
      </w:r>
      <w:r w:rsidRPr="00982F42">
        <w:rPr>
          <w:sz w:val="28"/>
          <w:szCs w:val="28"/>
        </w:rPr>
        <w:t xml:space="preserve">, care pe </w:t>
      </w:r>
      <w:proofErr w:type="spellStart"/>
      <w:r w:rsidRPr="00982F42">
        <w:rPr>
          <w:sz w:val="28"/>
          <w:szCs w:val="28"/>
        </w:rPr>
        <w:t>lang</w:t>
      </w:r>
      <w:r w:rsidRPr="000322F2">
        <w:rPr>
          <w:sz w:val="28"/>
          <w:szCs w:val="28"/>
        </w:rPr>
        <w:t>ă</w:t>
      </w:r>
      <w:proofErr w:type="spellEnd"/>
      <w:r w:rsidRPr="00982F42">
        <w:rPr>
          <w:sz w:val="28"/>
          <w:szCs w:val="28"/>
        </w:rPr>
        <w:t xml:space="preserve"> faptul ca identifica un obiect </w:t>
      </w:r>
      <w:r w:rsidRPr="000322F2">
        <w:rPr>
          <w:sz w:val="28"/>
          <w:szCs w:val="28"/>
        </w:rPr>
        <w:t>î</w:t>
      </w:r>
      <w:r w:rsidRPr="00982F42">
        <w:rPr>
          <w:sz w:val="28"/>
          <w:szCs w:val="28"/>
        </w:rPr>
        <w:t xml:space="preserve">ntr-o imagine, specifica tipul obiectului </w:t>
      </w:r>
      <w:r w:rsidRPr="000322F2">
        <w:rPr>
          <w:sz w:val="28"/>
          <w:szCs w:val="28"/>
        </w:rPr>
        <w:t>ș</w:t>
      </w:r>
      <w:r w:rsidRPr="00982F42">
        <w:rPr>
          <w:sz w:val="28"/>
          <w:szCs w:val="28"/>
        </w:rPr>
        <w:t xml:space="preserve">i </w:t>
      </w:r>
      <w:r w:rsidRPr="000322F2">
        <w:rPr>
          <w:sz w:val="28"/>
          <w:szCs w:val="28"/>
        </w:rPr>
        <w:t>î</w:t>
      </w:r>
      <w:r w:rsidRPr="00982F42">
        <w:rPr>
          <w:sz w:val="28"/>
          <w:szCs w:val="28"/>
        </w:rPr>
        <w:t xml:space="preserve">l </w:t>
      </w:r>
      <w:proofErr w:type="spellStart"/>
      <w:r w:rsidRPr="00982F42">
        <w:rPr>
          <w:sz w:val="28"/>
          <w:szCs w:val="28"/>
        </w:rPr>
        <w:t>incadreaz</w:t>
      </w:r>
      <w:r w:rsidRPr="000322F2">
        <w:rPr>
          <w:sz w:val="28"/>
          <w:szCs w:val="28"/>
        </w:rPr>
        <w:t>ă</w:t>
      </w:r>
      <w:proofErr w:type="spellEnd"/>
      <w:r w:rsidRPr="00982F42">
        <w:rPr>
          <w:sz w:val="28"/>
          <w:szCs w:val="28"/>
        </w:rPr>
        <w:t xml:space="preserve"> </w:t>
      </w:r>
      <w:r w:rsidRPr="000322F2">
        <w:rPr>
          <w:sz w:val="28"/>
          <w:szCs w:val="28"/>
        </w:rPr>
        <w:t>î</w:t>
      </w:r>
      <w:r w:rsidRPr="00982F42">
        <w:rPr>
          <w:sz w:val="28"/>
          <w:szCs w:val="28"/>
        </w:rPr>
        <w:t>ntr-un chenar</w:t>
      </w:r>
      <w:r w:rsidRPr="000322F2">
        <w:rPr>
          <w:sz w:val="28"/>
          <w:szCs w:val="28"/>
        </w:rPr>
        <w:t xml:space="preserve">: </w:t>
      </w:r>
    </w:p>
    <w:p w14:paraId="56AE6DFE" w14:textId="77777777" w:rsidR="0079614E" w:rsidRPr="000322F2" w:rsidRDefault="0079614E" w:rsidP="0079614E">
      <w:pPr>
        <w:pStyle w:val="ListParagraph"/>
        <w:numPr>
          <w:ilvl w:val="0"/>
          <w:numId w:val="4"/>
        </w:numPr>
        <w:jc w:val="both"/>
        <w:rPr>
          <w:sz w:val="28"/>
          <w:szCs w:val="28"/>
        </w:rPr>
      </w:pPr>
      <w:r w:rsidRPr="000322F2">
        <w:rPr>
          <w:sz w:val="28"/>
          <w:szCs w:val="28"/>
        </w:rPr>
        <w:t>R-CNN</w:t>
      </w:r>
    </w:p>
    <w:p w14:paraId="7CBE8F53" w14:textId="77777777" w:rsidR="0079614E" w:rsidRPr="000322F2" w:rsidRDefault="0079614E" w:rsidP="0079614E">
      <w:pPr>
        <w:pStyle w:val="ListParagraph"/>
        <w:numPr>
          <w:ilvl w:val="0"/>
          <w:numId w:val="4"/>
        </w:numPr>
        <w:jc w:val="both"/>
        <w:rPr>
          <w:sz w:val="28"/>
          <w:szCs w:val="28"/>
        </w:rPr>
      </w:pPr>
      <w:r w:rsidRPr="000322F2">
        <w:rPr>
          <w:sz w:val="28"/>
          <w:szCs w:val="28"/>
        </w:rPr>
        <w:t>R-FCN</w:t>
      </w:r>
    </w:p>
    <w:p w14:paraId="358D4C21" w14:textId="77777777" w:rsidR="0079614E" w:rsidRPr="000322F2" w:rsidRDefault="0079614E" w:rsidP="0079614E">
      <w:pPr>
        <w:pStyle w:val="ListParagraph"/>
        <w:numPr>
          <w:ilvl w:val="0"/>
          <w:numId w:val="4"/>
        </w:numPr>
        <w:jc w:val="both"/>
        <w:rPr>
          <w:sz w:val="28"/>
          <w:szCs w:val="28"/>
        </w:rPr>
      </w:pPr>
      <w:r w:rsidRPr="000322F2">
        <w:rPr>
          <w:sz w:val="28"/>
          <w:szCs w:val="28"/>
        </w:rPr>
        <w:t>SSD</w:t>
      </w:r>
    </w:p>
    <w:p w14:paraId="08AE53E6" w14:textId="77777777" w:rsidR="0079614E" w:rsidRPr="000322F2" w:rsidRDefault="0079614E" w:rsidP="0079614E">
      <w:pPr>
        <w:pStyle w:val="ListParagraph"/>
        <w:numPr>
          <w:ilvl w:val="0"/>
          <w:numId w:val="4"/>
        </w:numPr>
        <w:jc w:val="both"/>
        <w:rPr>
          <w:sz w:val="28"/>
          <w:szCs w:val="28"/>
        </w:rPr>
      </w:pPr>
      <w:r w:rsidRPr="000322F2">
        <w:rPr>
          <w:sz w:val="28"/>
          <w:szCs w:val="28"/>
        </w:rPr>
        <w:t>YOLO</w:t>
      </w:r>
    </w:p>
    <w:p w14:paraId="22D56417" w14:textId="77777777" w:rsidR="0079614E" w:rsidRPr="000322F2" w:rsidRDefault="0079614E" w:rsidP="0079614E">
      <w:pPr>
        <w:pStyle w:val="ListParagraph"/>
        <w:numPr>
          <w:ilvl w:val="0"/>
          <w:numId w:val="1"/>
        </w:numPr>
        <w:rPr>
          <w:rFonts w:ascii="Bahnschrift" w:hAnsi="Bahnschrift"/>
          <w:sz w:val="40"/>
          <w:szCs w:val="40"/>
          <w:lang w:val="en-US"/>
        </w:rPr>
      </w:pPr>
      <w:r w:rsidRPr="000322F2">
        <w:rPr>
          <w:rFonts w:ascii="Bahnschrift" w:hAnsi="Bahnschrift"/>
          <w:sz w:val="40"/>
          <w:szCs w:val="40"/>
          <w:lang w:val="en-US"/>
        </w:rPr>
        <w:t>Related Work</w:t>
      </w:r>
    </w:p>
    <w:p w14:paraId="6F6D8F68" w14:textId="77777777" w:rsidR="0079614E" w:rsidRPr="000322F2" w:rsidRDefault="0079614E" w:rsidP="0079614E">
      <w:pPr>
        <w:rPr>
          <w:rFonts w:cstheme="minorHAnsi"/>
          <w:sz w:val="28"/>
          <w:szCs w:val="28"/>
        </w:rPr>
      </w:pPr>
      <w:r w:rsidRPr="00AF08E2">
        <w:rPr>
          <w:rFonts w:cstheme="minorHAnsi"/>
          <w:sz w:val="26"/>
          <w:szCs w:val="26"/>
        </w:rPr>
        <w:t xml:space="preserve">      </w:t>
      </w:r>
      <w:r w:rsidRPr="000322F2">
        <w:rPr>
          <w:rFonts w:cstheme="minorHAnsi"/>
          <w:sz w:val="28"/>
          <w:szCs w:val="28"/>
        </w:rPr>
        <w:t>Metodele de viziune computerizată concepute pentru detectarea semnelor de circulație pot fi împărțite în trei categorii: bazate pe culoare și formă, bazate pe învățare automată tradițională și bazate pe învățare profundă, cea din urmă fiind și cea mai populară.</w:t>
      </w:r>
    </w:p>
    <w:p w14:paraId="59238CCE" w14:textId="77777777" w:rsidR="0079614E" w:rsidRPr="000322F2" w:rsidRDefault="0079614E" w:rsidP="0079614E">
      <w:pPr>
        <w:rPr>
          <w:rFonts w:cstheme="minorHAnsi"/>
          <w:sz w:val="28"/>
          <w:szCs w:val="28"/>
        </w:rPr>
      </w:pPr>
      <w:r w:rsidRPr="000322F2">
        <w:rPr>
          <w:rFonts w:cstheme="minorHAnsi"/>
          <w:sz w:val="28"/>
          <w:szCs w:val="28"/>
        </w:rPr>
        <w:t xml:space="preserve">     Această metodă a dobândit un interes general în ultimii ani datorită performanțelor sale ridicate de clasificare și a puterii de învățare reprezentațională din datele brute. Totodată au fost propuse mai multe idei de a folosi o astfel de rețea neuronală precum:  o implementare rapidă și complet parametrizabilă a unei unități de procesare grafică a unei rețele neuronale profunde cu mai multe coloane pentru recunoașterea traficului.</w:t>
      </w:r>
    </w:p>
    <w:p w14:paraId="43DD96C6" w14:textId="77777777" w:rsidR="0079614E" w:rsidRPr="000322F2" w:rsidRDefault="0079614E" w:rsidP="0079614E">
      <w:pPr>
        <w:rPr>
          <w:rFonts w:cstheme="minorHAnsi"/>
          <w:sz w:val="28"/>
          <w:szCs w:val="28"/>
        </w:rPr>
      </w:pPr>
      <w:r w:rsidRPr="000322F2">
        <w:rPr>
          <w:rFonts w:cstheme="minorHAnsi"/>
          <w:sz w:val="28"/>
          <w:szCs w:val="28"/>
        </w:rPr>
        <w:t xml:space="preserve">     O nouă metodă de învățare profundă </w:t>
      </w:r>
      <w:proofErr w:type="spellStart"/>
      <w:r w:rsidRPr="000322F2">
        <w:rPr>
          <w:rFonts w:cstheme="minorHAnsi"/>
          <w:sz w:val="28"/>
          <w:szCs w:val="28"/>
        </w:rPr>
        <w:t>end-to-end</w:t>
      </w:r>
      <w:proofErr w:type="spellEnd"/>
      <w:r w:rsidRPr="000322F2">
        <w:rPr>
          <w:rFonts w:cstheme="minorHAnsi"/>
          <w:sz w:val="28"/>
          <w:szCs w:val="28"/>
        </w:rPr>
        <w:t xml:space="preserve"> pentru detectarea semnelor de circulație în medii complexe: structura rețelei de fuziune a mai multor caracteristici poate extrage caracteristici eficiente pentru diferite dimensiuni ale </w:t>
      </w:r>
      <w:r w:rsidRPr="000322F2">
        <w:rPr>
          <w:rFonts w:cstheme="minorHAnsi"/>
          <w:sz w:val="28"/>
          <w:szCs w:val="28"/>
        </w:rPr>
        <w:lastRenderedPageBreak/>
        <w:t xml:space="preserve">imaginilor, iar apoi stabilirea unui modul de atenție la secvența spațială verticală pentru a obține informații de fundal în jurul imaginii detectate, care a avut, de asemenea, performanțe de detectare proeminente în medii complexe de trafic rutier. </w:t>
      </w:r>
    </w:p>
    <w:p w14:paraId="26EDFEE6" w14:textId="77777777" w:rsidR="0079614E" w:rsidRPr="000322F2" w:rsidRDefault="0079614E" w:rsidP="0079614E">
      <w:pPr>
        <w:rPr>
          <w:rFonts w:cstheme="minorHAnsi"/>
          <w:sz w:val="28"/>
          <w:szCs w:val="28"/>
        </w:rPr>
      </w:pPr>
      <w:r>
        <w:rPr>
          <w:rFonts w:cstheme="minorHAnsi"/>
          <w:sz w:val="26"/>
          <w:szCs w:val="26"/>
        </w:rPr>
        <w:t xml:space="preserve">     </w:t>
      </w:r>
      <w:r w:rsidRPr="000322F2">
        <w:rPr>
          <w:rFonts w:cstheme="minorHAnsi"/>
          <w:sz w:val="28"/>
          <w:szCs w:val="28"/>
        </w:rPr>
        <w:t>Aceste metode se îmbunătățesc în mod constant deoarece și tehnologia, dar și metodele de producție devin din ce în ce mai bune, pe lângă nevoia omului de a avea sisteme de siguranță și recunoaștere mai bune.</w:t>
      </w:r>
    </w:p>
    <w:p w14:paraId="135896A6" w14:textId="77777777" w:rsidR="0079614E" w:rsidRPr="00B64B04" w:rsidRDefault="0079614E" w:rsidP="0079614E">
      <w:pPr>
        <w:rPr>
          <w:rFonts w:cstheme="minorHAnsi"/>
          <w:sz w:val="26"/>
          <w:szCs w:val="26"/>
        </w:rPr>
      </w:pPr>
    </w:p>
    <w:p w14:paraId="489810A8" w14:textId="77777777" w:rsidR="0079614E" w:rsidRDefault="0079614E" w:rsidP="0079614E">
      <w:pPr>
        <w:rPr>
          <w:sz w:val="26"/>
          <w:szCs w:val="26"/>
          <w:lang w:val="en-US"/>
        </w:rPr>
      </w:pPr>
      <w:proofErr w:type="spellStart"/>
      <w:r>
        <w:rPr>
          <w:sz w:val="26"/>
          <w:szCs w:val="26"/>
          <w:lang w:val="en-US"/>
        </w:rPr>
        <w:t>Bibliografie</w:t>
      </w:r>
      <w:proofErr w:type="spellEnd"/>
      <w:r>
        <w:rPr>
          <w:sz w:val="26"/>
          <w:szCs w:val="26"/>
          <w:lang w:val="en-US"/>
        </w:rPr>
        <w:t>:</w:t>
      </w:r>
    </w:p>
    <w:p w14:paraId="0CC3D945" w14:textId="77777777" w:rsidR="0079614E" w:rsidRDefault="0079614E" w:rsidP="0079614E">
      <w:pPr>
        <w:pStyle w:val="ListParagraph"/>
        <w:numPr>
          <w:ilvl w:val="0"/>
          <w:numId w:val="1"/>
        </w:numPr>
        <w:rPr>
          <w:sz w:val="26"/>
          <w:szCs w:val="26"/>
          <w:lang w:val="en-US"/>
        </w:rPr>
      </w:pPr>
      <w:hyperlink r:id="rId6" w:history="1">
        <w:r w:rsidRPr="005D78AE">
          <w:rPr>
            <w:rStyle w:val="Hyperlink"/>
            <w:sz w:val="26"/>
            <w:szCs w:val="26"/>
            <w:lang w:val="en-US"/>
          </w:rPr>
          <w:t>https://ieeexplore.ieee.org/abstract/document/1232697</w:t>
        </w:r>
      </w:hyperlink>
    </w:p>
    <w:p w14:paraId="5072F68B" w14:textId="77777777" w:rsidR="0079614E" w:rsidRDefault="0079614E" w:rsidP="0079614E">
      <w:pPr>
        <w:pStyle w:val="ListParagraph"/>
        <w:numPr>
          <w:ilvl w:val="0"/>
          <w:numId w:val="1"/>
        </w:numPr>
        <w:rPr>
          <w:sz w:val="26"/>
          <w:szCs w:val="26"/>
          <w:lang w:val="en-US"/>
        </w:rPr>
      </w:pPr>
      <w:hyperlink r:id="rId7" w:history="1">
        <w:r w:rsidRPr="005D78AE">
          <w:rPr>
            <w:rStyle w:val="Hyperlink"/>
            <w:sz w:val="26"/>
            <w:szCs w:val="26"/>
            <w:lang w:val="en-US"/>
          </w:rPr>
          <w:t>https://www.ttonline.ro/revista/t-t-plus/sisteme-de-detectare-si-recunoastere-a-semnelor-de-circulatie</w:t>
        </w:r>
      </w:hyperlink>
    </w:p>
    <w:p w14:paraId="65692177" w14:textId="77777777" w:rsidR="0079614E" w:rsidRDefault="0079614E" w:rsidP="0079614E">
      <w:pPr>
        <w:pStyle w:val="ListParagraph"/>
        <w:numPr>
          <w:ilvl w:val="0"/>
          <w:numId w:val="1"/>
        </w:numPr>
        <w:rPr>
          <w:sz w:val="26"/>
          <w:szCs w:val="26"/>
          <w:lang w:val="en-US"/>
        </w:rPr>
      </w:pPr>
      <w:hyperlink r:id="rId8" w:history="1">
        <w:r w:rsidRPr="00A6719E">
          <w:rPr>
            <w:rStyle w:val="Hyperlink"/>
            <w:sz w:val="26"/>
            <w:szCs w:val="26"/>
            <w:lang w:val="en-US"/>
          </w:rPr>
          <w:t>https://www.sciencedirect.com/science/article/pii/S092523121830924X</w:t>
        </w:r>
      </w:hyperlink>
    </w:p>
    <w:p w14:paraId="0D35AC73" w14:textId="77777777" w:rsidR="0079614E" w:rsidRDefault="0079614E" w:rsidP="0079614E">
      <w:pPr>
        <w:pStyle w:val="ListParagraph"/>
        <w:numPr>
          <w:ilvl w:val="0"/>
          <w:numId w:val="1"/>
        </w:numPr>
        <w:rPr>
          <w:sz w:val="26"/>
          <w:szCs w:val="26"/>
          <w:lang w:val="en-US"/>
        </w:rPr>
      </w:pPr>
      <w:hyperlink r:id="rId9" w:history="1">
        <w:r w:rsidRPr="00A6719E">
          <w:rPr>
            <w:rStyle w:val="Hyperlink"/>
            <w:sz w:val="26"/>
            <w:szCs w:val="26"/>
            <w:lang w:val="en-US"/>
          </w:rPr>
          <w:t>https://ietresearch.onlinelibrary.wiley.com/doi/10.1049/iet-ipr.2019.0634</w:t>
        </w:r>
      </w:hyperlink>
    </w:p>
    <w:p w14:paraId="5F255F90" w14:textId="77777777" w:rsidR="0079614E" w:rsidRDefault="0079614E" w:rsidP="0079614E">
      <w:pPr>
        <w:pStyle w:val="ListParagraph"/>
        <w:numPr>
          <w:ilvl w:val="0"/>
          <w:numId w:val="1"/>
        </w:numPr>
        <w:rPr>
          <w:sz w:val="26"/>
          <w:szCs w:val="26"/>
          <w:lang w:val="en-US"/>
        </w:rPr>
      </w:pPr>
      <w:r w:rsidRPr="009E0BD2">
        <w:rPr>
          <w:sz w:val="26"/>
          <w:szCs w:val="26"/>
          <w:lang w:val="en-US"/>
        </w:rPr>
        <w:t>https://openaccess.thecvf.com/content_cvpr_2016/html/Zhu_Traffic-Sign_Detection_and_CVPR_2016_paper.html</w:t>
      </w:r>
    </w:p>
    <w:p w14:paraId="37D00276" w14:textId="77777777" w:rsidR="0079614E" w:rsidRDefault="0079614E" w:rsidP="0079614E">
      <w:pPr>
        <w:pStyle w:val="ListParagraph"/>
        <w:rPr>
          <w:sz w:val="26"/>
          <w:szCs w:val="26"/>
          <w:lang w:val="en-US"/>
        </w:rPr>
      </w:pPr>
    </w:p>
    <w:p w14:paraId="41FB38F7" w14:textId="77777777" w:rsidR="0079614E" w:rsidRDefault="0079614E" w:rsidP="0079614E">
      <w:pPr>
        <w:pStyle w:val="ListParagraph"/>
        <w:rPr>
          <w:sz w:val="26"/>
          <w:szCs w:val="26"/>
          <w:lang w:val="en-US"/>
        </w:rPr>
      </w:pPr>
    </w:p>
    <w:p w14:paraId="5DC53C3D" w14:textId="77777777" w:rsidR="0079614E" w:rsidRPr="0094380D" w:rsidRDefault="0079614E" w:rsidP="0079614E">
      <w:pPr>
        <w:rPr>
          <w:sz w:val="26"/>
          <w:szCs w:val="26"/>
          <w:lang w:val="en-US"/>
        </w:rPr>
      </w:pPr>
    </w:p>
    <w:p w14:paraId="4C6AD1BB" w14:textId="77777777" w:rsidR="00926D48" w:rsidRDefault="00926D48"/>
    <w:sectPr w:rsidR="00926D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C5571"/>
    <w:multiLevelType w:val="hybridMultilevel"/>
    <w:tmpl w:val="571E8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C80B31"/>
    <w:multiLevelType w:val="hybridMultilevel"/>
    <w:tmpl w:val="28408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0F6B82"/>
    <w:multiLevelType w:val="multilevel"/>
    <w:tmpl w:val="61627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6F06AC"/>
    <w:multiLevelType w:val="hybridMultilevel"/>
    <w:tmpl w:val="5386D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E77175"/>
    <w:multiLevelType w:val="hybridMultilevel"/>
    <w:tmpl w:val="52B21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9841811">
    <w:abstractNumId w:val="3"/>
  </w:num>
  <w:num w:numId="2" w16cid:durableId="60493125">
    <w:abstractNumId w:val="4"/>
  </w:num>
  <w:num w:numId="3" w16cid:durableId="928654634">
    <w:abstractNumId w:val="2"/>
  </w:num>
  <w:num w:numId="4" w16cid:durableId="2066833691">
    <w:abstractNumId w:val="0"/>
  </w:num>
  <w:num w:numId="5" w16cid:durableId="5086373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52B"/>
    <w:rsid w:val="0079614E"/>
    <w:rsid w:val="00926D48"/>
    <w:rsid w:val="00FC5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1BFCB3-424C-4A3B-8EF9-967C5C7BC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14E"/>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14E"/>
    <w:pPr>
      <w:ind w:left="720"/>
      <w:contextualSpacing/>
    </w:pPr>
  </w:style>
  <w:style w:type="table" w:styleId="TableGrid">
    <w:name w:val="Table Grid"/>
    <w:basedOn w:val="TableNormal"/>
    <w:uiPriority w:val="39"/>
    <w:rsid w:val="007961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961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92523121830924X" TargetMode="External"/><Relationship Id="rId3" Type="http://schemas.openxmlformats.org/officeDocument/2006/relationships/settings" Target="settings.xml"/><Relationship Id="rId7" Type="http://schemas.openxmlformats.org/officeDocument/2006/relationships/hyperlink" Target="https://www.ttonline.ro/revista/t-t-plus/sisteme-de-detectare-si-recunoastere-a-semnelor-de-circulati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abstract/document/1232697"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etresearch.onlinelibrary.wiley.com/doi/10.1049/iet-ipr.2019.06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848</Words>
  <Characters>4838</Characters>
  <Application>Microsoft Office Word</Application>
  <DocSecurity>0</DocSecurity>
  <Lines>40</Lines>
  <Paragraphs>11</Paragraphs>
  <ScaleCrop>false</ScaleCrop>
  <Company/>
  <LinksUpToDate>false</LinksUpToDate>
  <CharactersWithSpaces>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 Dumitriu</dc:creator>
  <cp:keywords/>
  <dc:description/>
  <cp:lastModifiedBy>Radu Dumitriu</cp:lastModifiedBy>
  <cp:revision>2</cp:revision>
  <dcterms:created xsi:type="dcterms:W3CDTF">2022-11-25T01:31:00Z</dcterms:created>
  <dcterms:modified xsi:type="dcterms:W3CDTF">2022-11-25T01:32:00Z</dcterms:modified>
</cp:coreProperties>
</file>