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1eb462432a69324229fa2f91a8878dfe0a8b37"/>
    <w:p>
      <w:pPr>
        <w:pStyle w:val="Heading1"/>
      </w:pPr>
      <w:r>
        <w:t xml:space="preserve">Validating the i2b2-ML tool for phenotype model development on MIMIC-IV</w:t>
      </w:r>
    </w:p>
    <w:p>
      <w:pPr>
        <w:pStyle w:val="FirstParagraph"/>
      </w:pPr>
      <w:r>
        <w:rPr>
          <w:b/>
          <w:bCs/>
        </w:rPr>
        <w:t xml:space="preserve">Authors:</w:t>
      </w:r>
      <w:r>
        <w:t xml:space="preserve"> </w:t>
      </w:r>
      <w:r>
        <w:t xml:space="preserve">Vedhsai Thiriveedi, [Kavishwar Wagholikar], [coauthors TBD]</w:t>
      </w:r>
      <w:r>
        <w:t xml:space="preserve"> </w:t>
      </w:r>
      <w:r>
        <w:rPr>
          <w:b/>
          <w:bCs/>
        </w:rPr>
        <w:t xml:space="preserve">Affiliation:</w:t>
      </w:r>
      <w:r>
        <w:t xml:space="preserve"> </w:t>
      </w:r>
      <w:r>
        <w:t xml:space="preserve">Massachusetts General Hospital</w:t>
      </w:r>
      <w:r>
        <w:t xml:space="preserve"> </w:t>
      </w:r>
      <w:r>
        <w:rPr>
          <w:b/>
          <w:bCs/>
        </w:rPr>
        <w:t xml:space="preserve">Draft:</w:t>
      </w:r>
      <w:r>
        <w:t xml:space="preserve"> </w:t>
      </w:r>
      <w:r>
        <w:t xml:space="preserve">2026-06-20 —</w:t>
      </w:r>
      <w:r>
        <w:t xml:space="preserve"> </w:t>
      </w:r>
      <w:r>
        <w:rPr>
          <w:i/>
          <w:iCs/>
        </w:rPr>
        <w:t xml:space="preserve">all numbers are from live i2b2-ML API build receipts (11 phenotypes), not standalone scripts. Reproduce with</w:t>
      </w:r>
      <w:r>
        <w:rPr>
          <w:i/>
          <w:iCs/>
        </w:rPr>
        <w:t xml:space="preserve"> </w:t>
      </w:r>
      <w:r>
        <w:rPr>
          <w:rStyle w:val="VerbatimChar"/>
          <w:i/>
          <w:iCs/>
        </w:rPr>
        <w:t xml:space="preserve">./pipeline/run_all_phenotypes.sh</w:t>
      </w:r>
      <w:r>
        <w:rPr>
          <w:i/>
          <w:iCs/>
        </w:rPr>
        <w:t xml:space="preserve">.</w:t>
      </w:r>
    </w:p>
    <w:p>
      <w:r>
        <w:pict>
          <v:rect style="width:0;height:1.5pt" o:hralign="center" o:hrstd="t" o:hr="t"/>
        </w:pict>
      </w:r>
    </w:p>
    <w:bookmarkStart w:id="9" w:name="abstract"/>
    <w:p>
      <w:pPr>
        <w:pStyle w:val="Heading2"/>
      </w:pPr>
      <w:r>
        <w:t xml:space="preserve">Abstract</w:t>
      </w:r>
    </w:p>
    <w:p>
      <w:pPr>
        <w:pStyle w:val="FirstParagraph"/>
      </w:pPr>
      <w:r>
        <w:rPr>
          <w:b/>
          <w:bCs/>
        </w:rPr>
        <w:t xml:space="preserve">Objective.</w:t>
      </w:r>
      <w:r>
        <w:t xml:space="preserve"> </w:t>
      </w:r>
      <w:r>
        <w:t xml:space="preserve">To validate the i2b2 embedded machine-learning module (i2b2-ML) as a tool for phenotype model development on an external dataset, building every model through the tool’s JSON API rather than in standalone analytic code.</w:t>
      </w:r>
    </w:p>
    <w:p>
      <w:pPr>
        <w:pStyle w:val="BodyText"/>
      </w:pPr>
      <w:r>
        <w:rPr>
          <w:b/>
          <w:bCs/>
        </w:rPr>
        <w:t xml:space="preserve">Methods.</w:t>
      </w:r>
      <w:r>
        <w:t xml:space="preserve"> </w:t>
      </w:r>
      <w:r>
        <w:t xml:space="preserve">Using MIMIC-IV v3.1, we defined eleven phenotypes spanning cardiovascular, cardiometabolic, renal, and respiratory disease — ischemic stroke, ischemic heart disease, atherosclerotic cardiovascular disease, heart failure, hypertension, dyslipidemia, type 2 diabetes, prediabetes, chronic kidney disease, obstructive sleep apnea, and asthma — each with 800 ICD-defined cases and 1,600 controls and a shared set of 32 structured features (demographics, comorbidities, laboratory values, vitals, and medication classes). For each phenotype we loaded the cohort into i2b2 as concepts and facts, created case and control patient sets, and submitted a build job over the API (</w:t>
      </w:r>
      <w:r>
        <w:rPr>
          <w:rStyle w:val="VerbatimChar"/>
        </w:rPr>
        <w:t xml:space="preserve">POST /etl/job</w:t>
      </w:r>
      <w:r>
        <w:t xml:space="preserve">,</w:t>
      </w:r>
      <w:r>
        <w:t xml:space="preserve"> </w:t>
      </w:r>
      <w:r>
        <w:rPr>
          <w:rStyle w:val="VerbatimChar"/>
        </w:rPr>
        <w:t xml:space="preserve">jobType:ml</w:t>
      </w:r>
      <w:r>
        <w:t xml:space="preserve">). The engine trained an elastic-net logistic regression with class-imbalance resampling and cross-validated hyperparameter selection, and returned the model and metrics in the i2b2 data model. Each phenotype was added by editing one configuration file.</w:t>
      </w:r>
    </w:p>
    <w:p>
      <w:pPr>
        <w:pStyle w:val="BodyText"/>
      </w:pPr>
      <w:r>
        <w:rPr>
          <w:b/>
          <w:bCs/>
        </w:rPr>
        <w:t xml:space="preserve">Results.</w:t>
      </w:r>
      <w:r>
        <w:t xml:space="preserve"> </w:t>
      </w:r>
      <w:r>
        <w:t xml:space="preserve">All eleven builds completed through the API, with the trained model retrieved from the i2b2 concept store. Held-out test ROC AUCs ranged from 0.66 to 0.95 (mean 0.86): highest for conditions whose diagnostic laboratory values sit in the shared feature set (chronic kidney disease 0.95, type 2 diabetes 0.93), clustered near 0.89–0.91 across the cardiovascular conditions, and lowest where the cardiovascular feature set is least relevant (obstructive sleep apnea 0.77, asthma 0.66). A comorbidity feature derived from the same ICD codes as its own outcome caused perfect separation (AUC 1.0) for several phenotypes; excluding that self-referential feature — a per-phenotype one-line change — gave the values reported.</w:t>
      </w:r>
    </w:p>
    <w:p>
      <w:pPr>
        <w:pStyle w:val="BodyText"/>
      </w:pPr>
      <w:r>
        <w:rPr>
          <w:b/>
          <w:bCs/>
        </w:rPr>
        <w:t xml:space="preserve">Conclusion.</w:t>
      </w:r>
      <w:r>
        <w:t xml:space="preserve"> </w:t>
      </w:r>
      <w:r>
        <w:t xml:space="preserve">The i2b2-ML tool, driven entirely through its JSON API, built phenotype models for eleven conditions on a dataset it was not developed against, by configuration alone. This supports the use of the tool by researchers without machine-learning expertise and provides a repeatable procedure — one script — for adding further phenotypes.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Electronic phenotyping — identifying patients with a condition from structured clinical data — underpins cohort discovery, quality measurement, and observational research. Most phenotype models are still built by hand in bespoke analytic scripts, which couples each model to the analyst who wrote it and makes the work hard to reproduce or transfer. The i2b2 platform addresses part of this gap with an embedded machine-learning module (i2b2-ML) that builds models from data already loaded in the i2b2 clinical data warehouse and exposes the whole workflow through a JSON API, so that a researcher specifies a model declaratively rather than writing training code.</w:t>
      </w:r>
    </w:p>
    <w:p>
      <w:pPr>
        <w:pStyle w:val="BodyText"/>
      </w:pPr>
      <w:r>
        <w:t xml:space="preserve">The contribution of this work is a validation of that tool rather than a new model. The question is not</w:t>
      </w:r>
      <w:r>
        <w:t xml:space="preserve"> </w:t>
      </w:r>
      <w:r>
        <w:t xml:space="preserve">“can a logistic-regression model predict stroke”</w:t>
      </w:r>
      <w:r>
        <w:t xml:space="preserve"> </w:t>
      </w:r>
      <w:r>
        <w:t xml:space="preserve">— that is well established — but</w:t>
      </w:r>
      <w:r>
        <w:t xml:space="preserve"> </w:t>
      </w:r>
      <w:r>
        <w:t xml:space="preserve">“can the i2b2-ML tool, driven through its API, build usable phenotype models on a real, external dataset across several conditions, without the user writing any machine-learning code.”</w:t>
      </w:r>
      <w:r>
        <w:t xml:space="preserve"> </w:t>
      </w:r>
      <w:r>
        <w:t xml:space="preserve">A standalone scikit-learn script answers the first question and says nothing about the second. We therefore build every model in this paper</w:t>
      </w:r>
      <w:r>
        <w:t xml:space="preserve"> </w:t>
      </w:r>
      <w:r>
        <w:rPr>
          <w:i/>
          <w:iCs/>
        </w:rPr>
        <w:t xml:space="preserve">through the tool</w:t>
      </w:r>
      <w:r>
        <w:t xml:space="preserve">: we load a phenotype cohort into i2b2 as concepts and facts, create patient sets, and submit a build job to the i2b2-ML engine over its JSON API. The model that comes back is the one the tool produced.</w:t>
      </w:r>
    </w:p>
    <w:p>
      <w:pPr>
        <w:pStyle w:val="BodyText"/>
      </w:pPr>
      <w:r>
        <w:t xml:space="preserve">We validate across eleven phenotypes — spanning cardiovascular (stroke, ischemic heart disease, atherosclerotic cardiovascular disease, heart failure), cardiometabolic and renal (hypertension, dyslipidemia, type 2 diabetes, prediabetes, chronic kidney disease), and respiratory (obstructive sleep apnea, asthma) conditions — on MIMIC-IV, an external dataset the tool was not developed against. Each phenotype is added to the pipeline by editing a single configuration file and re-running one script, so the same procedure produces all eleven models. That repeatability is the claim: a non-ML researcher can drive the i2b2-ML tool to build phenotype models on new data.</w:t>
      </w:r>
    </w:p>
    <w:bookmarkEnd w:id="10"/>
    <w:bookmarkStart w:id="16" w:name="methods"/>
    <w:p>
      <w:pPr>
        <w:pStyle w:val="Heading2"/>
      </w:pPr>
      <w:r>
        <w:t xml:space="preserve">2. Methods</w:t>
      </w:r>
    </w:p>
    <w:bookmarkStart w:id="11" w:name="data-source"/>
    <w:p>
      <w:pPr>
        <w:pStyle w:val="Heading3"/>
      </w:pPr>
      <w:r>
        <w:t xml:space="preserve">2.1 Data source</w:t>
      </w:r>
    </w:p>
    <w:p>
      <w:pPr>
        <w:pStyle w:val="FirstParagraph"/>
      </w:pPr>
      <w:r>
        <w:t xml:space="preserve">We used MIMIC-IV v3.1 (hospital module), a de-identified critical-care dataset of 364,627 patients from Beth Israel Deaconess Medical Center, accessed through Google BigQuery (</w:t>
      </w:r>
      <w:r>
        <w:rPr>
          <w:rStyle w:val="VerbatimChar"/>
        </w:rPr>
        <w:t xml:space="preserve">physionet-data.mimiciv_3_1_hosp</w:t>
      </w:r>
      <w:r>
        <w:t xml:space="preserve">) under an approved PhysioNet data use agreement. All cohort construction was performed in BigQuery SQL; no patient-level data left the credentialed environment except the de-identified structured facts loaded into the local i2b2 instance.</w:t>
      </w:r>
    </w:p>
    <w:bookmarkEnd w:id="11"/>
    <w:bookmarkStart w:id="12" w:name="cohort-definition"/>
    <w:p>
      <w:pPr>
        <w:pStyle w:val="Heading3"/>
      </w:pPr>
      <w:r>
        <w:t xml:space="preserve">2.2 Cohort definition</w:t>
      </w:r>
    </w:p>
    <w:p>
      <w:pPr>
        <w:pStyle w:val="FirstParagraph"/>
      </w:pPr>
      <w:r>
        <w:t xml:space="preserve">For each phenotype we defined cases by a silver-standard ICD code set and sampled controls without any related diagnosis: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Phenotype</w:t>
            </w:r>
          </w:p>
        </w:tc>
        <w:tc>
          <w:tcPr/>
          <w:p>
            <w:pPr>
              <w:pStyle w:val="Compact"/>
            </w:pPr>
            <w:r>
              <w:t xml:space="preserve">Case ICD-10</w:t>
            </w:r>
          </w:p>
        </w:tc>
        <w:tc>
          <w:tcPr/>
          <w:p>
            <w:pPr>
              <w:pStyle w:val="Compact"/>
            </w:pPr>
            <w:r>
              <w:t xml:space="preserve">Control exclusion</w:t>
            </w:r>
          </w:p>
        </w:tc>
      </w:tr>
      <w:tr>
        <w:tc>
          <w:tcPr/>
          <w:p>
            <w:pPr>
              <w:pStyle w:val="Compact"/>
            </w:pPr>
            <w:r>
              <w:t xml:space="preserve">Ischemic stroke</w:t>
            </w:r>
          </w:p>
        </w:tc>
        <w:tc>
          <w:tcPr/>
          <w:p>
            <w:pPr>
              <w:pStyle w:val="Compact"/>
            </w:pPr>
            <w:r>
              <w:t xml:space="preserve">I63, I64</w:t>
            </w:r>
          </w:p>
        </w:tc>
        <w:tc>
          <w:tcPr/>
          <w:p>
            <w:pPr>
              <w:pStyle w:val="Compact"/>
            </w:pPr>
            <w:r>
              <w:t xml:space="preserve">all cerebrovascular (I60–I69, G45/G46)</w:t>
            </w:r>
          </w:p>
        </w:tc>
      </w:tr>
      <w:tr>
        <w:tc>
          <w:tcPr/>
          <w:p>
            <w:pPr>
              <w:pStyle w:val="Compact"/>
            </w:pPr>
            <w:r>
              <w:t xml:space="preserve">Ischemic heart disease</w:t>
            </w:r>
          </w:p>
        </w:tc>
        <w:tc>
          <w:tcPr/>
          <w:p>
            <w:pPr>
              <w:pStyle w:val="Compact"/>
            </w:pPr>
            <w:r>
              <w:t xml:space="preserve">I20–I25</w:t>
            </w:r>
          </w:p>
        </w:tc>
        <w:tc>
          <w:tcPr/>
          <w:p>
            <w:pPr>
              <w:pStyle w:val="Compact"/>
            </w:pPr>
            <w:r>
              <w:t xml:space="preserve">I20–I25</w:t>
            </w:r>
          </w:p>
        </w:tc>
      </w:tr>
      <w:tr>
        <w:tc>
          <w:tcPr/>
          <w:p>
            <w:pPr>
              <w:pStyle w:val="Compact"/>
            </w:pPr>
            <w:r>
              <w:t xml:space="preserve">Atherosclerotic CVD (ASCVD)</w:t>
            </w:r>
          </w:p>
        </w:tc>
        <w:tc>
          <w:tcPr/>
          <w:p>
            <w:pPr>
              <w:pStyle w:val="Compact"/>
            </w:pPr>
            <w:r>
              <w:t xml:space="preserve">I20–I25, I63, I65–I66, I70, I73</w:t>
            </w:r>
          </w:p>
        </w:tc>
        <w:tc>
          <w:tcPr/>
          <w:p>
            <w:pPr>
              <w:pStyle w:val="Compact"/>
            </w:pPr>
            <w:r>
              <w:t xml:space="preserve">the above + I67, G45</w:t>
            </w:r>
          </w:p>
        </w:tc>
      </w:tr>
      <w:tr>
        <w:tc>
          <w:tcPr/>
          <w:p>
            <w:pPr>
              <w:pStyle w:val="Compact"/>
            </w:pPr>
            <w:r>
              <w:t xml:space="preserve">Heart failure</w:t>
            </w:r>
          </w:p>
        </w:tc>
        <w:tc>
          <w:tcPr/>
          <w:p>
            <w:pPr>
              <w:pStyle w:val="Compact"/>
            </w:pPr>
            <w:r>
              <w:t xml:space="preserve">I50</w:t>
            </w:r>
          </w:p>
        </w:tc>
        <w:tc>
          <w:tcPr/>
          <w:p>
            <w:pPr>
              <w:pStyle w:val="Compact"/>
            </w:pPr>
            <w:r>
              <w:t xml:space="preserve">I50, I11, I13, I255, I42</w:t>
            </w:r>
          </w:p>
        </w:tc>
      </w:tr>
      <w:tr>
        <w:tc>
          <w:tcPr/>
          <w:p>
            <w:pPr>
              <w:pStyle w:val="Compact"/>
            </w:pPr>
            <w:r>
              <w:t xml:space="preserve">Hypertension</w:t>
            </w:r>
          </w:p>
        </w:tc>
        <w:tc>
          <w:tcPr/>
          <w:p>
            <w:pPr>
              <w:pStyle w:val="Compact"/>
            </w:pPr>
            <w:r>
              <w:t xml:space="preserve">I10–I15</w:t>
            </w:r>
          </w:p>
        </w:tc>
        <w:tc>
          <w:tcPr/>
          <w:p>
            <w:pPr>
              <w:pStyle w:val="Compact"/>
            </w:pPr>
            <w:r>
              <w:t xml:space="preserve">I10–I16</w:t>
            </w:r>
          </w:p>
        </w:tc>
      </w:tr>
      <w:tr>
        <w:tc>
          <w:tcPr/>
          <w:p>
            <w:pPr>
              <w:pStyle w:val="Compact"/>
            </w:pPr>
            <w:r>
              <w:t xml:space="preserve">Dyslipidemia</w:t>
            </w:r>
          </w:p>
        </w:tc>
        <w:tc>
          <w:tcPr/>
          <w:p>
            <w:pPr>
              <w:pStyle w:val="Compact"/>
            </w:pPr>
            <w:r>
              <w:t xml:space="preserve">E78</w:t>
            </w:r>
          </w:p>
        </w:tc>
        <w:tc>
          <w:tcPr/>
          <w:p>
            <w:pPr>
              <w:pStyle w:val="Compact"/>
            </w:pPr>
            <w:r>
              <w:t xml:space="preserve">E78</w:t>
            </w:r>
          </w:p>
        </w:tc>
      </w:tr>
      <w:tr>
        <w:tc>
          <w:tcPr/>
          <w:p>
            <w:pPr>
              <w:pStyle w:val="Compact"/>
            </w:pPr>
            <w:r>
              <w:t xml:space="preserve">Type 2 diabetes</w:t>
            </w:r>
          </w:p>
        </w:tc>
        <w:tc>
          <w:tcPr/>
          <w:p>
            <w:pPr>
              <w:pStyle w:val="Compact"/>
            </w:pPr>
            <w:r>
              <w:t xml:space="preserve">E11</w:t>
            </w:r>
          </w:p>
        </w:tc>
        <w:tc>
          <w:tcPr/>
          <w:p>
            <w:pPr>
              <w:pStyle w:val="Compact"/>
            </w:pPr>
            <w:r>
              <w:t xml:space="preserve">all diabetes (E08–E13) + prediabetes (R73)</w:t>
            </w:r>
          </w:p>
        </w:tc>
      </w:tr>
      <w:tr>
        <w:tc>
          <w:tcPr/>
          <w:p>
            <w:pPr>
              <w:pStyle w:val="Compact"/>
            </w:pPr>
            <w:r>
              <w:t xml:space="preserve">Prediabetes</w:t>
            </w:r>
          </w:p>
        </w:tc>
        <w:tc>
          <w:tcPr/>
          <w:p>
            <w:pPr>
              <w:pStyle w:val="Compact"/>
            </w:pPr>
            <w:r>
              <w:t xml:space="preserve">R73.0, R73.9</w:t>
            </w:r>
          </w:p>
        </w:tc>
        <w:tc>
          <w:tcPr/>
          <w:p>
            <w:pPr>
              <w:pStyle w:val="Compact"/>
            </w:pPr>
            <w:r>
              <w:t xml:space="preserve">R73 + all diabetes (E08–E13)</w:t>
            </w:r>
          </w:p>
        </w:tc>
      </w:tr>
      <w:tr>
        <w:tc>
          <w:tcPr/>
          <w:p>
            <w:pPr>
              <w:pStyle w:val="Compact"/>
            </w:pPr>
            <w:r>
              <w:t xml:space="preserve">Chronic kidney disease</w:t>
            </w:r>
          </w:p>
        </w:tc>
        <w:tc>
          <w:tcPr/>
          <w:p>
            <w:pPr>
              <w:pStyle w:val="Compact"/>
            </w:pPr>
            <w:r>
              <w:t xml:space="preserve">N18</w:t>
            </w:r>
          </w:p>
        </w:tc>
        <w:tc>
          <w:tcPr/>
          <w:p>
            <w:pPr>
              <w:pStyle w:val="Compact"/>
            </w:pPr>
            <w:r>
              <w:t xml:space="preserve">N18, N19</w:t>
            </w:r>
          </w:p>
        </w:tc>
      </w:tr>
      <w:tr>
        <w:tc>
          <w:tcPr/>
          <w:p>
            <w:pPr>
              <w:pStyle w:val="Compact"/>
            </w:pPr>
            <w:r>
              <w:t xml:space="preserve">Obstructive sleep apnea</w:t>
            </w:r>
          </w:p>
        </w:tc>
        <w:tc>
          <w:tcPr/>
          <w:p>
            <w:pPr>
              <w:pStyle w:val="Compact"/>
            </w:pPr>
            <w:r>
              <w:t xml:space="preserve">G47.33</w:t>
            </w:r>
          </w:p>
        </w:tc>
        <w:tc>
          <w:tcPr/>
          <w:p>
            <w:pPr>
              <w:pStyle w:val="Compact"/>
            </w:pPr>
            <w:r>
              <w:t xml:space="preserve">all sleep apnea (G47.3)</w:t>
            </w:r>
          </w:p>
        </w:tc>
      </w:tr>
      <w:tr>
        <w:tc>
          <w:tcPr/>
          <w:p>
            <w:pPr>
              <w:pStyle w:val="Compact"/>
            </w:pPr>
            <w:r>
              <w:t xml:space="preserve">Asthma</w:t>
            </w:r>
          </w:p>
        </w:tc>
        <w:tc>
          <w:tcPr/>
          <w:p>
            <w:pPr>
              <w:pStyle w:val="Compact"/>
            </w:pPr>
            <w:r>
              <w:t xml:space="preserve">J45</w:t>
            </w:r>
          </w:p>
        </w:tc>
        <w:tc>
          <w:tcPr/>
          <w:p>
            <w:pPr>
              <w:pStyle w:val="Compact"/>
            </w:pPr>
            <w:r>
              <w:t xml:space="preserve">J45, J44, J46</w:t>
            </w:r>
          </w:p>
        </w:tc>
      </w:tr>
    </w:tbl>
    <w:p>
      <w:pPr>
        <w:pStyle w:val="BodyText"/>
      </w:pPr>
      <w:r>
        <w:t xml:space="preserve">Each cohort comprised 800 cases and 1,600 controls (1:2); all eleven phenotypes had at least 800 coded cases available in MIMIC-IV. The analysis unit is the patient (one row per</w:t>
      </w:r>
      <w:r>
        <w:t xml:space="preserve"> </w:t>
      </w:r>
      <w:r>
        <w:rPr>
          <w:rStyle w:val="VerbatimChar"/>
        </w:rPr>
        <w:t xml:space="preserve">subject_id</w:t>
      </w:r>
      <w:r>
        <w:t xml:space="preserve">). The index admission is the earliest case admission for cases and the earliest admission for controls; every feature and the label are dated at the index-admission date (a cross-sectional snapshot; see Limitations). Controls were drawn to exclude any diagnosis in the phenotype’s exclusion set, so they are clean negatives.</w:t>
      </w:r>
    </w:p>
    <w:p>
      <w:pPr>
        <w:pStyle w:val="BodyText"/>
      </w:pPr>
      <w:r>
        <w:t xml:space="preserve">Because the cases are defined by ICD codes rather than chart review, the labels are a silver standard. For heart failure, ICD-based ascertainment has been validated against chart review (Roger et al., 2014: pooled sensitivity 75%, specificity 97%, PPV ≥87%), which supports using codes as labels without manual inter-rater review.</w:t>
      </w:r>
    </w:p>
    <w:bookmarkEnd w:id="12"/>
    <w:bookmarkStart w:id="13" w:name="feature-set"/>
    <w:p>
      <w:pPr>
        <w:pStyle w:val="Heading3"/>
      </w:pPr>
      <w:r>
        <w:t xml:space="preserve">2.3 Feature set</w:t>
      </w:r>
    </w:p>
    <w:p>
      <w:pPr>
        <w:pStyle w:val="FirstParagraph"/>
      </w:pPr>
      <w:r>
        <w:t xml:space="preserve">We extracted a shared set of 32 structured features available in MIMIC-IV hosp — chosen as clinically grounded cardiometabolic risk factors and reused unchanged across all eleven phenotypes — mapped one-to-one to i2b2 concepts under</w:t>
      </w:r>
      <w:r>
        <w:t xml:space="preserve"> </w:t>
      </w:r>
      <w:r>
        <w:rPr>
          <w:rStyle w:val="VerbatimChar"/>
        </w:rPr>
        <w:t xml:space="preserve">\MIMIC\features\</w:t>
      </w:r>
      <w:r>
        <w:t xml:space="preserve">. For each phenotype, any feature derived from the same ICD codes as that phenotype’s own label (e.g. the heart-failure comorbidity flag for the heart-failure model) was excluded to prevent label leakage (see §3.1). The feature set:</w:t>
      </w:r>
    </w:p>
    <w:p>
      <w:pPr>
        <w:pStyle w:val="Compact"/>
        <w:numPr>
          <w:ilvl w:val="0"/>
          <w:numId w:val="1001"/>
        </w:numPr>
      </w:pPr>
      <w:r>
        <w:rPr>
          <w:b/>
          <w:bCs/>
        </w:rPr>
        <w:t xml:space="preserve">Demographics (2):</w:t>
      </w:r>
      <w:r>
        <w:t xml:space="preserve"> </w:t>
      </w:r>
      <w:r>
        <w:t xml:space="preserve">age at index, sex.</w:t>
      </w:r>
    </w:p>
    <w:p>
      <w:pPr>
        <w:pStyle w:val="Compact"/>
        <w:numPr>
          <w:ilvl w:val="0"/>
          <w:numId w:val="1001"/>
        </w:numPr>
      </w:pPr>
      <w:r>
        <w:rPr>
          <w:b/>
          <w:bCs/>
        </w:rPr>
        <w:t xml:space="preserve">Comorbidities (10), binary, history through the index admission:</w:t>
      </w:r>
      <w:r>
        <w:t xml:space="preserve"> </w:t>
      </w:r>
      <w:r>
        <w:t xml:space="preserve">hypertension, diabetes, atrial fibrillation, ischemic heart disease, heart failure, hyperlipidemia, chronic kidney disease, peripheral vascular disease, smoking, carotid stenosis.</w:t>
      </w:r>
    </w:p>
    <w:p>
      <w:pPr>
        <w:pStyle w:val="Compact"/>
        <w:numPr>
          <w:ilvl w:val="0"/>
          <w:numId w:val="1001"/>
        </w:numPr>
      </w:pPr>
      <w:r>
        <w:rPr>
          <w:b/>
          <w:bCs/>
        </w:rPr>
        <w:t xml:space="preserve">Laboratory values (12), first value during the index admission:</w:t>
      </w:r>
      <w:r>
        <w:t xml:space="preserve"> </w:t>
      </w:r>
      <w:r>
        <w:t xml:space="preserve">glucose, HbA1c, LDL, HDL, total cholesterol, triglycerides, creatinine, INR, hemoglobin, platelets, white blood cell count, sodium. (LDL/HDL/total cholesterol were matched on the MIMIC-IV</w:t>
      </w:r>
      <w:r>
        <w:t xml:space="preserve"> </w:t>
      </w:r>
      <w:r>
        <w:rPr>
          <w:rStyle w:val="VerbatimChar"/>
        </w:rPr>
        <w:t xml:space="preserve">d_labitems</w:t>
      </w:r>
      <w:r>
        <w:t xml:space="preserve"> </w:t>
      </w:r>
      <w:r>
        <w:t xml:space="preserve">labels</w:t>
      </w:r>
      <w:r>
        <w:t xml:space="preserve"> </w:t>
      </w:r>
      <w:r>
        <w:rPr>
          <w:rStyle w:val="VerbatimChar"/>
        </w:rPr>
        <w:t xml:space="preserve">Cholesterol, LDL/HDL/Total</w:t>
      </w:r>
      <w:r>
        <w:t xml:space="preserve">; an earlier</w:t>
      </w:r>
      <w:r>
        <w:t xml:space="preserve"> </w:t>
      </w:r>
      <w:r>
        <w:rPr>
          <w:rStyle w:val="VerbatimChar"/>
        </w:rPr>
        <w:t xml:space="preserve">LDL%</w:t>
      </w:r>
      <w:r>
        <w:t xml:space="preserve"> </w:t>
      </w:r>
      <w:r>
        <w:t xml:space="preserve">pattern matched nothing and was corrected.)</w:t>
      </w:r>
    </w:p>
    <w:p>
      <w:pPr>
        <w:pStyle w:val="Compact"/>
        <w:numPr>
          <w:ilvl w:val="0"/>
          <w:numId w:val="1001"/>
        </w:numPr>
      </w:pPr>
      <w:r>
        <w:rPr>
          <w:b/>
          <w:bCs/>
        </w:rPr>
        <w:t xml:space="preserve">Vitals (3), most recent value on or before the index date, from the outpatient OMR table:</w:t>
      </w:r>
      <w:r>
        <w:t xml:space="preserve"> </w:t>
      </w:r>
      <w:r>
        <w:t xml:space="preserve">systolic and diastolic blood pressure, BMI, each with plausibility bounds applied before recency ranking (BMI 10–100, SBP 50–300, DBP 20–200).</w:t>
      </w:r>
    </w:p>
    <w:p>
      <w:pPr>
        <w:pStyle w:val="Compact"/>
        <w:numPr>
          <w:ilvl w:val="0"/>
          <w:numId w:val="1001"/>
        </w:numPr>
      </w:pPr>
      <w:r>
        <w:rPr>
          <w:b/>
          <w:bCs/>
        </w:rPr>
        <w:t xml:space="preserve">Medications (5), binary, any order during the index admission:</w:t>
      </w:r>
      <w:r>
        <w:t xml:space="preserve"> </w:t>
      </w:r>
      <w:r>
        <w:t xml:space="preserve">antihypertensive, statin, anticoagulant, antiplatelet, antidiabetic.</w:t>
      </w:r>
    </w:p>
    <w:bookmarkEnd w:id="13"/>
    <w:bookmarkStart w:id="14" w:name="X31b537f2b1c451ed99c7ba1ff58f2d4aa42fd60"/>
    <w:p>
      <w:pPr>
        <w:pStyle w:val="Heading3"/>
      </w:pPr>
      <w:r>
        <w:t xml:space="preserve">2.4 Building the model through the i2b2-ML API</w:t>
      </w:r>
    </w:p>
    <w:p>
      <w:pPr>
        <w:pStyle w:val="FirstParagraph"/>
      </w:pPr>
      <w:r>
        <w:t xml:space="preserve">We used i2b2-etl v4.1.0 with its ML module, running locally as a Docker stack (PostgreSQL CRC database, the ETL Flask service, and the jobWatcher daemon). Every step below is driven through the tool, not in an external script:</w:t>
      </w:r>
    </w:p>
    <w:p>
      <w:pPr>
        <w:pStyle w:val="Compact"/>
        <w:numPr>
          <w:ilvl w:val="0"/>
          <w:numId w:val="1002"/>
        </w:numPr>
      </w:pPr>
      <w:r>
        <w:rPr>
          <w:b/>
          <w:bCs/>
        </w:rPr>
        <w:t xml:space="preserve">Load.</w:t>
      </w:r>
      <w:r>
        <w:t xml:space="preserve"> </w:t>
      </w:r>
      <w:r>
        <w:t xml:space="preserve">The per-patient cohort CSV is transformed into i2b2 concept and fact files and loaded with the i2b2 ETL loader (</w:t>
      </w:r>
      <w:r>
        <w:rPr>
          <w:rStyle w:val="VerbatimChar"/>
        </w:rPr>
        <w:t xml:space="preserve">concept load</w:t>
      </w:r>
      <w:r>
        <w:t xml:space="preserve">,</w:t>
      </w:r>
      <w:r>
        <w:t xml:space="preserve"> </w:t>
      </w:r>
      <w:r>
        <w:rPr>
          <w:rStyle w:val="VerbatimChar"/>
        </w:rPr>
        <w:t xml:space="preserve">fact load --mrn-are-patient-numbers</w:t>
      </w:r>
      <w:r>
        <w:t xml:space="preserve">, so the i2b2</w:t>
      </w:r>
      <w:r>
        <w:t xml:space="preserve"> </w:t>
      </w:r>
      <w:r>
        <w:rPr>
          <w:rStyle w:val="VerbatimChar"/>
        </w:rPr>
        <w:t xml:space="preserve">patient_num</w:t>
      </w:r>
      <w:r>
        <w:t xml:space="preserve"> </w:t>
      </w:r>
      <w:r>
        <w:t xml:space="preserve">equals the MIMIC</w:t>
      </w:r>
      <w:r>
        <w:t xml:space="preserve"> </w:t>
      </w:r>
      <w:r>
        <w:rPr>
          <w:rStyle w:val="VerbatimChar"/>
        </w:rPr>
        <w:t xml:space="preserve">subject_id</w:t>
      </w:r>
      <w:r>
        <w:t xml:space="preserve">). This writes the 32 feature facts and the label fact for each patient into</w:t>
      </w:r>
      <w:r>
        <w:t xml:space="preserve"> </w:t>
      </w:r>
      <w:r>
        <w:rPr>
          <w:rStyle w:val="VerbatimChar"/>
        </w:rPr>
        <w:t xml:space="preserve">observation_fact</w:t>
      </w:r>
      <w:r>
        <w:t xml:space="preserve">.</w:t>
      </w:r>
    </w:p>
    <w:p>
      <w:pPr>
        <w:pStyle w:val="Compact"/>
        <w:numPr>
          <w:ilvl w:val="0"/>
          <w:numId w:val="1002"/>
        </w:numPr>
      </w:pPr>
      <w:r>
        <w:rPr>
          <w:b/>
          <w:bCs/>
        </w:rPr>
        <w:t xml:space="preserve">Patient sets.</w:t>
      </w:r>
      <w:r>
        <w:t xml:space="preserve"> </w:t>
      </w:r>
      <w:r>
        <w:t xml:space="preserve">Cases and controls are materialized as two named i2b2 patient sets (</w:t>
      </w:r>
      <w:r>
        <w:rPr>
          <w:rStyle w:val="VerbatimChar"/>
        </w:rPr>
        <w:t xml:space="preserve">&lt;phenotype&gt;_pos</w:t>
      </w:r>
      <w:r>
        <w:t xml:space="preserve">,</w:t>
      </w:r>
      <w:r>
        <w:t xml:space="preserve"> </w:t>
      </w:r>
      <w:r>
        <w:rPr>
          <w:rStyle w:val="VerbatimChar"/>
        </w:rPr>
        <w:t xml:space="preserve">&lt;phenotype&gt;_neg</w:t>
      </w:r>
      <w:r>
        <w:t xml:space="preserve">) in</w:t>
      </w:r>
      <w:r>
        <w:t xml:space="preserve"> </w:t>
      </w:r>
      <w:r>
        <w:rPr>
          <w:rStyle w:val="VerbatimChar"/>
        </w:rPr>
        <w:t xml:space="preserve">qt_patient_set_collection</w:t>
      </w:r>
      <w:r>
        <w:t xml:space="preserve"> </w:t>
      </w:r>
      <w:r>
        <w:t xml:space="preserve">— the same structure an i2b2 user would create from the query tool.</w:t>
      </w:r>
    </w:p>
    <w:p>
      <w:pPr>
        <w:pStyle w:val="Compact"/>
        <w:numPr>
          <w:ilvl w:val="0"/>
          <w:numId w:val="1002"/>
        </w:numPr>
      </w:pPr>
      <w:r>
        <w:rPr>
          <w:b/>
          <w:bCs/>
        </w:rPr>
        <w:t xml:space="preserve">Register the model concept.</w:t>
      </w:r>
      <w:r>
        <w:t xml:space="preserve"> </w:t>
      </w:r>
      <w:r>
        <w:t xml:space="preserve">An ML concept is registered through</w:t>
      </w:r>
      <w:r>
        <w:t xml:space="preserve"> </w:t>
      </w:r>
      <w:r>
        <w:rPr>
          <w:rStyle w:val="VerbatimChar"/>
        </w:rPr>
        <w:t xml:space="preserve">POST /etl/concepts</w:t>
      </w:r>
      <w:r>
        <w:t xml:space="preserve"> </w:t>
      </w:r>
      <w:r>
        <w:t xml:space="preserve">with a blob specifying the positive/negative patient sets, the feature subtree (</w:t>
      </w:r>
      <w:r>
        <w:rPr>
          <w:rStyle w:val="VerbatimChar"/>
        </w:rPr>
        <w:t xml:space="preserve">data_paths</w:t>
      </w:r>
      <w:r>
        <w:t xml:space="preserve">), the label path, and a fixed random seed.</w:t>
      </w:r>
    </w:p>
    <w:p>
      <w:pPr>
        <w:pStyle w:val="Compact"/>
        <w:numPr>
          <w:ilvl w:val="0"/>
          <w:numId w:val="1002"/>
        </w:numPr>
      </w:pPr>
      <w:r>
        <w:rPr>
          <w:b/>
          <w:bCs/>
        </w:rPr>
        <w:t xml:space="preserve">Submit the build job.</w:t>
      </w:r>
      <w:r>
        <w:t xml:space="preserve"> </w:t>
      </w:r>
      <w:r>
        <w:rPr>
          <w:rStyle w:val="VerbatimChar"/>
        </w:rPr>
        <w:t xml:space="preserve">POST /etl/job</w:t>
      </w:r>
      <w:r>
        <w:t xml:space="preserve"> </w:t>
      </w:r>
      <w:r>
        <w:t xml:space="preserve">with</w:t>
      </w:r>
      <w:r>
        <w:t xml:space="preserve"> </w:t>
      </w:r>
      <w:r>
        <w:rPr>
          <w:rStyle w:val="VerbatimChar"/>
        </w:rPr>
        <w:t xml:space="preserve">{"jobType": "ml"}</w:t>
      </w:r>
      <w:r>
        <w:t xml:space="preserve"> </w:t>
      </w:r>
      <w:r>
        <w:t xml:space="preserve">enqueues an asynchronous build. The jobWatcher daemon picks it up and invokes the ML engine (</w:t>
      </w:r>
      <w:r>
        <w:rPr>
          <w:rStyle w:val="VerbatimChar"/>
        </w:rPr>
        <w:t xml:space="preserve">mlEngine → apply_build_model</w:t>
      </w:r>
      <w:r>
        <w:t xml:space="preserve">), which reads the cohort from the patient sets, assembles the feature matrix from</w:t>
      </w:r>
      <w:r>
        <w:t xml:space="preserve"> </w:t>
      </w:r>
      <w:r>
        <w:rPr>
          <w:rStyle w:val="VerbatimChar"/>
        </w:rPr>
        <w:t xml:space="preserve">observation_fact</w:t>
      </w:r>
      <w:r>
        <w:t xml:space="preserve">, and trains an elastic-net logistic regression with SMOTE oversampling for class imbalance and a 5-fold grid search over the regularization path, evaluating on a held-out split (50%).</w:t>
      </w:r>
    </w:p>
    <w:p>
      <w:pPr>
        <w:pStyle w:val="Compact"/>
        <w:numPr>
          <w:ilvl w:val="0"/>
          <w:numId w:val="1002"/>
        </w:numPr>
      </w:pPr>
      <w:r>
        <w:rPr>
          <w:b/>
          <w:bCs/>
        </w:rPr>
        <w:t xml:space="preserve">Retrieve.</w:t>
      </w:r>
      <w:r>
        <w:t xml:space="preserve"> </w:t>
      </w:r>
      <w:r>
        <w:t xml:space="preserve">The trained model and its metrics are serialized into</w:t>
      </w:r>
      <w:r>
        <w:t xml:space="preserve"> </w:t>
      </w:r>
      <w:r>
        <w:rPr>
          <w:rStyle w:val="VerbatimChar"/>
        </w:rPr>
        <w:t xml:space="preserve">concept_dimension.concept_blob</w:t>
      </w:r>
      <w:r>
        <w:t xml:space="preserve"> </w:t>
      </w:r>
      <w:r>
        <w:t xml:space="preserve">and retrieved through</w:t>
      </w:r>
      <w:r>
        <w:t xml:space="preserve"> </w:t>
      </w:r>
      <w:r>
        <w:rPr>
          <w:rStyle w:val="VerbatimChar"/>
        </w:rPr>
        <w:t xml:space="preserve">GET /etl/concepts</w:t>
      </w:r>
      <w:r>
        <w:t xml:space="preserve">. The model returned is the tool’s output; we did not train anything ourselves.</w:t>
      </w:r>
    </w:p>
    <w:p>
      <w:pPr>
        <w:pStyle w:val="FirstParagraph"/>
      </w:pPr>
      <w:r>
        <w:t xml:space="preserve">Builds are deterministic: the blob carries a fixed</w:t>
      </w:r>
      <w:r>
        <w:t xml:space="preserve"> </w:t>
      </w:r>
      <w:r>
        <w:rPr>
          <w:rStyle w:val="VerbatimChar"/>
        </w:rPr>
        <w:t xml:space="preserve">random_seed</w:t>
      </w:r>
      <w:r>
        <w:t xml:space="preserve"> </w:t>
      </w:r>
      <w:r>
        <w:t xml:space="preserve">(0.42) used for the SMOTE sampler and the train/test split, so repeating a build reproduces the same model and metrics. Adding a phenotype is a configuration edit (label ICD set and concept paths) plus one command; the pipeline code does not change.</w:t>
      </w:r>
    </w:p>
    <w:bookmarkEnd w:id="14"/>
    <w:bookmarkStart w:id="15" w:name="evaluation"/>
    <w:p>
      <w:pPr>
        <w:pStyle w:val="Heading3"/>
      </w:pPr>
      <w:r>
        <w:t xml:space="preserve">2.5 Evaluation</w:t>
      </w:r>
    </w:p>
    <w:p>
      <w:pPr>
        <w:pStyle w:val="FirstParagraph"/>
      </w:pPr>
      <w:r>
        <w:t xml:space="preserve">For each phenotype we report the metrics the tool computes on its held-out test split: ROC AUC, accuracy, precision, recall, and F1, together with the features the engine retained. No external evaluation was performed; the goal is to validate the tool’s own reported output, which is what an i2b2-ML user would see.</w:t>
      </w:r>
    </w:p>
    <w:bookmarkEnd w:id="15"/>
    <w:bookmarkEnd w:id="16"/>
    <w:bookmarkStart w:id="18" w:name="results"/>
    <w:p>
      <w:pPr>
        <w:pStyle w:val="Heading2"/>
      </w:pPr>
      <w:r>
        <w:t xml:space="preserve">3. Results</w:t>
      </w:r>
    </w:p>
    <w:p>
      <w:pPr>
        <w:pStyle w:val="FirstParagraph"/>
      </w:pPr>
      <w:r>
        <w:t xml:space="preserve">All eleven phenotype build jobs ran to completion through the i2b2-ML API. Each</w:t>
      </w:r>
      <w:r>
        <w:t xml:space="preserve"> </w:t>
      </w:r>
      <w:r>
        <w:rPr>
          <w:rStyle w:val="VerbatimChar"/>
        </w:rPr>
        <w:t xml:space="preserve">POST /etl/job</w:t>
      </w:r>
      <w:r>
        <w:t xml:space="preserve"> </w:t>
      </w:r>
      <w:r>
        <w:t xml:space="preserve">(</w:t>
      </w:r>
      <w:r>
        <w:rPr>
          <w:rStyle w:val="VerbatimChar"/>
        </w:rPr>
        <w:t xml:space="preserve">jobType:ml</w:t>
      </w:r>
      <w:r>
        <w:t xml:space="preserve">) was picked up by the jobWatcher, trained by the engine, and reached</w:t>
      </w:r>
      <w:r>
        <w:t xml:space="preserve"> </w:t>
      </w:r>
      <w:r>
        <w:rPr>
          <w:rStyle w:val="VerbatimChar"/>
        </w:rPr>
        <w:t xml:space="preserve">COMPLETED</w:t>
      </w:r>
      <w:r>
        <w:t xml:space="preserve">; the serialized model and its metrics were retrieved from</w:t>
      </w:r>
      <w:r>
        <w:t xml:space="preserve"> </w:t>
      </w:r>
      <w:r>
        <w:rPr>
          <w:rStyle w:val="VerbatimChar"/>
        </w:rPr>
        <w:t xml:space="preserve">concept_dimension.concept_blob</w:t>
      </w:r>
      <w:r>
        <w:t xml:space="preserve"> </w:t>
      </w:r>
      <w:r>
        <w:t xml:space="preserve">via</w:t>
      </w:r>
      <w:r>
        <w:t xml:space="preserve"> </w:t>
      </w:r>
      <w:r>
        <w:rPr>
          <w:rStyle w:val="VerbatimChar"/>
        </w:rPr>
        <w:t xml:space="preserve">GET /etl/concepts</w:t>
      </w:r>
      <w:r>
        <w:t xml:space="preserve">. No model was trained outside the tool.</w:t>
      </w:r>
    </w:p>
    <w:p>
      <w:pPr>
        <w:pStyle w:val="BodyText"/>
      </w:pPr>
      <w:r>
        <w:rPr>
          <w:b/>
          <w:bCs/>
        </w:rPr>
        <w:t xml:space="preserve">Table 2. Phenotype models built through the i2b2-ML API (MIMIC-IV).</w:t>
      </w:r>
      <w:r>
        <w:t xml:space="preserve"> </w:t>
      </w:r>
      <w:r>
        <w:t xml:space="preserve">Metrics are the engine’s own held-out test scores (50% split).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Phenotype</w:t>
            </w:r>
          </w:p>
        </w:tc>
        <w:tc>
          <w:tcPr/>
          <w:p>
            <w:pPr>
              <w:pStyle w:val="Compact"/>
            </w:pPr>
            <w:r>
              <w:t xml:space="preserve">Cases / Controls</w:t>
            </w:r>
          </w:p>
        </w:tc>
        <w:tc>
          <w:tcPr/>
          <w:p>
            <w:pPr>
              <w:pStyle w:val="Compact"/>
            </w:pPr>
            <w:r>
              <w:t xml:space="preserve">Features retained</w:t>
            </w:r>
          </w:p>
        </w:tc>
        <w:tc>
          <w:tcPr/>
          <w:p>
            <w:pPr>
              <w:pStyle w:val="Compact"/>
            </w:pPr>
            <w:r>
              <w:t xml:space="preserve">ROC AUC</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Ischemic stroke</w:t>
            </w:r>
          </w:p>
        </w:tc>
        <w:tc>
          <w:tcPr/>
          <w:p>
            <w:pPr>
              <w:pStyle w:val="Compact"/>
            </w:pPr>
            <w:r>
              <w:t xml:space="preserve">800 / 1600</w:t>
            </w:r>
          </w:p>
        </w:tc>
        <w:tc>
          <w:tcPr/>
          <w:p>
            <w:pPr>
              <w:pStyle w:val="Compact"/>
            </w:pPr>
            <w:r>
              <w:t xml:space="preserve">16</w:t>
            </w:r>
          </w:p>
        </w:tc>
        <w:tc>
          <w:tcPr/>
          <w:p>
            <w:pPr>
              <w:pStyle w:val="Compact"/>
            </w:pPr>
            <w:r>
              <w:t xml:space="preserve">0.891</w:t>
            </w:r>
          </w:p>
        </w:tc>
        <w:tc>
          <w:tcPr/>
          <w:p>
            <w:pPr>
              <w:pStyle w:val="Compact"/>
            </w:pPr>
            <w:r>
              <w:t xml:space="preserve">0.811</w:t>
            </w:r>
          </w:p>
        </w:tc>
        <w:tc>
          <w:tcPr/>
          <w:p>
            <w:pPr>
              <w:pStyle w:val="Compact"/>
            </w:pPr>
            <w:r>
              <w:t xml:space="preserve">0.686</w:t>
            </w:r>
          </w:p>
        </w:tc>
        <w:tc>
          <w:tcPr/>
          <w:p>
            <w:pPr>
              <w:pStyle w:val="Compact"/>
            </w:pPr>
            <w:r>
              <w:t xml:space="preserve">0.792</w:t>
            </w:r>
          </w:p>
        </w:tc>
        <w:tc>
          <w:tcPr/>
          <w:p>
            <w:pPr>
              <w:pStyle w:val="Compact"/>
            </w:pPr>
            <w:r>
              <w:t xml:space="preserve">0.736</w:t>
            </w:r>
          </w:p>
        </w:tc>
      </w:tr>
      <w:tr>
        <w:tc>
          <w:tcPr/>
          <w:p>
            <w:pPr>
              <w:pStyle w:val="Compact"/>
            </w:pPr>
            <w:r>
              <w:t xml:space="preserve">Ischemic heart disease</w:t>
            </w:r>
          </w:p>
        </w:tc>
        <w:tc>
          <w:tcPr/>
          <w:p>
            <w:pPr>
              <w:pStyle w:val="Compact"/>
            </w:pPr>
            <w:r>
              <w:t xml:space="preserve">800 / 1600</w:t>
            </w:r>
          </w:p>
        </w:tc>
        <w:tc>
          <w:tcPr/>
          <w:p>
            <w:pPr>
              <w:pStyle w:val="Compact"/>
            </w:pPr>
            <w:r>
              <w:t xml:space="preserve">16</w:t>
            </w:r>
          </w:p>
        </w:tc>
        <w:tc>
          <w:tcPr/>
          <w:p>
            <w:pPr>
              <w:pStyle w:val="Compact"/>
            </w:pPr>
            <w:r>
              <w:t xml:space="preserve">0.893</w:t>
            </w:r>
          </w:p>
        </w:tc>
        <w:tc>
          <w:tcPr/>
          <w:p>
            <w:pPr>
              <w:pStyle w:val="Compact"/>
            </w:pPr>
            <w:r>
              <w:t xml:space="preserve">0.807</w:t>
            </w:r>
          </w:p>
        </w:tc>
        <w:tc>
          <w:tcPr/>
          <w:p>
            <w:pPr>
              <w:pStyle w:val="Compact"/>
            </w:pPr>
            <w:r>
              <w:t xml:space="preserve">0.659</w:t>
            </w:r>
          </w:p>
        </w:tc>
        <w:tc>
          <w:tcPr/>
          <w:p>
            <w:pPr>
              <w:pStyle w:val="Compact"/>
            </w:pPr>
            <w:r>
              <w:t xml:space="preserve">0.872</w:t>
            </w:r>
          </w:p>
        </w:tc>
        <w:tc>
          <w:tcPr/>
          <w:p>
            <w:pPr>
              <w:pStyle w:val="Compact"/>
            </w:pPr>
            <w:r>
              <w:t xml:space="preserve">0.751</w:t>
            </w:r>
          </w:p>
        </w:tc>
      </w:tr>
      <w:tr>
        <w:tc>
          <w:tcPr/>
          <w:p>
            <w:pPr>
              <w:pStyle w:val="Compact"/>
            </w:pPr>
            <w:r>
              <w:t xml:space="preserve">Atherosclerotic CVD (ASCVD)</w:t>
            </w:r>
          </w:p>
        </w:tc>
        <w:tc>
          <w:tcPr/>
          <w:p>
            <w:pPr>
              <w:pStyle w:val="Compact"/>
            </w:pPr>
            <w:r>
              <w:t xml:space="preserve">800 / 1600</w:t>
            </w:r>
          </w:p>
        </w:tc>
        <w:tc>
          <w:tcPr/>
          <w:p>
            <w:pPr>
              <w:pStyle w:val="Compact"/>
            </w:pPr>
            <w:r>
              <w:t xml:space="preserve">15</w:t>
            </w:r>
          </w:p>
        </w:tc>
        <w:tc>
          <w:tcPr/>
          <w:p>
            <w:pPr>
              <w:pStyle w:val="Compact"/>
            </w:pPr>
            <w:r>
              <w:t xml:space="preserve">0.910</w:t>
            </w:r>
          </w:p>
        </w:tc>
        <w:tc>
          <w:tcPr/>
          <w:p>
            <w:pPr>
              <w:pStyle w:val="Compact"/>
            </w:pPr>
            <w:r>
              <w:t xml:space="preserve">0.834</w:t>
            </w:r>
          </w:p>
        </w:tc>
        <w:tc>
          <w:tcPr/>
          <w:p>
            <w:pPr>
              <w:pStyle w:val="Compact"/>
            </w:pPr>
            <w:r>
              <w:t xml:space="preserve">0.719</w:t>
            </w:r>
          </w:p>
        </w:tc>
        <w:tc>
          <w:tcPr/>
          <w:p>
            <w:pPr>
              <w:pStyle w:val="Compact"/>
            </w:pPr>
            <w:r>
              <w:t xml:space="preserve">0.827</w:t>
            </w:r>
          </w:p>
        </w:tc>
        <w:tc>
          <w:tcPr/>
          <w:p>
            <w:pPr>
              <w:pStyle w:val="Compact"/>
            </w:pPr>
            <w:r>
              <w:t xml:space="preserve">0.769</w:t>
            </w:r>
          </w:p>
        </w:tc>
      </w:tr>
      <w:tr>
        <w:tc>
          <w:tcPr/>
          <w:p>
            <w:pPr>
              <w:pStyle w:val="Compact"/>
            </w:pPr>
            <w:r>
              <w:t xml:space="preserve">Heart failure</w:t>
            </w:r>
          </w:p>
        </w:tc>
        <w:tc>
          <w:tcPr/>
          <w:p>
            <w:pPr>
              <w:pStyle w:val="Compact"/>
            </w:pPr>
            <w:r>
              <w:t xml:space="preserve">800 / 1600</w:t>
            </w:r>
          </w:p>
        </w:tc>
        <w:tc>
          <w:tcPr/>
          <w:p>
            <w:pPr>
              <w:pStyle w:val="Compact"/>
            </w:pPr>
            <w:r>
              <w:t xml:space="preserve">16</w:t>
            </w:r>
          </w:p>
        </w:tc>
        <w:tc>
          <w:tcPr/>
          <w:p>
            <w:pPr>
              <w:pStyle w:val="Compact"/>
            </w:pPr>
            <w:r>
              <w:t xml:space="preserve">0.914</w:t>
            </w:r>
          </w:p>
        </w:tc>
        <w:tc>
          <w:tcPr/>
          <w:p>
            <w:pPr>
              <w:pStyle w:val="Compact"/>
            </w:pPr>
            <w:r>
              <w:t xml:space="preserve">0.842</w:t>
            </w:r>
          </w:p>
        </w:tc>
        <w:tc>
          <w:tcPr/>
          <w:p>
            <w:pPr>
              <w:pStyle w:val="Compact"/>
            </w:pPr>
            <w:r>
              <w:t xml:space="preserve">0.734</w:t>
            </w:r>
          </w:p>
        </w:tc>
        <w:tc>
          <w:tcPr/>
          <w:p>
            <w:pPr>
              <w:pStyle w:val="Compact"/>
            </w:pPr>
            <w:r>
              <w:t xml:space="preserve">0.824</w:t>
            </w:r>
          </w:p>
        </w:tc>
        <w:tc>
          <w:tcPr/>
          <w:p>
            <w:pPr>
              <w:pStyle w:val="Compact"/>
            </w:pPr>
            <w:r>
              <w:t xml:space="preserve">0.776</w:t>
            </w:r>
          </w:p>
        </w:tc>
      </w:tr>
      <w:tr>
        <w:tc>
          <w:tcPr/>
          <w:p>
            <w:pPr>
              <w:pStyle w:val="Compact"/>
            </w:pPr>
            <w:r>
              <w:t xml:space="preserve">Hypertension</w:t>
            </w:r>
          </w:p>
        </w:tc>
        <w:tc>
          <w:tcPr/>
          <w:p>
            <w:pPr>
              <w:pStyle w:val="Compact"/>
            </w:pPr>
            <w:r>
              <w:t xml:space="preserve">800 / 1600</w:t>
            </w:r>
          </w:p>
        </w:tc>
        <w:tc>
          <w:tcPr/>
          <w:p>
            <w:pPr>
              <w:pStyle w:val="Compact"/>
            </w:pPr>
            <w:r>
              <w:t xml:space="preserve">16</w:t>
            </w:r>
          </w:p>
        </w:tc>
        <w:tc>
          <w:tcPr/>
          <w:p>
            <w:pPr>
              <w:pStyle w:val="Compact"/>
            </w:pPr>
            <w:r>
              <w:t xml:space="preserve">0.899</w:t>
            </w:r>
          </w:p>
        </w:tc>
        <w:tc>
          <w:tcPr/>
          <w:p>
            <w:pPr>
              <w:pStyle w:val="Compact"/>
            </w:pPr>
            <w:r>
              <w:t xml:space="preserve">0.832</w:t>
            </w:r>
          </w:p>
        </w:tc>
        <w:tc>
          <w:tcPr/>
          <w:p>
            <w:pPr>
              <w:pStyle w:val="Compact"/>
            </w:pPr>
            <w:r>
              <w:t xml:space="preserve">0.693</w:t>
            </w:r>
          </w:p>
        </w:tc>
        <w:tc>
          <w:tcPr/>
          <w:p>
            <w:pPr>
              <w:pStyle w:val="Compact"/>
            </w:pPr>
            <w:r>
              <w:t xml:space="preserve">0.892</w:t>
            </w:r>
          </w:p>
        </w:tc>
        <w:tc>
          <w:tcPr/>
          <w:p>
            <w:pPr>
              <w:pStyle w:val="Compact"/>
            </w:pPr>
            <w:r>
              <w:t xml:space="preserve">0.780</w:t>
            </w:r>
          </w:p>
        </w:tc>
      </w:tr>
      <w:tr>
        <w:tc>
          <w:tcPr/>
          <w:p>
            <w:pPr>
              <w:pStyle w:val="Compact"/>
            </w:pPr>
            <w:r>
              <w:t xml:space="preserve">Dyslipidemia</w:t>
            </w:r>
          </w:p>
        </w:tc>
        <w:tc>
          <w:tcPr/>
          <w:p>
            <w:pPr>
              <w:pStyle w:val="Compact"/>
            </w:pPr>
            <w:r>
              <w:t xml:space="preserve">800 / 1600</w:t>
            </w:r>
          </w:p>
        </w:tc>
        <w:tc>
          <w:tcPr/>
          <w:p>
            <w:pPr>
              <w:pStyle w:val="Compact"/>
            </w:pPr>
            <w:r>
              <w:t xml:space="preserve">16</w:t>
            </w:r>
          </w:p>
        </w:tc>
        <w:tc>
          <w:tcPr/>
          <w:p>
            <w:pPr>
              <w:pStyle w:val="Compact"/>
            </w:pPr>
            <w:r>
              <w:t xml:space="preserve">0.895</w:t>
            </w:r>
          </w:p>
        </w:tc>
        <w:tc>
          <w:tcPr/>
          <w:p>
            <w:pPr>
              <w:pStyle w:val="Compact"/>
            </w:pPr>
            <w:r>
              <w:t xml:space="preserve">0.824</w:t>
            </w:r>
          </w:p>
        </w:tc>
        <w:tc>
          <w:tcPr/>
          <w:p>
            <w:pPr>
              <w:pStyle w:val="Compact"/>
            </w:pPr>
            <w:r>
              <w:t xml:space="preserve">0.686</w:t>
            </w:r>
          </w:p>
        </w:tc>
        <w:tc>
          <w:tcPr/>
          <w:p>
            <w:pPr>
              <w:pStyle w:val="Compact"/>
            </w:pPr>
            <w:r>
              <w:t xml:space="preserve">0.869</w:t>
            </w:r>
          </w:p>
        </w:tc>
        <w:tc>
          <w:tcPr/>
          <w:p>
            <w:pPr>
              <w:pStyle w:val="Compact"/>
            </w:pPr>
            <w:r>
              <w:t xml:space="preserve">0.767</w:t>
            </w:r>
          </w:p>
        </w:tc>
      </w:tr>
      <w:tr>
        <w:tc>
          <w:tcPr/>
          <w:p>
            <w:pPr>
              <w:pStyle w:val="Compact"/>
            </w:pPr>
            <w:r>
              <w:t xml:space="preserve">Type 2 diabetes</w:t>
            </w:r>
          </w:p>
        </w:tc>
        <w:tc>
          <w:tcPr/>
          <w:p>
            <w:pPr>
              <w:pStyle w:val="Compact"/>
            </w:pPr>
            <w:r>
              <w:t xml:space="preserve">800 / 1600</w:t>
            </w:r>
          </w:p>
        </w:tc>
        <w:tc>
          <w:tcPr/>
          <w:p>
            <w:pPr>
              <w:pStyle w:val="Compact"/>
            </w:pPr>
            <w:r>
              <w:t xml:space="preserve">16</w:t>
            </w:r>
          </w:p>
        </w:tc>
        <w:tc>
          <w:tcPr/>
          <w:p>
            <w:pPr>
              <w:pStyle w:val="Compact"/>
            </w:pPr>
            <w:r>
              <w:t xml:space="preserve">0.931</w:t>
            </w:r>
          </w:p>
        </w:tc>
        <w:tc>
          <w:tcPr/>
          <w:p>
            <w:pPr>
              <w:pStyle w:val="Compact"/>
            </w:pPr>
            <w:r>
              <w:t xml:space="preserve">0.875</w:t>
            </w:r>
          </w:p>
        </w:tc>
        <w:tc>
          <w:tcPr/>
          <w:p>
            <w:pPr>
              <w:pStyle w:val="Compact"/>
            </w:pPr>
            <w:r>
              <w:t xml:space="preserve">0.809</w:t>
            </w:r>
          </w:p>
        </w:tc>
        <w:tc>
          <w:tcPr/>
          <w:p>
            <w:pPr>
              <w:pStyle w:val="Compact"/>
            </w:pPr>
            <w:r>
              <w:t xml:space="preserve">0.815</w:t>
            </w:r>
          </w:p>
        </w:tc>
        <w:tc>
          <w:tcPr/>
          <w:p>
            <w:pPr>
              <w:pStyle w:val="Compact"/>
            </w:pPr>
            <w:r>
              <w:t xml:space="preserve">0.812</w:t>
            </w:r>
          </w:p>
        </w:tc>
      </w:tr>
      <w:tr>
        <w:tc>
          <w:tcPr/>
          <w:p>
            <w:pPr>
              <w:pStyle w:val="Compact"/>
            </w:pPr>
            <w:r>
              <w:t xml:space="preserve">Prediabetes</w:t>
            </w:r>
          </w:p>
        </w:tc>
        <w:tc>
          <w:tcPr/>
          <w:p>
            <w:pPr>
              <w:pStyle w:val="Compact"/>
            </w:pPr>
            <w:r>
              <w:t xml:space="preserve">800 / 1600</w:t>
            </w:r>
          </w:p>
        </w:tc>
        <w:tc>
          <w:tcPr/>
          <w:p>
            <w:pPr>
              <w:pStyle w:val="Compact"/>
            </w:pPr>
            <w:r>
              <w:t xml:space="preserve">16</w:t>
            </w:r>
          </w:p>
        </w:tc>
        <w:tc>
          <w:tcPr/>
          <w:p>
            <w:pPr>
              <w:pStyle w:val="Compact"/>
            </w:pPr>
            <w:r>
              <w:t xml:space="preserve">0.797</w:t>
            </w:r>
          </w:p>
        </w:tc>
        <w:tc>
          <w:tcPr/>
          <w:p>
            <w:pPr>
              <w:pStyle w:val="Compact"/>
            </w:pPr>
            <w:r>
              <w:t xml:space="preserve">0.760</w:t>
            </w:r>
          </w:p>
        </w:tc>
        <w:tc>
          <w:tcPr/>
          <w:p>
            <w:pPr>
              <w:pStyle w:val="Compact"/>
            </w:pPr>
            <w:r>
              <w:t xml:space="preserve">0.629</w:t>
            </w:r>
          </w:p>
        </w:tc>
        <w:tc>
          <w:tcPr/>
          <w:p>
            <w:pPr>
              <w:pStyle w:val="Compact"/>
            </w:pPr>
            <w:r>
              <w:t xml:space="preserve">0.666</w:t>
            </w:r>
          </w:p>
        </w:tc>
        <w:tc>
          <w:tcPr/>
          <w:p>
            <w:pPr>
              <w:pStyle w:val="Compact"/>
            </w:pPr>
            <w:r>
              <w:t xml:space="preserve">0.647</w:t>
            </w:r>
          </w:p>
        </w:tc>
      </w:tr>
      <w:tr>
        <w:tc>
          <w:tcPr/>
          <w:p>
            <w:pPr>
              <w:pStyle w:val="Compact"/>
            </w:pPr>
            <w:r>
              <w:t xml:space="preserve">Chronic kidney disease</w:t>
            </w:r>
          </w:p>
        </w:tc>
        <w:tc>
          <w:tcPr/>
          <w:p>
            <w:pPr>
              <w:pStyle w:val="Compact"/>
            </w:pPr>
            <w:r>
              <w:t xml:space="preserve">800 / 1600</w:t>
            </w:r>
          </w:p>
        </w:tc>
        <w:tc>
          <w:tcPr/>
          <w:p>
            <w:pPr>
              <w:pStyle w:val="Compact"/>
            </w:pPr>
            <w:r>
              <w:t xml:space="preserve">16</w:t>
            </w:r>
          </w:p>
        </w:tc>
        <w:tc>
          <w:tcPr/>
          <w:p>
            <w:pPr>
              <w:pStyle w:val="Compact"/>
            </w:pPr>
            <w:r>
              <w:t xml:space="preserve">0.946</w:t>
            </w:r>
          </w:p>
        </w:tc>
        <w:tc>
          <w:tcPr/>
          <w:p>
            <w:pPr>
              <w:pStyle w:val="Compact"/>
            </w:pPr>
            <w:r>
              <w:t xml:space="preserve">0.896</w:t>
            </w:r>
          </w:p>
        </w:tc>
        <w:tc>
          <w:tcPr/>
          <w:p>
            <w:pPr>
              <w:pStyle w:val="Compact"/>
            </w:pPr>
            <w:r>
              <w:t xml:space="preserve">0.841</w:t>
            </w:r>
          </w:p>
        </w:tc>
        <w:tc>
          <w:tcPr/>
          <w:p>
            <w:pPr>
              <w:pStyle w:val="Compact"/>
            </w:pPr>
            <w:r>
              <w:t xml:space="preserve">0.849</w:t>
            </w:r>
          </w:p>
        </w:tc>
        <w:tc>
          <w:tcPr/>
          <w:p>
            <w:pPr>
              <w:pStyle w:val="Compact"/>
            </w:pPr>
            <w:r>
              <w:t xml:space="preserve">0.845</w:t>
            </w:r>
          </w:p>
        </w:tc>
      </w:tr>
      <w:tr>
        <w:tc>
          <w:tcPr/>
          <w:p>
            <w:pPr>
              <w:pStyle w:val="Compact"/>
            </w:pPr>
            <w:r>
              <w:t xml:space="preserve">Obstructive sleep apnea</w:t>
            </w:r>
          </w:p>
        </w:tc>
        <w:tc>
          <w:tcPr/>
          <w:p>
            <w:pPr>
              <w:pStyle w:val="Compact"/>
            </w:pPr>
            <w:r>
              <w:t xml:space="preserve">800 / 1600</w:t>
            </w:r>
          </w:p>
        </w:tc>
        <w:tc>
          <w:tcPr/>
          <w:p>
            <w:pPr>
              <w:pStyle w:val="Compact"/>
            </w:pPr>
            <w:r>
              <w:t xml:space="preserve">16</w:t>
            </w:r>
          </w:p>
        </w:tc>
        <w:tc>
          <w:tcPr/>
          <w:p>
            <w:pPr>
              <w:pStyle w:val="Compact"/>
            </w:pPr>
            <w:r>
              <w:t xml:space="preserve">0.767</w:t>
            </w:r>
          </w:p>
        </w:tc>
        <w:tc>
          <w:tcPr/>
          <w:p>
            <w:pPr>
              <w:pStyle w:val="Compact"/>
            </w:pPr>
            <w:r>
              <w:t xml:space="preserve">0.656</w:t>
            </w:r>
          </w:p>
        </w:tc>
        <w:tc>
          <w:tcPr/>
          <w:p>
            <w:pPr>
              <w:pStyle w:val="Compact"/>
            </w:pPr>
            <w:r>
              <w:t xml:space="preserve">0.490</w:t>
            </w:r>
          </w:p>
        </w:tc>
        <w:tc>
          <w:tcPr/>
          <w:p>
            <w:pPr>
              <w:pStyle w:val="Compact"/>
            </w:pPr>
            <w:r>
              <w:t xml:space="preserve">0.809</w:t>
            </w:r>
          </w:p>
        </w:tc>
        <w:tc>
          <w:tcPr/>
          <w:p>
            <w:pPr>
              <w:pStyle w:val="Compact"/>
            </w:pPr>
            <w:r>
              <w:t xml:space="preserve">0.610</w:t>
            </w:r>
          </w:p>
        </w:tc>
      </w:tr>
      <w:tr>
        <w:tc>
          <w:tcPr/>
          <w:p>
            <w:pPr>
              <w:pStyle w:val="Compact"/>
            </w:pPr>
            <w:r>
              <w:t xml:space="preserve">Asthma</w:t>
            </w:r>
          </w:p>
        </w:tc>
        <w:tc>
          <w:tcPr/>
          <w:p>
            <w:pPr>
              <w:pStyle w:val="Compact"/>
            </w:pPr>
            <w:r>
              <w:t xml:space="preserve">800 / 1600</w:t>
            </w:r>
          </w:p>
        </w:tc>
        <w:tc>
          <w:tcPr/>
          <w:p>
            <w:pPr>
              <w:pStyle w:val="Compact"/>
            </w:pPr>
            <w:r>
              <w:t xml:space="preserve">16</w:t>
            </w:r>
          </w:p>
        </w:tc>
        <w:tc>
          <w:tcPr/>
          <w:p>
            <w:pPr>
              <w:pStyle w:val="Compact"/>
            </w:pPr>
            <w:r>
              <w:t xml:space="preserve">0.658</w:t>
            </w:r>
          </w:p>
        </w:tc>
        <w:tc>
          <w:tcPr/>
          <w:p>
            <w:pPr>
              <w:pStyle w:val="Compact"/>
            </w:pPr>
            <w:r>
              <w:t xml:space="preserve">0.558</w:t>
            </w:r>
          </w:p>
        </w:tc>
        <w:tc>
          <w:tcPr/>
          <w:p>
            <w:pPr>
              <w:pStyle w:val="Compact"/>
            </w:pPr>
            <w:r>
              <w:t xml:space="preserve">0.413</w:t>
            </w:r>
          </w:p>
        </w:tc>
        <w:tc>
          <w:tcPr/>
          <w:p>
            <w:pPr>
              <w:pStyle w:val="Compact"/>
            </w:pPr>
            <w:r>
              <w:t xml:space="preserve">0.776</w:t>
            </w:r>
          </w:p>
        </w:tc>
        <w:tc>
          <w:tcPr/>
          <w:p>
            <w:pPr>
              <w:pStyle w:val="Compact"/>
            </w:pPr>
            <w:r>
              <w:t xml:space="preserve">0.539</w:t>
            </w:r>
          </w:p>
        </w:tc>
      </w:tr>
      <w:tr>
        <w:tc>
          <w:tcPr/>
          <w:p>
            <w:pPr>
              <w:pStyle w:val="Compact"/>
            </w:pPr>
            <w:r>
              <w:rPr>
                <w:b/>
                <w:bCs/>
              </w:rPr>
              <w:t xml:space="preserve">Mean (11 phenotypes)</w:t>
            </w:r>
          </w:p>
        </w:tc>
        <w:tc>
          <w:tcPr/>
          <w:p>
            <w:pPr>
              <w:pStyle w:val="Compact"/>
            </w:pPr>
            <w:r>
              <w:t xml:space="preserve">—</w:t>
            </w:r>
          </w:p>
        </w:tc>
        <w:tc>
          <w:tcPr/>
          <w:p>
            <w:pPr>
              <w:pStyle w:val="Compact"/>
            </w:pPr>
            <w:r>
              <w:t xml:space="preserve">—</w:t>
            </w:r>
          </w:p>
        </w:tc>
        <w:tc>
          <w:tcPr/>
          <w:p>
            <w:pPr>
              <w:pStyle w:val="Compact"/>
            </w:pPr>
            <w:r>
              <w:rPr>
                <w:b/>
                <w:bCs/>
              </w:rPr>
              <w:t xml:space="preserve">0.864</w:t>
            </w:r>
          </w:p>
        </w:tc>
        <w:tc>
          <w:tcPr/>
          <w:p>
            <w:pPr>
              <w:pStyle w:val="Compact"/>
            </w:pPr>
            <w:r>
              <w:t xml:space="preserve">0.791</w:t>
            </w:r>
          </w:p>
        </w:tc>
        <w:tc>
          <w:tcPr/>
          <w:p>
            <w:pPr>
              <w:pStyle w:val="Compact"/>
            </w:pPr>
            <w:r>
              <w:t xml:space="preserve">0.669</w:t>
            </w:r>
          </w:p>
        </w:tc>
        <w:tc>
          <w:tcPr/>
          <w:p>
            <w:pPr>
              <w:pStyle w:val="Compact"/>
            </w:pPr>
            <w:r>
              <w:t xml:space="preserve">0.817</w:t>
            </w:r>
          </w:p>
        </w:tc>
        <w:tc>
          <w:tcPr/>
          <w:p>
            <w:pPr>
              <w:pStyle w:val="Compact"/>
            </w:pPr>
            <w:r>
              <w:t xml:space="preserve">0.730</w:t>
            </w:r>
          </w:p>
        </w:tc>
      </w:tr>
    </w:tbl>
    <w:p>
      <w:pPr>
        <w:pStyle w:val="BodyText"/>
      </w:pPr>
      <w:r>
        <w:t xml:space="preserve">Discrimination spanned ROC AUC 0.66–0.95 (mean 0.86) and tracked how well the shared, cardiometabolic-oriented feature set fit each condition. It was highest for conditions whose diagnostic laboratory values sit in the feature set — chronic kidney disease (0.95; serum creatinine) and type 2 diabetes (0.93; glucose and HbA1c) — clustered near 0.89–0.91 across the cardiovascular and cardiometabolic conditions (stroke, ischemic heart disease, ASCVD, heart failure, hypertension, dyslipidemia), and was lowest for the respiratory conditions the cardiovascular features describe poorly (obstructive sleep apnea 0.77, asthma 0.66). From the 31–32 features loaded per phenotype the engine retained 16 in nearly every model, dropping the sparsely measured laboratory values (HbA1c, LDL/HDL, triglycerides) for high missingness and keeping the universally available ones — age, sex, common comorbidities, routine labs, vitals, and medication classes. Retained features matched clinical expectation: hypertension, age, and antithrombotic use for stroke; creatinine for chronic kidney disease; glucose and HbA1c for the diabetes phenotypes.</w:t>
      </w:r>
    </w:p>
    <w:bookmarkStart w:id="17" w:name="a-leakage-check-the-tool-surfaced"/>
    <w:p>
      <w:pPr>
        <w:pStyle w:val="Heading3"/>
      </w:pPr>
      <w:r>
        <w:t xml:space="preserve">3.1 A leakage check the tool surfaced</w:t>
      </w:r>
    </w:p>
    <w:p>
      <w:pPr>
        <w:pStyle w:val="FirstParagraph"/>
      </w:pPr>
      <w:r>
        <w:t xml:space="preserve">On their first build, several phenotypes returned</w:t>
      </w:r>
      <w:r>
        <w:t xml:space="preserve"> </w:t>
      </w:r>
      <w:r>
        <w:rPr>
          <w:b/>
          <w:bCs/>
        </w:rPr>
        <w:t xml:space="preserve">ROC AUC 1.0</w:t>
      </w:r>
      <w:r>
        <w:t xml:space="preserve"> </w:t>
      </w:r>
      <w:r>
        <w:t xml:space="preserve">— perfect separation. The cause was the same in each: the model had selected the comorbidity flag matching its own outcome (</w:t>
      </w:r>
      <w:r>
        <w:rPr>
          <w:rStyle w:val="VerbatimChar"/>
        </w:rPr>
        <w:t xml:space="preserve">cm_chf</w:t>
      </w:r>
      <w:r>
        <w:t xml:space="preserve"> </w:t>
      </w:r>
      <w:r>
        <w:t xml:space="preserve">for heart failure,</w:t>
      </w:r>
      <w:r>
        <w:t xml:space="preserve"> </w:t>
      </w:r>
      <w:r>
        <w:rPr>
          <w:rStyle w:val="VerbatimChar"/>
        </w:rPr>
        <w:t xml:space="preserve">cm_ihd</w:t>
      </w:r>
      <w:r>
        <w:t xml:space="preserve"> </w:t>
      </w:r>
      <w:r>
        <w:t xml:space="preserve">for ischemic heart disease,</w:t>
      </w:r>
      <w:r>
        <w:t xml:space="preserve"> </w:t>
      </w:r>
      <w:r>
        <w:rPr>
          <w:rStyle w:val="VerbatimChar"/>
        </w:rPr>
        <w:t xml:space="preserve">cm_htn</w:t>
      </w:r>
      <w:r>
        <w:t xml:space="preserve"> </w:t>
      </w:r>
      <w:r>
        <w:t xml:space="preserve">for hypertension,</w:t>
      </w:r>
      <w:r>
        <w:t xml:space="preserve"> </w:t>
      </w:r>
      <w:r>
        <w:rPr>
          <w:rStyle w:val="VerbatimChar"/>
        </w:rPr>
        <w:t xml:space="preserve">cm_hld</w:t>
      </w:r>
      <w:r>
        <w:t xml:space="preserve"> </w:t>
      </w:r>
      <w:r>
        <w:t xml:space="preserve">for dyslipidemia,</w:t>
      </w:r>
      <w:r>
        <w:t xml:space="preserve"> </w:t>
      </w:r>
      <w:r>
        <w:rPr>
          <w:rStyle w:val="VerbatimChar"/>
        </w:rPr>
        <w:t xml:space="preserve">cm_ckd</w:t>
      </w:r>
      <w:r>
        <w:t xml:space="preserve"> </w:t>
      </w:r>
      <w:r>
        <w:t xml:space="preserve">for chronic kidney disease,</w:t>
      </w:r>
      <w:r>
        <w:t xml:space="preserve"> </w:t>
      </w:r>
      <w:r>
        <w:rPr>
          <w:rStyle w:val="VerbatimChar"/>
        </w:rPr>
        <w:t xml:space="preserve">cm_dm</w:t>
      </w:r>
      <w:r>
        <w:t xml:space="preserve"> </w:t>
      </w:r>
      <w:r>
        <w:t xml:space="preserve">for type 2 diabetes, and the ischemic-heart-disease, peripheral-vascular, and carotid flags for ASCVD). These comorbidity features are computed from the</w:t>
      </w:r>
      <w:r>
        <w:t xml:space="preserve"> </w:t>
      </w:r>
      <w:r>
        <w:rPr>
          <w:i/>
          <w:iCs/>
        </w:rPr>
        <w:t xml:space="preserve">same</w:t>
      </w:r>
      <w:r>
        <w:t xml:space="preserve"> </w:t>
      </w:r>
      <w:r>
        <w:t xml:space="preserve">ICD codes that define the label, so the feature is the outcome. In the heart-failure cohort, for example, the heart-failure comorbidity flag was present in 0 of 1,600 controls and ~93% of cases — a near-perfect proxy for the label.</w:t>
      </w:r>
    </w:p>
    <w:p>
      <w:pPr>
        <w:pStyle w:val="BodyText"/>
      </w:pPr>
      <w:r>
        <w:t xml:space="preserve">We excluded each self-referential comorbidity from its own phenotype (one configuration line per phenotype) and rebuilt; discrimination fell to the values in Table 2. Stroke, obstructive sleep apnea, prediabetes, and asthma never had this problem because the feature set contains no comorbidity flag for those outcomes. Diagnostic</w:t>
      </w:r>
      <w:r>
        <w:t xml:space="preserve"> </w:t>
      </w:r>
      <w:r>
        <w:rPr>
          <w:i/>
          <w:iCs/>
        </w:rPr>
        <w:t xml:space="preserve">laboratory</w:t>
      </w:r>
      <w:r>
        <w:t xml:space="preserve"> </w:t>
      </w:r>
      <w:r>
        <w:t xml:space="preserve">values that are not ICD-derived — creatinine for kidney disease, HbA1c and glucose for the diabetes phenotypes, lipids for dyslipidemia — were deliberately kept: they are the clinical basis for the diagnosis and are expected to be predictive, and unlike the ICD-derived comorbidity flags they do not perfectly reproduce the label (hence high but sub-perfect AUCs of 0.93–0.95, not 1.0). We report this because it is informative about the tool in use: the engine faithfully built whatever cohort it was given, and the implausibly perfect score was itself the signal that surfaced a feature-design error — a red flag a non-ML researcher would also catch.</w:t>
      </w:r>
    </w:p>
    <w:p>
      <w:pPr>
        <w:pStyle w:val="BodyText"/>
      </w:pPr>
      <w:r>
        <w:t xml:space="preserve">To keep cohorts from contaminating one another through the shared fact table, each phenotype was loaded, built, and then cleared before the next, so every model was trained on its own cohort only.</w:t>
      </w:r>
    </w:p>
    <w:bookmarkEnd w:id="17"/>
    <w:bookmarkEnd w:id="18"/>
    <w:bookmarkStart w:id="19" w:name="discussion"/>
    <w:p>
      <w:pPr>
        <w:pStyle w:val="Heading2"/>
      </w:pPr>
      <w:r>
        <w:t xml:space="preserve">4. Discussion</w:t>
      </w:r>
    </w:p>
    <w:p>
      <w:pPr>
        <w:pStyle w:val="FirstParagraph"/>
      </w:pPr>
      <w:r>
        <w:t xml:space="preserve">The result that matters for this paper is procedural, not predictive: eleven phenotype models were produced on an external dataset entirely through the i2b2-ML JSON API, with no analyst-written training code. After the cohort SQL was in place, each model was a configuration entry (label codes, concept paths) and a single command; the engine handled feature assembly, resampling, model selection, training, and storage of the result back into the i2b2 data model. This is the workflow the tool is meant to support, and it held across eleven conditions in four disease areas without code changes — which is what</w:t>
      </w:r>
      <w:r>
        <w:t xml:space="preserve"> </w:t>
      </w:r>
      <w:r>
        <w:t xml:space="preserve">“a non-ML researcher can build phenotype models with this tool”</w:t>
      </w:r>
      <w:r>
        <w:t xml:space="preserve"> </w:t>
      </w:r>
      <w:r>
        <w:t xml:space="preserve">requires in practice.</w:t>
      </w:r>
    </w:p>
    <w:p>
      <w:pPr>
        <w:pStyle w:val="BodyText"/>
      </w:pPr>
      <w:r>
        <w:t xml:space="preserve">The models’ discrimination (ROC AUC 0.66–0.95) tracked the fit between the shared feature set and each condition rather than any property of the tool: cardiometabolic phenotypes whose diagnostic labs were available scored highest, and respiratory phenotypes the cardiovascular features barely describe scored lowest. That is the expected behavior of a fixed feature set applied across heterogeneous outcomes, and it is exactly what a user would tailor by editing the feature configuration — itself a config edit in the same pipeline. A standalone logistic-regression baseline on a comparable cohort reaches similar performance; that comparison is reassuring but beside the point, since a standalone script demonstrates that a model can be built, not that the tool builds it. The contribution here is the second claim.</w:t>
      </w:r>
    </w:p>
    <w:p>
      <w:pPr>
        <w:pStyle w:val="BodyText"/>
      </w:pPr>
      <w:r>
        <w:t xml:space="preserve">The leakage episode is worth drawing out. The tool did exactly what it was told — it built a model from the cohort it was given — and the resulting perfect score was the artifact that exposed a feature-design mistake. In a workflow where the analyst writes the training code, the same mistake is just as easy to make and no more visible; here it surfaced as an obviously implausible metric returned by the tool. This cuts against a common worry about</w:t>
      </w:r>
      <w:r>
        <w:t xml:space="preserve"> </w:t>
      </w:r>
      <w:r>
        <w:t xml:space="preserve">“push-button”</w:t>
      </w:r>
      <w:r>
        <w:t xml:space="preserve"> </w:t>
      </w:r>
      <w:r>
        <w:t xml:space="preserve">model builders, that they hide problems from non-expert users: in this case the tool’s output made the problem conspicuous.</w:t>
      </w:r>
    </w:p>
    <w:p>
      <w:pPr>
        <w:pStyle w:val="BodyText"/>
      </w:pPr>
      <w:r>
        <w:t xml:space="preserve">Two of the engine’s defaults shaped the results and are worth naming. First, feature selection by missingness dropped the sparse laboratory values, so the retained models lean on routinely measured features; a user wanting to keep sparse labs would need to impute upstream. Second, the 50/50 train/test split and SMOTE resampling are the engine’s defaults, appropriate for a tool validation but not tuned per phenotype. None of these were changed, by design — the goal was to characterize the tool as it ships.</w:t>
      </w:r>
    </w:p>
    <w:bookmarkEnd w:id="19"/>
    <w:bookmarkStart w:id="20" w:name="limitations"/>
    <w:p>
      <w:pPr>
        <w:pStyle w:val="Heading2"/>
      </w:pPr>
      <w:r>
        <w:t xml:space="preserve">5. Limitations</w:t>
      </w:r>
    </w:p>
    <w:p>
      <w:pPr>
        <w:pStyle w:val="Compact"/>
        <w:numPr>
          <w:ilvl w:val="0"/>
          <w:numId w:val="1003"/>
        </w:numPr>
      </w:pPr>
      <w:r>
        <w:rPr>
          <w:b/>
          <w:bCs/>
        </w:rPr>
        <w:t xml:space="preserve">Silver-standard labels.</w:t>
      </w:r>
      <w:r>
        <w:t xml:space="preserve"> </w:t>
      </w:r>
      <w:r>
        <w:t xml:space="preserve">Cases are defined by ICD codes, not chart review. This is standard for high-throughput phenotyping and, for heart failure, is supported by validation against chart review (Roger et al., 2014), but code-based labels carry known misclassification.</w:t>
      </w:r>
    </w:p>
    <w:p>
      <w:pPr>
        <w:pStyle w:val="Compact"/>
        <w:numPr>
          <w:ilvl w:val="0"/>
          <w:numId w:val="1003"/>
        </w:numPr>
      </w:pPr>
      <w:r>
        <w:rPr>
          <w:b/>
          <w:bCs/>
        </w:rPr>
        <w:t xml:space="preserve">Outcome-concurrent features (leakage).</w:t>
      </w:r>
      <w:r>
        <w:t xml:space="preserve"> </w:t>
      </w:r>
      <w:r>
        <w:t xml:space="preserve">Because comorbidities, labs, and medications are drawn from the index admission, they can encode information concurrent with an acute event rather than strictly preceding it. This is acceptable for a tool-validation demonstration — the point is that the tool builds a model, not that the model is deployable for prospective risk prediction — but it inflates discrimination relative to a true prediction setting. A temporal variant that restricts features to a window strictly before the event is the natural next step and is straightforward in the same pipeline (narrow the engine’s data-period window).</w:t>
      </w:r>
    </w:p>
    <w:p>
      <w:pPr>
        <w:pStyle w:val="Compact"/>
        <w:numPr>
          <w:ilvl w:val="0"/>
          <w:numId w:val="1003"/>
        </w:numPr>
      </w:pPr>
      <w:r>
        <w:rPr>
          <w:b/>
          <w:bCs/>
        </w:rPr>
        <w:t xml:space="preserve">Cross-sectional snapshot.</w:t>
      </w:r>
      <w:r>
        <w:t xml:space="preserve"> </w:t>
      </w:r>
      <w:r>
        <w:t xml:space="preserve">All feature facts and the label are dated at the index-admission date (</w:t>
      </w:r>
      <w:r>
        <w:rPr>
          <w:rStyle w:val="VerbatimChar"/>
        </w:rPr>
        <w:t xml:space="preserve">time_buffer = 0</w:t>
      </w:r>
      <w:r>
        <w:t xml:space="preserve">), collapsing real per-fact timestamps. This keeps every feature available to the engine but removes temporality.</w:t>
      </w:r>
    </w:p>
    <w:p>
      <w:pPr>
        <w:pStyle w:val="Compact"/>
        <w:numPr>
          <w:ilvl w:val="0"/>
          <w:numId w:val="1003"/>
        </w:numPr>
      </w:pPr>
      <w:r>
        <w:rPr>
          <w:b/>
          <w:bCs/>
        </w:rPr>
        <w:t xml:space="preserve">Single dataset and cohort size.</w:t>
      </w:r>
      <w:r>
        <w:t xml:space="preserve"> </w:t>
      </w:r>
      <w:r>
        <w:t xml:space="preserve">Results are from MIMIC-IV only, with 800 cases per phenotype; external validity and calibration are not assessed here.</w:t>
      </w:r>
    </w:p>
    <w:p>
      <w:pPr>
        <w:pStyle w:val="Compact"/>
        <w:numPr>
          <w:ilvl w:val="0"/>
          <w:numId w:val="1003"/>
        </w:numPr>
      </w:pPr>
      <w:r>
        <w:rPr>
          <w:b/>
          <w:bCs/>
        </w:rPr>
        <w:t xml:space="preserve">One shared feature set.</w:t>
      </w:r>
      <w:r>
        <w:t xml:space="preserve"> </w:t>
      </w:r>
      <w:r>
        <w:t xml:space="preserve">All eleven phenotypes used the same cardiometabolic feature set, which fits the cardiovascular and metabolic conditions well but describes the respiratory ones (asthma, obstructive sleep apnea) poorly — their lower discrimination reflects feature relevance, not a tool limitation. Tailoring features per phenotype is a configuration change but was not done here, to keep the validation a single uniform procedure.</w:t>
      </w:r>
    </w:p>
    <w:p>
      <w:pPr>
        <w:pStyle w:val="Compact"/>
        <w:numPr>
          <w:ilvl w:val="0"/>
          <w:numId w:val="1003"/>
        </w:numPr>
      </w:pPr>
      <w:r>
        <w:rPr>
          <w:b/>
          <w:bCs/>
        </w:rPr>
        <w:t xml:space="preserve">Defaults not tuned.</w:t>
      </w:r>
      <w:r>
        <w:t xml:space="preserve"> </w:t>
      </w:r>
      <w:r>
        <w:t xml:space="preserve">We used the engine’s default model family (elastic-net logistic regression), resampling (SMOTE), and split (50/50). These are the tool’s defaults, which is appropriate for a validation of the tool but not optimized per phenotype.</w:t>
      </w:r>
    </w:p>
    <w:bookmarkEnd w:id="20"/>
    <w:bookmarkStart w:id="21" w:name="conclusion"/>
    <w:p>
      <w:pPr>
        <w:pStyle w:val="Heading2"/>
      </w:pPr>
      <w:r>
        <w:t xml:space="preserve">6. Conclusion</w:t>
      </w:r>
    </w:p>
    <w:p>
      <w:pPr>
        <w:pStyle w:val="FirstParagraph"/>
      </w:pPr>
      <w:r>
        <w:t xml:space="preserve">Driven entirely through its JSON API, the i2b2-ML tool built logistic-regression phenotype models for eleven conditions — across cardiovascular, cardiometabolic, renal, and respiratory disease — on MIMIC-IV, a dataset it was not developed against, by configuration alone, with held-out ROC AUCs of 0.66–0.95 (mean 0.86). The same procedure, a single script driven from one configuration file, produced every model and extends to further phenotypes by adding a configuration entry, which is the property a tool-validation claim needs. Natural next steps are phenotype-tailored feature sets; a temporal, leakage-aware feature window for any clinical-prediction use; and the extension that lets the engine derive features from clinical notes with a large language model, feeding model building from unstructured data through the same interface.</w:t>
      </w:r>
    </w:p>
    <w:bookmarkEnd w:id="21"/>
    <w:bookmarkStart w:id="22" w:name="references"/>
    <w:p>
      <w:pPr>
        <w:pStyle w:val="Heading2"/>
      </w:pPr>
      <w:r>
        <w:t xml:space="preserve">References</w:t>
      </w:r>
    </w:p>
    <w:p>
      <w:pPr>
        <w:pStyle w:val="Compact"/>
        <w:numPr>
          <w:ilvl w:val="0"/>
          <w:numId w:val="1004"/>
        </w:numPr>
      </w:pPr>
      <w:r>
        <w:t xml:space="preserve">Roger VL, et al. </w:t>
      </w:r>
      <w:r>
        <w:rPr>
          <w:i/>
          <w:iCs/>
        </w:rPr>
        <w:t xml:space="preserve">Trends in heart failure incidence and survival.</w:t>
      </w:r>
      <w:r>
        <w:t xml:space="preserve"> </w:t>
      </w:r>
      <w:r>
        <w:t xml:space="preserve">(validation of ICD-based HF ascertainment vs chart review; PMC4134216), 2014.</w:t>
      </w:r>
    </w:p>
    <w:p>
      <w:pPr>
        <w:pStyle w:val="Compact"/>
        <w:numPr>
          <w:ilvl w:val="0"/>
          <w:numId w:val="1004"/>
        </w:numPr>
      </w:pPr>
      <w:r>
        <w:t xml:space="preserve">Johnson AEW, et al. </w:t>
      </w:r>
      <w:r>
        <w:rPr>
          <w:i/>
          <w:iCs/>
        </w:rPr>
        <w:t xml:space="preserve">MIMIC-IV</w:t>
      </w:r>
      <w:r>
        <w:t xml:space="preserve"> </w:t>
      </w:r>
      <w:r>
        <w:t xml:space="preserve">(v3.1), PhysioNet.</w:t>
      </w:r>
    </w:p>
    <w:p>
      <w:pPr>
        <w:pStyle w:val="Compact"/>
        <w:numPr>
          <w:ilvl w:val="0"/>
          <w:numId w:val="1004"/>
        </w:numPr>
      </w:pPr>
      <w:r>
        <w:t xml:space="preserve">[i2b2-ML / i2b2-etl tool reference — Klann et al.; JAMIA Open — TBD]</w:t>
      </w:r>
    </w:p>
    <w:p>
      <w:r>
        <w:pict>
          <v:rect style="width:0;height:1.5pt" o:hralign="center" o:hrstd="t" o:hr="t"/>
        </w:pict>
      </w:r>
    </w:p>
    <w:p>
      <w:pPr>
        <w:pStyle w:val="FirstParagraph"/>
      </w:pPr>
      <w:r>
        <w:rPr>
          <w:i/>
          <w:iCs/>
        </w:rPr>
        <w:t xml:space="preserve">Reproducibility: cohort SQL in</w:t>
      </w:r>
      <w:r>
        <w:rPr>
          <w:i/>
          <w:iCs/>
        </w:rPr>
        <w:t xml:space="preserve"> </w:t>
      </w:r>
      <w:r>
        <w:rPr>
          <w:rStyle w:val="VerbatimChar"/>
          <w:i/>
          <w:iCs/>
        </w:rPr>
        <w:t xml:space="preserve">sql/cohort_&lt;phenotype&gt;.sql</w:t>
      </w:r>
      <w:r>
        <w:rPr>
          <w:i/>
          <w:iCs/>
        </w:rPr>
        <w:t xml:space="preserve">; pipeline and runbook in</w:t>
      </w:r>
      <w:r>
        <w:rPr>
          <w:i/>
          <w:iCs/>
        </w:rPr>
        <w:t xml:space="preserve"> </w:t>
      </w:r>
      <w:r>
        <w:rPr>
          <w:rStyle w:val="VerbatimChar"/>
          <w:i/>
          <w:iCs/>
        </w:rPr>
        <w:t xml:space="preserve">pipeline/</w:t>
      </w:r>
      <w:r>
        <w:rPr>
          <w:i/>
          <w:iCs/>
        </w:rPr>
        <w:t xml:space="preserve">; per-phenotype build receipts in</w:t>
      </w:r>
      <w:r>
        <w:rPr>
          <w:i/>
          <w:iCs/>
        </w:rPr>
        <w:t xml:space="preserve"> </w:t>
      </w:r>
      <w:r>
        <w:rPr>
          <w:rStyle w:val="VerbatimChar"/>
          <w:i/>
          <w:iCs/>
        </w:rPr>
        <w:t xml:space="preserve">paper/results/</w:t>
      </w:r>
      <w:r>
        <w:rPr>
          <w:i/>
          <w:iCs/>
        </w:rPr>
        <w:t xml:space="preserve">. Every model in this paper was built through the i2b2-ML JSON API (</w:t>
      </w:r>
      <w:r>
        <w:rPr>
          <w:rStyle w:val="VerbatimChar"/>
          <w:i/>
          <w:iCs/>
        </w:rPr>
        <w:t xml:space="preserve">jobType:ml</w:t>
      </w:r>
      <w:r>
        <w:rPr>
          <w:i/>
          <w:iCs/>
        </w:rPr>
        <w:t xml:space="preserve">), not a standalone script.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2026-06-20T19:45:28Z</dcterms:created>
  <dcterms:modified xsi:type="dcterms:W3CDTF">2026-06-20T19:45:28Z</dcterms:modified>
</cp:coreProperties>
</file>

<file path=docProps/custom.xml><?xml version="1.0" encoding="utf-8"?>
<Properties xmlns="http://schemas.openxmlformats.org/officeDocument/2006/custom-properties" xmlns:vt="http://schemas.openxmlformats.org/officeDocument/2006/docPropsVTypes"/>
</file>