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0"/>
        </w:rPr>
        <w:t xml:space="preserve">Table 1. </w:t>
      </w:r>
      <w:r>
        <w:rPr>
          <w:sz w:val="20"/>
        </w:rPr>
        <w:t>Performance of phenotype classification models built through the i2b2-ML JSON API on MIMIC-IV. Each model was trained and scored entirely by the i2b2-ML engine (POST /etl/job, jobType:ml); values are the engine's held-out test-set metrics.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10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Cases /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Controls</w:t>
            </w:r>
          </w:p>
        </w:tc>
        <w:tc>
          <w:tcPr>
            <w:tcW w:type="dxa" w:w="10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0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ROC AUC</w:t>
            </w:r>
          </w:p>
        </w:tc>
        <w:tc>
          <w:tcPr>
            <w:tcW w:type="dxa" w:w="10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0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0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Ischemic stroke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0.891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0.686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0.736</w:t>
            </w:r>
          </w:p>
        </w:tc>
      </w:tr>
      <w:tr>
        <w:tc>
          <w:tcPr>
            <w:tcW w:type="dxa" w:w="1080"/>
            <w:shd w:val="clear" w:color="auto" w:fill="EAF0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Ischemic heart disease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0.893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0.807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0.659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0.872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0.751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Atherosclerotic CVD (ASCVD)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0.910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0.769</w:t>
            </w:r>
          </w:p>
        </w:tc>
      </w:tr>
      <w:tr>
        <w:tc>
          <w:tcPr>
            <w:tcW w:type="dxa" w:w="1080"/>
            <w:shd w:val="clear" w:color="auto" w:fill="EAF0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Heart failure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0.914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0.842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0.734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0.824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0.776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Hypertension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0.899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0.780</w:t>
            </w:r>
          </w:p>
        </w:tc>
      </w:tr>
      <w:tr>
        <w:tc>
          <w:tcPr>
            <w:tcW w:type="dxa" w:w="1080"/>
            <w:shd w:val="clear" w:color="auto" w:fill="EAF0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Dyslipidemia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0.895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0.824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0.686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0.869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0.767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Type 2 diabetes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0.931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0.812</w:t>
            </w:r>
          </w:p>
        </w:tc>
      </w:tr>
      <w:tr>
        <w:tc>
          <w:tcPr>
            <w:tcW w:type="dxa" w:w="1080"/>
            <w:shd w:val="clear" w:color="auto" w:fill="EAF0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Prediabetes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0.797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0.760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0.629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0.666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0.647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Chronic kidney disease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0.946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0.841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0.845</w:t>
            </w:r>
          </w:p>
        </w:tc>
      </w:tr>
      <w:tr>
        <w:tc>
          <w:tcPr>
            <w:tcW w:type="dxa" w:w="1080"/>
            <w:shd w:val="clear" w:color="auto" w:fill="EAF0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Obstructive sleep apnea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0.767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0.656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0.490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0.809</w:t>
            </w:r>
          </w:p>
        </w:tc>
        <w:tc>
          <w:tcPr>
            <w:tcW w:type="dxa" w:w="1080"/>
            <w:shd w:val="clear" w:color="auto" w:fill="EAF0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0.610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Asthma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800 / 1600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0.658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0.558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0.776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0.539</w:t>
            </w:r>
          </w:p>
        </w:tc>
      </w:tr>
      <w:tr>
        <w:tc>
          <w:tcPr>
            <w:tcW w:type="dxa" w:w="1080"/>
            <w:shd w:val="clear" w:color="auto" w:fill="D9D9D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Mean (n=11 phenotypes)</w:t>
            </w:r>
          </w:p>
        </w:tc>
        <w:tc>
          <w:tcPr>
            <w:tcW w:type="dxa" w:w="10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0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0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0.864</w:t>
            </w:r>
          </w:p>
        </w:tc>
        <w:tc>
          <w:tcPr>
            <w:tcW w:type="dxa" w:w="10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0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0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0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120"/>
      </w:pPr>
      <w:r>
        <w:rPr>
          <w:i/>
          <w:color w:val="404040"/>
          <w:sz w:val="16"/>
        </w:rPr>
        <w:t>Models: elastic-net logistic regression with SMOTE oversampling and 5-fold cross-validated hyperparameter selection, on a 50% held-out test split. Cases are ICD-defined (silver standard); 32 structured features (demographics, comorbidities, laboratory values, vitals, medication classes) were supplied, of which the engine retained those shown after dropping high-missingness variables. The comorbidity feature matching each outcome was excluded to avoid label leakage. ROC AUC, area under the receiver-operating-characteristic curve.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