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Accessible, externally validated cardiometabolic phenotype-identification models built natively in a clinical data warehouse: a TRIPOD+AI prediction study in MIMIC-IV and eICU-CRD</w:t>
      </w:r>
    </w:p>
    <w:p>
      <w:pPr>
        <w:pStyle w:val="Author"/>
      </w:pPr>
      <w:r>
        <w:t xml:space="preserve">Vedhsai Thiriveedi</w:t>
      </w:r>
    </w:p>
    <w:p>
      <w:pPr>
        <w:pStyle w:val="Author"/>
      </w:pPr>
      <w:r>
        <w:t xml:space="preserve">Kavishwar Wagholikar</w:t>
      </w:r>
    </w:p>
    <w:p>
      <w:pPr>
        <w:pStyle w:val="Author"/>
      </w:pPr>
      <w:r>
        <w:t xml:space="preserve">[co-authors TBD]</w:t>
      </w:r>
    </w:p>
    <w:p>
      <w:pPr>
        <w:pStyle w:val="Date"/>
      </w:pPr>
      <w:r>
        <w:t xml:space="preserve">Draft — generated 2026-06-20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Machine-learning phenotype models are usually built by ML engineers in bespoke</w:t>
      </w:r>
      <w:r>
        <w:t xml:space="preserve"> </w:t>
      </w:r>
      <w:r>
        <w:t xml:space="preserve">pipelines, which limits who can build them and how well their performance is reported. We asked</w:t>
      </w:r>
      <w:r>
        <w:t xml:space="preserve"> </w:t>
      </w:r>
      <w:r>
        <w:t xml:space="preserve">whether calibrated, externally validated identification models for three cardiometabolic</w:t>
      </w:r>
      <w:r>
        <w:t xml:space="preserve"> </w:t>
      </w:r>
      <w:r>
        <w:t xml:space="preserve">phenotypes — heart failure (HF), chronic kidney disease (CKD), and diabetes — can be built</w:t>
      </w:r>
      <w:r>
        <w:t xml:space="preserve"> </w:t>
      </w:r>
      <w:r>
        <w:t xml:space="preserve">natively from a clinical data warehouse (CDW), and how far they transport across health systems.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Using MIMIC-IV (a single Boston academic ICU) we defined aligned, per-admission,</w:t>
      </w:r>
      <w:r>
        <w:t xml:space="preserve"> </w:t>
      </w:r>
      <w:r>
        <w:t xml:space="preserve">all-comers identification cohorts (one row per hospital admission; natural prevalence) for HF,</w:t>
      </w:r>
      <w:r>
        <w:t xml:space="preserve"> </w:t>
      </w:r>
      <w:r>
        <w:t xml:space="preserve">CKD, and diabetes, each described by the same 30 structured features (demographics, comorbidities,</w:t>
      </w:r>
      <w:r>
        <w:t xml:space="preserve"> </w:t>
      </w:r>
      <w:r>
        <w:t xml:space="preserve">laboratory values, vital signs, medication classes). Elastic-net logistic regression was trained</w:t>
      </w:r>
      <w:r>
        <w:t xml:space="preserve"> </w:t>
      </w:r>
      <w:r>
        <w:t xml:space="preserve">with median imputation and missing indicators and</w:t>
      </w:r>
      <w:r>
        <w:t xml:space="preserve"> </w:t>
      </w:r>
      <w:r>
        <w:rPr>
          <w:b/>
          <w:bCs/>
        </w:rPr>
        <w:t xml:space="preserve">no class-rebalancing</w:t>
      </w:r>
      <w:r>
        <w:t xml:space="preserve"> </w:t>
      </w:r>
      <w:r>
        <w:t xml:space="preserve">(SMOTE harms</w:t>
      </w:r>
      <w:r>
        <w:t xml:space="preserve"> </w:t>
      </w:r>
      <w:r>
        <w:t xml:space="preserve">calibration). Discrimination (ROC AUC, AUPRC), calibration (slope, intercept, Brier), and</w:t>
      </w:r>
      <w:r>
        <w:t xml:space="preserve"> </w:t>
      </w:r>
      <w:r>
        <w:t xml:space="preserve">1000-sample bootstrap 95% confidence intervals were computed on a 30% internal hold-out. Models</w:t>
      </w:r>
      <w:r>
        <w:t xml:space="preserve"> </w:t>
      </w:r>
      <w:r>
        <w:t xml:space="preserve">were then applied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to eICU-CRD (208 US hospitals) for external validation, followed by a</w:t>
      </w:r>
      <w:r>
        <w:t xml:space="preserve"> </w:t>
      </w:r>
      <w:r>
        <w:t xml:space="preserve">prespecified recalibration hierarchy (intercept-only, then intercept+slope). We quantified</w:t>
      </w:r>
      <w:r>
        <w:t xml:space="preserve"> </w:t>
      </w:r>
      <w:r>
        <w:t xml:space="preserve">outcome-proximal information leakage with an incident-onset</w:t>
      </w:r>
      <w:r>
        <w:t xml:space="preserve"> </w:t>
      </w:r>
      <w:r>
        <w:rPr>
          <w:i/>
          <w:iCs/>
        </w:rPr>
        <w:t xml:space="preserve">blackout</w:t>
      </w:r>
      <w:r>
        <w:t xml:space="preserve"> </w:t>
      </w:r>
      <w:r>
        <w:t xml:space="preserve">ablation (features taken</w:t>
      </w:r>
      <w:r>
        <w:t xml:space="preserve"> </w:t>
      </w:r>
      <w:r>
        <w:t xml:space="preserve">from a visit ≥0/30/90/180 days before first diagnosis), assessed clinical utility by</w:t>
      </w:r>
      <w:r>
        <w:t xml:space="preserve"> </w:t>
      </w:r>
      <w:r>
        <w:t xml:space="preserve">decision-curve analysis (DCA), reported sex/age subgroup performance, and benchmarked discrimination against models built</w:t>
      </w:r>
      <w:r>
        <w:t xml:space="preserve"> </w:t>
      </w:r>
      <w:r>
        <w:rPr>
          <w:b/>
          <w:bCs/>
        </w:rPr>
        <w:t xml:space="preserve">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no-code i2b2-ML tool’s JSON API</w:t>
      </w:r>
      <w:r>
        <w:t xml:space="preserve">. Reporting follows TRIPOD+AI with a PROBAST self-assessment.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Across 546,028 MIMIC-IV admissions, internal discrimination was high and calibration</w:t>
      </w:r>
      <w:r>
        <w:t xml:space="preserve"> </w:t>
      </w:r>
      <w:r>
        <w:t xml:space="preserve">near-perfect: HF ROC AUC 0.907 (95% CI 0.906–0.909), CKD 0.935, diabetes 0.933 (calibration slope</w:t>
      </w:r>
      <w:r>
        <w:t xml:space="preserve"> </w:t>
      </w:r>
      <w:r>
        <w:t xml:space="preserve">~1.0 each). On 200,764 eICU-CRD admissions, frozen transport degraded honestly but remained</w:t>
      </w:r>
      <w:r>
        <w:t xml:space="preserve"> </w:t>
      </w:r>
      <w:r>
        <w:t xml:space="preserve">useful — HF 0.758 (0.754–0.761), CKD 0.840 (0.838–0.843), diabetes 0.761 (0.758–0.764) — with</w:t>
      </w:r>
      <w:r>
        <w:t xml:space="preserve"> </w:t>
      </w:r>
      <w:r>
        <w:t xml:space="preserve">over-confident calibration (slope 0.38–0.56)</w:t>
      </w:r>
      <w:r>
        <w:t xml:space="preserve"> </w:t>
      </w:r>
      <w:r>
        <w:rPr>
          <w:b/>
          <w:bCs/>
        </w:rPr>
        <w:t xml:space="preserve">restored to near-ideal by intercept+slope</w:t>
      </w:r>
      <w:r>
        <w:rPr>
          <w:b/>
          <w:bCs/>
        </w:rPr>
        <w:t xml:space="preserve"> </w:t>
      </w:r>
      <w:r>
        <w:rPr>
          <w:b/>
          <w:bCs/>
        </w:rPr>
        <w:t xml:space="preserve">recalibration</w:t>
      </w:r>
      <w:r>
        <w:t xml:space="preserve"> </w:t>
      </w:r>
      <w:r>
        <w:t xml:space="preserve">(0.98–1.01) in every condition. The blackout ablation isolated the leaky,</w:t>
      </w:r>
      <w:r>
        <w:t xml:space="preserve"> </w:t>
      </w:r>
      <w:r>
        <w:t xml:space="preserve">outcome-proximal signal: HF 0.884→0.808, CKD 0.903→0.838, diabetes 0.856→0.718 from concurrent to</w:t>
      </w:r>
      <w:r>
        <w:t xml:space="preserve"> </w:t>
      </w:r>
      <w:r>
        <w:t xml:space="preserve">≥180-day pre-onset, after which discrimination plateaued; genuine pre-onset detection was stable</w:t>
      </w:r>
      <w:r>
        <w:t xml:space="preserve"> </w:t>
      </w:r>
      <w:r>
        <w:t xml:space="preserve">and well-calibrated. DCA showed positive net benefit across the clinically relevant threshold</w:t>
      </w:r>
      <w:r>
        <w:t xml:space="preserve"> </w:t>
      </w:r>
      <w:r>
        <w:t xml:space="preserve">range for both concurrent and pre-onset models. The no-code i2b2-ML tool reproduced the bespoke</w:t>
      </w:r>
      <w:r>
        <w:t xml:space="preserve"> </w:t>
      </w:r>
      <w:r>
        <w:t xml:space="preserve">pipeline’s discrimination to within ≤0.011 AUROC (HF 0.914, CKD 0.946, diabetes 0.931).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Calibrated, externally validated cardiometabolic identification models can be</w:t>
      </w:r>
      <w:r>
        <w:t xml:space="preserve"> </w:t>
      </w:r>
      <w:r>
        <w:t xml:space="preserve">built natively in a CDW and, after a simple two-parameter recalibration, transported to hundreds</w:t>
      </w:r>
      <w:r>
        <w:t xml:space="preserve"> </w:t>
      </w:r>
      <w:r>
        <w:t xml:space="preserve">of other hospitals; objective laboratory features transport better than diagnosis codes. The</w:t>
      </w:r>
      <w:r>
        <w:t xml:space="preserve"> </w:t>
      </w:r>
      <w:r>
        <w:t xml:space="preserve">modelling step is reproducible by a no-code tool, making rigorous phenotype modelling accessible</w:t>
      </w:r>
      <w:r>
        <w:t xml:space="preserve"> </w:t>
      </w:r>
      <w:r>
        <w:t xml:space="preserve">to non-ML researchers while preserving external-validity discipline.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Electronic health records and the clinical data warehouses (CDWs) built on them — i2b2, OMOP,</w:t>
      </w:r>
      <w:r>
        <w:t xml:space="preserve"> </w:t>
      </w:r>
      <w:r>
        <w:t xml:space="preserve">TriNetX — have made structured patient data routinely available for research. Yet building a</w:t>
      </w:r>
      <w:r>
        <w:t xml:space="preserve"> </w:t>
      </w:r>
      <w:r>
        <w:t xml:space="preserve">predictive phenotype model from a CDW still typically requires a machine-learning engineer to</w:t>
      </w:r>
      <w:r>
        <w:t xml:space="preserve"> </w:t>
      </w:r>
      <w:r>
        <w:t xml:space="preserve">export data, engineer features, fit and tune a model, and report it. This gates a common, valuable</w:t>
      </w:r>
      <w:r>
        <w:t xml:space="preserve"> </w:t>
      </w:r>
      <w:r>
        <w:t xml:space="preserve">task (identify which admissions carry a phenotype) behind specialised skills, and the resulting</w:t>
      </w:r>
      <w:r>
        <w:t xml:space="preserve"> </w:t>
      </w:r>
      <w:r>
        <w:t xml:space="preserve">one-off pipelines are rarely reported to the standard a clinical-prediction model deserves:</w:t>
      </w:r>
      <w:r>
        <w:t xml:space="preserve"> </w:t>
      </w:r>
      <w:r>
        <w:t xml:space="preserve">external validation, calibration, and clinical-utility assessment are frequently missing.</w:t>
      </w:r>
    </w:p>
    <w:p>
      <w:pPr>
        <w:pStyle w:val="BodyText"/>
      </w:pPr>
      <w:r>
        <w:t xml:space="preserve">Two problems compound. First,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the people who best understand a phenotype —</w:t>
      </w:r>
      <w:r>
        <w:t xml:space="preserve"> </w:t>
      </w:r>
      <w:r>
        <w:t xml:space="preserve">clinicians, registry curators — usually cannot build the model themselves. Second,</w:t>
      </w:r>
      <w:r>
        <w:t xml:space="preserve"> </w:t>
      </w:r>
      <w:r>
        <w:rPr>
          <w:b/>
          <w:bCs/>
        </w:rPr>
        <w:t xml:space="preserve">rigor and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transportability</w:t>
      </w:r>
      <w:r>
        <w:t xml:space="preserve">: models developed at one center are seldom validated elsewhere, and when they</w:t>
      </w:r>
      <w:r>
        <w:t xml:space="preserve"> </w:t>
      </w:r>
      <w:r>
        <w:t xml:space="preserve">are, discrimination commonly drops and calibration drifts. Reviewers of clinical-prediction work</w:t>
      </w:r>
      <w:r>
        <w:t xml:space="preserve"> </w:t>
      </w:r>
      <w:r>
        <w:t xml:space="preserve">(per TRIPOD+AI and PROBAST) now expect external validation, explicit calibration, and decision-</w:t>
      </w:r>
      <w:r>
        <w:t xml:space="preserve"> </w:t>
      </w:r>
      <w:r>
        <w:t xml:space="preserve">analytic evidence — exactly the elements bespoke pipelines tend to omit.</w:t>
      </w:r>
    </w:p>
    <w:p>
      <w:pPr>
        <w:pStyle w:val="BodyText"/>
      </w:pPr>
      <w:r>
        <w:t xml:space="preserve">We address both problems together. We show that calibrated identification models for three</w:t>
      </w:r>
      <w:r>
        <w:t xml:space="preserve"> </w:t>
      </w:r>
      <w:r>
        <w:t xml:space="preserve">cardiometabolic phenotypes can be built</w:t>
      </w:r>
      <w:r>
        <w:t xml:space="preserve"> </w:t>
      </w:r>
      <w:r>
        <w:rPr>
          <w:b/>
          <w:bCs/>
        </w:rPr>
        <w:t xml:space="preserve">natively in a CDW</w:t>
      </w:r>
      <w:r>
        <w:t xml:space="preserve"> </w:t>
      </w:r>
      <w:r>
        <w:t xml:space="preserve">— and that the model-fitting step is</w:t>
      </w:r>
      <w:r>
        <w:t xml:space="preserve"> </w:t>
      </w:r>
      <w:r>
        <w:t xml:space="preserve">reproducible by a</w:t>
      </w:r>
      <w:r>
        <w:t xml:space="preserve"> </w:t>
      </w:r>
      <w:r>
        <w:rPr>
          <w:b/>
          <w:bCs/>
        </w:rPr>
        <w:t xml:space="preserve">no-code tool</w:t>
      </w:r>
      <w:r>
        <w:t xml:space="preserve"> </w:t>
      </w:r>
      <w:r>
        <w:t xml:space="preserve">(the i2b2-ML plugin) so that a non-ML researcher could perform</w:t>
      </w:r>
      <w:r>
        <w:t xml:space="preserve"> </w:t>
      </w:r>
      <w:r>
        <w:t xml:space="preserve">it — while wrapping that step in the full external-validity discipline: an aligned development</w:t>
      </w:r>
      <w:r>
        <w:t xml:space="preserve"> </w:t>
      </w:r>
      <w:r>
        <w:t xml:space="preserve">cohort, frozen external validation across 208 hospitals, a recalibration hierarchy, a leakage</w:t>
      </w:r>
      <w:r>
        <w:t xml:space="preserve"> </w:t>
      </w:r>
      <w:r>
        <w:t xml:space="preserve">ablation that separates outcome-proximal from genuinely predictive signal, and decision-curve</w:t>
      </w:r>
      <w:r>
        <w:t xml:space="preserve"> </w:t>
      </w:r>
      <w:r>
        <w:t xml:space="preserve">analysis. The contribution is not a single best model; it is a demonstration that the</w:t>
      </w:r>
      <w:r>
        <w:t xml:space="preserve"> </w:t>
      </w:r>
      <w:r>
        <w:rPr>
          <w:i/>
          <w:iCs/>
        </w:rPr>
        <w:t xml:space="preserve">modelling</w:t>
      </w:r>
      <w:r>
        <w:t xml:space="preserve"> </w:t>
      </w:r>
      <w:r>
        <w:t xml:space="preserve">step is now accessible and that the</w:t>
      </w:r>
      <w:r>
        <w:t xml:space="preserve"> </w:t>
      </w:r>
      <w:r>
        <w:rPr>
          <w:i/>
          <w:iCs/>
        </w:rPr>
        <w:t xml:space="preserve">surrounding rigor</w:t>
      </w:r>
      <w:r>
        <w:t xml:space="preserve"> </w:t>
      </w:r>
      <w:r>
        <w:t xml:space="preserve">is a reusable, phenotype-agnostic template.</w:t>
      </w:r>
    </w:p>
    <w:p>
      <w:pPr>
        <w:pStyle w:val="BodyText"/>
      </w:pPr>
      <w:r>
        <w:t xml:space="preserve">We chose heart failure, chronic kidney disease, and diabetes because they are high-burden,</w:t>
      </w:r>
      <w:r>
        <w:t xml:space="preserve"> </w:t>
      </w:r>
      <w:r>
        <w:t xml:space="preserve">guideline-relevant, and have objective laboratory correlates (natriuretic state and congestion;</w:t>
      </w:r>
      <w:r>
        <w:t xml:space="preserve"> </w:t>
      </w:r>
      <w:r>
        <w:t xml:space="preserve">serum creatinine; serum glucose and HbA1c), letting us test a secondary hypothesis: that</w:t>
      </w:r>
      <w:r>
        <w:t xml:space="preserve"> </w:t>
      </w:r>
      <w:r>
        <w:t xml:space="preserve">objective laboratory features transport across health systems better than provider-entered</w:t>
      </w:r>
      <w:r>
        <w:t xml:space="preserve"> </w:t>
      </w:r>
      <w:r>
        <w:t xml:space="preserve">diagnosis codes.</w:t>
      </w:r>
    </w:p>
    <w:bookmarkEnd w:id="10"/>
    <w:bookmarkStart w:id="21" w:name="methods"/>
    <w:p>
      <w:pPr>
        <w:pStyle w:val="Heading2"/>
      </w:pPr>
      <w:r>
        <w:t xml:space="preserve">2. Methods</w:t>
      </w:r>
    </w:p>
    <w:bookmarkStart w:id="11" w:name="data-sources"/>
    <w:p>
      <w:pPr>
        <w:pStyle w:val="Heading3"/>
      </w:pPr>
      <w:r>
        <w:t xml:space="preserve">2.1 Data sources</w:t>
      </w:r>
    </w:p>
    <w:p>
      <w:pPr>
        <w:pStyle w:val="FirstParagraph"/>
      </w:pPr>
      <w:r>
        <w:t xml:space="preserve">Development used</w:t>
      </w:r>
      <w:r>
        <w:t xml:space="preserve"> </w:t>
      </w:r>
      <w:r>
        <w:rPr>
          <w:b/>
          <w:bCs/>
        </w:rPr>
        <w:t xml:space="preserve">MIMIC-IV v3.1</w:t>
      </w:r>
      <w:r>
        <w:t xml:space="preserve"> </w:t>
      </w:r>
      <w:r>
        <w:t xml:space="preserve">(hospital module), de-identified records from the Beth Israel</w:t>
      </w:r>
      <w:r>
        <w:t xml:space="preserve"> </w:t>
      </w:r>
      <w:r>
        <w:t xml:space="preserve">Deaconess Medical Center, Boston. External validation used</w:t>
      </w:r>
      <w:r>
        <w:t xml:space="preserve"> </w:t>
      </w:r>
      <w:r>
        <w:rPr>
          <w:b/>
          <w:bCs/>
        </w:rPr>
        <w:t xml:space="preserve">eICU-CRD v2.0</w:t>
      </w:r>
      <w:r>
        <w:t xml:space="preserve">, a multi-center</w:t>
      </w:r>
      <w:r>
        <w:t xml:space="preserve"> </w:t>
      </w:r>
      <w:r>
        <w:t xml:space="preserve">critical-care database spanning 208 US hospitals (2014–2015). Both are credentialed PhysioNet</w:t>
      </w:r>
      <w:r>
        <w:t xml:space="preserve"> </w:t>
      </w:r>
      <w:r>
        <w:t xml:space="preserve">resources accessed on Google BigQuery; this analysis used only de-identified data and required no</w:t>
      </w:r>
      <w:r>
        <w:t xml:space="preserve"> </w:t>
      </w:r>
      <w:r>
        <w:t xml:space="preserve">additional IRB review. Laboratory and vital-sign units were verified identical between sources</w:t>
      </w:r>
      <w:r>
        <w:t xml:space="preserve"> </w:t>
      </w:r>
      <w:r>
        <w:t xml:space="preserve">prior to harmonization (no unit conversion was required).</w:t>
      </w:r>
    </w:p>
    <w:bookmarkEnd w:id="11"/>
    <w:bookmarkStart w:id="12" w:name="cohorts-and-outcome-definitions"/>
    <w:p>
      <w:pPr>
        <w:pStyle w:val="Heading3"/>
      </w:pPr>
      <w:r>
        <w:t xml:space="preserve">2.2 Cohorts and outcome definitions</w:t>
      </w:r>
    </w:p>
    <w:p>
      <w:pPr>
        <w:pStyle w:val="FirstParagraph"/>
      </w:pPr>
      <w:r>
        <w:t xml:space="preserve">To make development and external cohorts directly comparable, we used a single</w:t>
      </w:r>
      <w:r>
        <w:t xml:space="preserve"> </w:t>
      </w:r>
      <w:r>
        <w:rPr>
          <w:b/>
          <w:bCs/>
        </w:rPr>
        <w:t xml:space="preserve">aligned</w:t>
      </w:r>
      <w:r>
        <w:rPr>
          <w:b/>
          <w:bCs/>
        </w:rPr>
        <w:t xml:space="preserve"> </w:t>
      </w:r>
      <w:r>
        <w:rPr>
          <w:b/>
          <w:bCs/>
        </w:rPr>
        <w:t xml:space="preserve">identification design</w:t>
      </w:r>
      <w:r>
        <w:t xml:space="preserve">: one row per hospital admission, all admissions included (all-comers), at</w:t>
      </w:r>
      <w:r>
        <w:t xml:space="preserve"> </w:t>
      </w:r>
      <w:r>
        <w:rPr>
          <w:b/>
          <w:bCs/>
        </w:rPr>
        <w:t xml:space="preserve">natural prevalence</w:t>
      </w:r>
      <w:r>
        <w:t xml:space="preserve"> </w:t>
      </w:r>
      <w:r>
        <w:t xml:space="preserve">(no case:control ratio forcing, no sampling cap). An admission was labelled</w:t>
      </w:r>
      <w:r>
        <w:t xml:space="preserve"> </w:t>
      </w:r>
      <w:r>
        <w:t xml:space="preserve">positive if the phenotype was coded for that admission: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Heart failure</w:t>
      </w:r>
      <w:r>
        <w:t xml:space="preserve"> </w:t>
      </w:r>
      <w:r>
        <w:t xml:space="preserve">— ICD-10</w:t>
      </w:r>
      <w:r>
        <w:t xml:space="preserve"> </w:t>
      </w:r>
      <w:r>
        <w:rPr>
          <w:rStyle w:val="VerbatimChar"/>
        </w:rPr>
        <w:t xml:space="preserve">I50*</w:t>
      </w:r>
      <w:r>
        <w:t xml:space="preserve"> </w:t>
      </w:r>
      <w:r>
        <w:t xml:space="preserve">or ICD-9</w:t>
      </w:r>
      <w:r>
        <w:t xml:space="preserve"> </w:t>
      </w:r>
      <w:r>
        <w:rPr>
          <w:rStyle w:val="VerbatimChar"/>
        </w:rPr>
        <w:t xml:space="preserve">428*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Chronic kidney disease</w:t>
      </w:r>
      <w:r>
        <w:t xml:space="preserve"> </w:t>
      </w:r>
      <w:r>
        <w:t xml:space="preserve">— ICD-10</w:t>
      </w:r>
      <w:r>
        <w:t xml:space="preserve"> </w:t>
      </w:r>
      <w:r>
        <w:rPr>
          <w:rStyle w:val="VerbatimChar"/>
        </w:rPr>
        <w:t xml:space="preserve">N18*</w:t>
      </w:r>
      <w:r>
        <w:t xml:space="preserve"> </w:t>
      </w:r>
      <w:r>
        <w:t xml:space="preserve">or ICD-9</w:t>
      </w:r>
      <w:r>
        <w:t xml:space="preserve"> </w:t>
      </w:r>
      <w:r>
        <w:rPr>
          <w:rStyle w:val="VerbatimChar"/>
        </w:rPr>
        <w:t xml:space="preserve">585*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Diabetes</w:t>
      </w:r>
      <w:r>
        <w:t xml:space="preserve"> </w:t>
      </w:r>
      <w:r>
        <w:t xml:space="preserve">— ICD-10</w:t>
      </w:r>
      <w:r>
        <w:t xml:space="preserve"> </w:t>
      </w:r>
      <w:r>
        <w:rPr>
          <w:rStyle w:val="VerbatimChar"/>
        </w:rPr>
        <w:t xml:space="preserve">E08–E13</w:t>
      </w:r>
      <w:r>
        <w:t xml:space="preserve"> </w:t>
      </w:r>
      <w:r>
        <w:t xml:space="preserve">or ICD-9</w:t>
      </w:r>
      <w:r>
        <w:t xml:space="preserve"> </w:t>
      </w:r>
      <w:r>
        <w:rPr>
          <w:rStyle w:val="VerbatimChar"/>
        </w:rPr>
        <w:t xml:space="preserve">250*</w:t>
      </w:r>
      <w:r>
        <w:t xml:space="preserve"> </w:t>
      </w:r>
      <w:r>
        <w:t xml:space="preserve">(any diabetes, for clean MIMIC↔eICU label</w:t>
      </w:r>
      <w:r>
        <w:t xml:space="preserve"> </w:t>
      </w:r>
      <w:r>
        <w:t xml:space="preserve">harmonization; a strict type-2 sensitivity analysis is reported in §3.8).</w:t>
      </w:r>
    </w:p>
    <w:p>
      <w:pPr>
        <w:pStyle w:val="FirstParagraph"/>
      </w:pPr>
      <w:r>
        <w:t xml:space="preserve">The eICU comorbidity and outcome capture combined the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pasthistory</w:t>
      </w:r>
      <w:r>
        <w:t xml:space="preserve"> </w:t>
      </w:r>
      <w:r>
        <w:t xml:space="preserve">tables;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 </w:t>
      </w:r>
      <w:r>
        <w:t xml:space="preserve">alone under-codes chronic comorbidities by 4–5× (e.g., hypertension 12% vs 48% once</w:t>
      </w:r>
      <w:r>
        <w:t xml:space="preserve"> </w:t>
      </w:r>
      <w:r>
        <w:rPr>
          <w:rStyle w:val="VerbatimChar"/>
        </w:rPr>
        <w:t xml:space="preserve">pasthistory</w:t>
      </w:r>
      <w:r>
        <w:t xml:space="preserve"> </w:t>
      </w:r>
      <w:r>
        <w:t xml:space="preserve">is added), which would otherwise spuriously depress transport.</w:t>
      </w:r>
    </w:p>
    <w:p>
      <w:pPr>
        <w:pStyle w:val="BodyText"/>
      </w:pPr>
      <w:r>
        <w:t xml:space="preserve">A separate</w:t>
      </w:r>
      <w:r>
        <w:t xml:space="preserve"> </w:t>
      </w:r>
      <w:r>
        <w:rPr>
          <w:b/>
          <w:bCs/>
        </w:rPr>
        <w:t xml:space="preserve">incident-onset</w:t>
      </w:r>
      <w:r>
        <w:t xml:space="preserve"> </w:t>
      </w:r>
      <w:r>
        <w:t xml:space="preserve">design was used only for the leakage ablation (§2.7): the patient’s</w:t>
      </w:r>
      <w:r>
        <w:t xml:space="preserve"> </w:t>
      </w:r>
      <w:r>
        <w:t xml:space="preserve">first phenotype admission (with ≥1 prior admission so that pre-onset history exists) versus</w:t>
      </w:r>
      <w:r>
        <w:t xml:space="preserve"> </w:t>
      </w:r>
      <w:r>
        <w:t xml:space="preserve">never-diagnosed patients with ≥2 admissions, one row per patient. Because onset is the first code,</w:t>
      </w:r>
      <w:r>
        <w:t xml:space="preserve"> </w:t>
      </w:r>
      <w:r>
        <w:t xml:space="preserve">the self-comorbidity is structurally absent before onset; it is additionally dropped from the</w:t>
      </w:r>
      <w:r>
        <w:t xml:space="preserve"> </w:t>
      </w:r>
      <w:r>
        <w:t xml:space="preserve">feature set (below).</w:t>
      </w:r>
    </w:p>
    <w:bookmarkEnd w:id="12"/>
    <w:bookmarkStart w:id="13" w:name="features"/>
    <w:p>
      <w:pPr>
        <w:pStyle w:val="Heading3"/>
      </w:pPr>
      <w:r>
        <w:t xml:space="preserve">2.3 Features</w:t>
      </w:r>
    </w:p>
    <w:p>
      <w:pPr>
        <w:pStyle w:val="FirstParagraph"/>
      </w:pPr>
      <w:r>
        <w:t xml:space="preserve">All models used the</w:t>
      </w:r>
      <w:r>
        <w:t xml:space="preserve"> </w:t>
      </w:r>
      <w:r>
        <w:rPr>
          <w:b/>
          <w:bCs/>
        </w:rPr>
        <w:t xml:space="preserve">same 30 structured features</w:t>
      </w:r>
      <w:r>
        <w:t xml:space="preserve">, computed from the index admission (or, in the</w:t>
      </w:r>
      <w:r>
        <w:t xml:space="preserve"> </w:t>
      </w:r>
      <w:r>
        <w:t xml:space="preserve">ablation, from the most recent admission before the blackout cutoff): age, sex; eight comorbidity</w:t>
      </w:r>
      <w:r>
        <w:t xml:space="preserve"> </w:t>
      </w:r>
      <w:r>
        <w:t xml:space="preserve">flags (hypertension, diabetes, atrial fibrillation, ischemic heart disease, dyslipidemia, CKD,</w:t>
      </w:r>
      <w:r>
        <w:t xml:space="preserve"> </w:t>
      </w:r>
      <w:r>
        <w:t xml:space="preserve">peripheral vascular disease, smoking); twelve laboratory values (glucose, HbA1c, creatinine, INR,</w:t>
      </w:r>
      <w:r>
        <w:t xml:space="preserve"> </w:t>
      </w:r>
      <w:r>
        <w:t xml:space="preserve">hemoglobin, platelets, WBC, sodium, potassium, bicarbonate, urea nitrogen, chloride); three</w:t>
      </w:r>
      <w:r>
        <w:t xml:space="preserve"> </w:t>
      </w:r>
      <w:r>
        <w:t xml:space="preserve">vitals (systolic and diastolic blood pressure, BMI); and five medication-class flags</w:t>
      </w:r>
      <w:r>
        <w:t xml:space="preserve"> </w:t>
      </w:r>
      <w:r>
        <w:t xml:space="preserve">(antihypertensive, statin, anticoagulant, antiplatelet, antidiabetic). To prevent label leakage,</w:t>
      </w:r>
      <w:r>
        <w:t xml:space="preserve"> </w:t>
      </w:r>
      <w:r>
        <w:rPr>
          <w:b/>
          <w:bCs/>
        </w:rPr>
        <w:t xml:space="preserve">each phenotype’s own ICD-derived self-comorbidity flag was excluded</w:t>
      </w:r>
      <w:r>
        <w:t xml:space="preserve"> </w:t>
      </w:r>
      <w:r>
        <w:t xml:space="preserve">(cm_ckd for CKD, cm_dm for</w:t>
      </w:r>
      <w:r>
        <w:t xml:space="preserve"> </w:t>
      </w:r>
      <w:r>
        <w:t xml:space="preserve">diabetes); HF has no corresponding self-comorbidity feature. The diagnostic laboratory for each</w:t>
      </w:r>
      <w:r>
        <w:t xml:space="preserve"> </w:t>
      </w:r>
      <w:r>
        <w:t xml:space="preserve">phenotype (creatinine for CKD, glucose/HbA1c for diabetes) was retained, since it is the objective</w:t>
      </w:r>
      <w:r>
        <w:t xml:space="preserve"> </w:t>
      </w:r>
      <w:r>
        <w:t xml:space="preserve">basis for the diagnosis rather than a circular restatement of the code.</w:t>
      </w:r>
    </w:p>
    <w:bookmarkEnd w:id="13"/>
    <w:bookmarkStart w:id="14" w:name="model"/>
    <w:p>
      <w:pPr>
        <w:pStyle w:val="Heading3"/>
      </w:pPr>
      <w:r>
        <w:t xml:space="preserve">2.4 Model</w:t>
      </w:r>
    </w:p>
    <w:p>
      <w:pPr>
        <w:pStyle w:val="FirstParagraph"/>
      </w:pPr>
      <w:r>
        <w:t xml:space="preserve">The estimator was</w:t>
      </w:r>
      <w:r>
        <w:t xml:space="preserve"> </w:t>
      </w:r>
      <w:r>
        <w:rPr>
          <w:b/>
          <w:bCs/>
        </w:rPr>
        <w:t xml:space="preserve">elastic-net logistic regression</w:t>
      </w:r>
      <w:r>
        <w:t xml:space="preserve"> </w:t>
      </w:r>
      <w:r>
        <w:t xml:space="preserve">(saga solver), the model family implemented</w:t>
      </w:r>
      <w:r>
        <w:t xml:space="preserve"> </w:t>
      </w:r>
      <w:r>
        <w:t xml:space="preserve">by the i2b2-ML engine. Numeric features were median-imputed with missing-indicator augmentation</w:t>
      </w:r>
      <w:r>
        <w:t xml:space="preserve"> </w:t>
      </w:r>
      <w:r>
        <w:t xml:space="preserve">and standardized; binary features were passed through. The regularization strength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and the</w:t>
      </w:r>
      <w:r>
        <w:t xml:space="preserve"> </w:t>
      </w:r>
      <w:r>
        <w:t xml:space="preserve">l1/l2 mixing ratio were tuned by 4-fold inner cross-validation (grid</w:t>
      </w:r>
      <w:r>
        <w:t xml:space="preserve"> </w:t>
      </w:r>
      <w:r>
        <w:rPr>
          <w:rStyle w:val="VerbatimChar"/>
        </w:rPr>
        <w:t xml:space="preserve">C∈{0.1,1.0}</w:t>
      </w:r>
      <w:r>
        <w:t xml:space="preserve">,</w:t>
      </w:r>
      <w:r>
        <w:t xml:space="preserve"> </w:t>
      </w:r>
      <w:r>
        <w:rPr>
          <w:rStyle w:val="VerbatimChar"/>
        </w:rPr>
        <w:t xml:space="preserve">l1_ratio∈{0.2,0.5,0.8}</w:t>
      </w:r>
      <w:r>
        <w:t xml:space="preserve">).</w:t>
      </w:r>
      <w:r>
        <w:t xml:space="preserve"> </w:t>
      </w:r>
      <w:r>
        <w:rPr>
          <w:b/>
          <w:bCs/>
        </w:rPr>
        <w:t xml:space="preserve">No synthetic oversampling (SMOTE) was used</w:t>
      </w:r>
      <w:r>
        <w:t xml:space="preserve">: it inflates apparent</w:t>
      </w:r>
      <w:r>
        <w:t xml:space="preserve"> </w:t>
      </w:r>
      <w:r>
        <w:t xml:space="preserve">performance and corrupts calibration; class imbalance was handled by the regularized likelihood</w:t>
      </w:r>
      <w:r>
        <w:t xml:space="preserve"> </w:t>
      </w:r>
      <w:r>
        <w:t xml:space="preserve">and reported at the natural base rate. Seed fixed at 42 throughout.</w:t>
      </w:r>
    </w:p>
    <w:bookmarkEnd w:id="14"/>
    <w:bookmarkStart w:id="15" w:name="internal-validation"/>
    <w:p>
      <w:pPr>
        <w:pStyle w:val="Heading3"/>
      </w:pPr>
      <w:r>
        <w:t xml:space="preserve">2.5 Internal validation</w:t>
      </w:r>
    </w:p>
    <w:p>
      <w:pPr>
        <w:pStyle w:val="FirstParagraph"/>
      </w:pPr>
      <w:r>
        <w:t xml:space="preserve">Each cohort was split 70/30 (stratified, seed 42). We report ROC AUC and AUPRC (with AUPRC lift</w:t>
      </w:r>
      <w:r>
        <w:t xml:space="preserve"> </w:t>
      </w:r>
      <w:r>
        <w:t xml:space="preserve">over base rate), the calibration slope and intercept (logistic recalibration of the linear</w:t>
      </w:r>
      <w:r>
        <w:t xml:space="preserve"> </w:t>
      </w:r>
      <w:r>
        <w:t xml:space="preserve">predictor), and the Brier score, each with 1000-sample bootstrap 95% confidence intervals on the</w:t>
      </w:r>
      <w:r>
        <w:t xml:space="preserve"> </w:t>
      </w:r>
      <w:r>
        <w:t xml:space="preserve">hold-out. The models are richly powered: the development sets held 56,428 (HF), 58,002 (CKD), and</w:t>
      </w:r>
      <w:r>
        <w:t xml:space="preserve"> </w:t>
      </w:r>
      <w:r>
        <w:t xml:space="preserve">93,415 (diabetes) events against 44–45 candidate predictors — an events-per-variable of 1,254–2,123,</w:t>
      </w:r>
      <w:r>
        <w:t xml:space="preserve"> </w:t>
      </w:r>
      <w:r>
        <w:t xml:space="preserve">far above the conventional ≥10–20 threshold, so overfitting is not a concern. Per-model standardized</w:t>
      </w:r>
      <w:r>
        <w:t xml:space="preserve"> </w:t>
      </w:r>
      <w:r>
        <w:t xml:space="preserve">coefficients (odds ratios) are provided as a supplement (</w:t>
      </w:r>
      <w:r>
        <w:rPr>
          <w:rStyle w:val="VerbatimChar"/>
        </w:rPr>
        <w:t xml:space="preserve">results/model_spec_&lt;phenotype&gt;.md</w:t>
      </w:r>
      <w:r>
        <w:t xml:space="preserve">).</w:t>
      </w:r>
      <w:r>
        <w:t xml:space="preserve"> </w:t>
      </w:r>
      <w:r>
        <w:t xml:space="preserve">We additionally report performance within prespecified subgroups (sex; age &lt;65 vs ≥65) as a</w:t>
      </w:r>
      <w:r>
        <w:t xml:space="preserve"> </w:t>
      </w:r>
      <w:r>
        <w:t xml:space="preserve">fairness assessment (§3.9).</w:t>
      </w:r>
    </w:p>
    <w:bookmarkEnd w:id="15"/>
    <w:bookmarkStart w:id="16" w:name="external-validation-and-recalibration"/>
    <w:p>
      <w:pPr>
        <w:pStyle w:val="Heading3"/>
      </w:pPr>
      <w:r>
        <w:t xml:space="preserve">2.6 External validation and recalibration</w:t>
      </w:r>
    </w:p>
    <w:p>
      <w:pPr>
        <w:pStyle w:val="FirstParagraph"/>
      </w:pPr>
      <w:r>
        <w:t xml:space="preserve">The model fit on MIMIC-IV was applied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to harmonized eICU-CRD (identical 30-feature</w:t>
      </w:r>
      <w:r>
        <w:t xml:space="preserve"> </w:t>
      </w:r>
      <w:r>
        <w:t xml:space="preserve">specification). We report transport discrimination and calibration, then a prespecified</w:t>
      </w:r>
      <w:r>
        <w:t xml:space="preserve"> </w:t>
      </w:r>
      <w:r>
        <w:rPr>
          <w:b/>
          <w:bCs/>
        </w:rPr>
        <w:t xml:space="preserve">recalibration hierarchy</w:t>
      </w:r>
      <w:r>
        <w:t xml:space="preserve"> </w:t>
      </w:r>
      <w:r>
        <w:t xml:space="preserve">fit on a random half of eICU and evaluated on the other half:</w:t>
      </w:r>
      <w:r>
        <w:t xml:space="preserve"> </w:t>
      </w:r>
      <w:r>
        <w:t xml:space="preserve">(i) intercept-only (a logistic offset correcting overall risk level) and (ii) intercept+slope</w:t>
      </w:r>
      <w:r>
        <w:t xml:space="preserve"> </w:t>
      </w:r>
      <w:r>
        <w:t xml:space="preserve">(Platt logistic recalibration of the linear predictor). Recalibration cannot change discrimination</w:t>
      </w:r>
      <w:r>
        <w:t xml:space="preserve"> </w:t>
      </w:r>
      <w:r>
        <w:t xml:space="preserve">(AUROC is invariant to a monotone transform of risk) — only calibration — which is the expected and</w:t>
      </w:r>
      <w:r>
        <w:t xml:space="preserve"> </w:t>
      </w:r>
      <w:r>
        <w:t xml:space="preserve">reported behavior.</w:t>
      </w:r>
    </w:p>
    <w:bookmarkEnd w:id="16"/>
    <w:bookmarkStart w:id="17" w:name="temporal-leakage-decay-ablation"/>
    <w:p>
      <w:pPr>
        <w:pStyle w:val="Heading3"/>
      </w:pPr>
      <w:r>
        <w:t xml:space="preserve">2.7 Temporal leakage-decay ablation</w:t>
      </w:r>
    </w:p>
    <w:p>
      <w:pPr>
        <w:pStyle w:val="FirstParagraph"/>
      </w:pPr>
      <w:r>
        <w:t xml:space="preserve">Concurrent (index-admission) features can encode the diagnostic event itself. Using the</w:t>
      </w:r>
      <w:r>
        <w:t xml:space="preserve"> </w:t>
      </w:r>
      <w:r>
        <w:t xml:space="preserve">incident-onset cohort, we recomputed features from the most recent admission</w:t>
      </w:r>
      <w:r>
        <w:t xml:space="preserve"> </w:t>
      </w:r>
      <w:r>
        <w:rPr>
          <w:b/>
          <w:bCs/>
        </w:rPr>
        <w:t xml:space="preserve">≥0, 30, 90, and 180</w:t>
      </w:r>
      <w:r>
        <w:rPr>
          <w:b/>
          <w:bCs/>
        </w:rPr>
        <w:t xml:space="preserve"> </w:t>
      </w:r>
      <w:r>
        <w:rPr>
          <w:b/>
          <w:bCs/>
        </w:rPr>
        <w:t xml:space="preserve">days before</w:t>
      </w:r>
      <w:r>
        <w:t xml:space="preserve"> </w:t>
      </w:r>
      <w:r>
        <w:t xml:space="preserve">the first diagnosis. The decay of AUROC from blackout 0 to 180 days quantifies the</w:t>
      </w:r>
      <w:r>
        <w:t xml:space="preserve"> </w:t>
      </w:r>
      <w:r>
        <w:t xml:space="preserve">outcome-proximal (leaky) contribution; the plateau value estimates genuine pre-onset</w:t>
      </w:r>
      <w:r>
        <w:t xml:space="preserve"> </w:t>
      </w:r>
      <w:r>
        <w:t xml:space="preserve">detectability. For the chronic phenotypes (CKD, diabetes) the first code is</w:t>
      </w:r>
      <w:r>
        <w:t xml:space="preserve"> </w:t>
      </w:r>
      <w:r>
        <w:rPr>
          <w:i/>
          <w:iCs/>
        </w:rPr>
        <w:t xml:space="preserve">newly documented</w:t>
      </w:r>
      <w:r>
        <w:t xml:space="preserve"> </w:t>
      </w:r>
      <w:r>
        <w:t xml:space="preserve">disease rather than biological onset — a limitation we state explicitly (§4) — and the defining</w:t>
      </w:r>
      <w:r>
        <w:t xml:space="preserve"> </w:t>
      </w:r>
      <w:r>
        <w:t xml:space="preserve">laboratory is retained, so the concurrent design is expected to be strong by construction.</w:t>
      </w:r>
    </w:p>
    <w:bookmarkEnd w:id="17"/>
    <w:bookmarkStart w:id="18" w:name="decision-curve-analysis"/>
    <w:p>
      <w:pPr>
        <w:pStyle w:val="Heading3"/>
      </w:pPr>
      <w:r>
        <w:t xml:space="preserve">2.8 Decision-curve analysis</w:t>
      </w:r>
    </w:p>
    <w:p>
      <w:pPr>
        <w:pStyle w:val="FirstParagraph"/>
      </w:pPr>
      <w:r>
        <w:t xml:space="preserve">We computed net benefit, NB = TP/N − (FP/N)·(p_t/(1−p_t)), across threshold probabilities</w:t>
      </w:r>
      <w:r>
        <w:t xml:space="preserve"> </w:t>
      </w:r>
      <w:r>
        <w:t xml:space="preserve">0.01–0.50, against treat-all and treat-none references, for the concurrent and pre-onset models.</w:t>
      </w:r>
      <w:r>
        <w:t xml:space="preserve"> </w:t>
      </w:r>
      <w:r>
        <w:t xml:space="preserve">As a clinical-baseline comparator we additionally fit a</w:t>
      </w:r>
      <w:r>
        <w:t xml:space="preserve"> </w:t>
      </w:r>
      <w:r>
        <w:rPr>
          <w:b/>
          <w:bCs/>
        </w:rPr>
        <w:t xml:space="preserve">guideline-variable reference model</w:t>
      </w:r>
      <w:r>
        <w:t xml:space="preserve"> </w:t>
      </w:r>
      <w:r>
        <w:t xml:space="preserve">restricted to the established cardiometabolic risk factors available in the CDW (age, sex, systolic</w:t>
      </w:r>
      <w:r>
        <w:t xml:space="preserve"> </w:t>
      </w:r>
      <w:r>
        <w:t xml:space="preserve">blood pressure, antihypertensive treatment, diabetes, smoking, BMI, and a race-free</w:t>
      </w:r>
      <w:r>
        <w:t xml:space="preserve"> </w:t>
      </w:r>
      <w:r>
        <w:rPr>
          <w:b/>
          <w:bCs/>
        </w:rPr>
        <w:t xml:space="preserve">CKD-EPI 2021</w:t>
      </w:r>
      <w:r>
        <w:rPr>
          <w:b/>
          <w:bCs/>
        </w:rPr>
        <w:t xml:space="preserve"> </w:t>
      </w:r>
      <w:r>
        <w:rPr>
          <w:b/>
          <w:bCs/>
        </w:rPr>
        <w:t xml:space="preserve">eGFR</w:t>
      </w:r>
      <w:r>
        <w:t xml:space="preserve"> </w:t>
      </w:r>
      <w:r>
        <w:t xml:space="preserve">derived from serum creatinine), and compared its net benefit to the full 30-feature model</w:t>
      </w:r>
      <w:r>
        <w:t xml:space="preserve"> </w:t>
      </w:r>
      <w:r>
        <w:t xml:space="preserve">(§3.7). Faithful computation of the published incident-disease equations (PCP-HF, PREVENT, KFRE)</w:t>
      </w:r>
      <w:r>
        <w:t xml:space="preserve"> </w:t>
      </w:r>
      <w:r>
        <w:t xml:space="preserve">requires predictors that are sparse or absent in MIMIC’s structured tables — urine albumin-to-</w:t>
      </w:r>
      <w:r>
        <w:t xml:space="preserve"> </w:t>
      </w:r>
      <w:r>
        <w:t xml:space="preserve">creatinine ratio, a discrete lipid panel, race, QRS duration — so a guideline-variable reference is</w:t>
      </w:r>
      <w:r>
        <w:t xml:space="preserve"> </w:t>
      </w:r>
      <w:r>
        <w:t xml:space="preserve">the honest CDW-native benchmark.</w:t>
      </w:r>
    </w:p>
    <w:bookmarkEnd w:id="18"/>
    <w:bookmarkStart w:id="19" w:name="accessibility-tool-reproduction"/>
    <w:p>
      <w:pPr>
        <w:pStyle w:val="Heading3"/>
      </w:pPr>
      <w:r>
        <w:t xml:space="preserve">2.9 Accessibility / tool reproduction</w:t>
      </w:r>
    </w:p>
    <w:p>
      <w:pPr>
        <w:pStyle w:val="FirstParagraph"/>
      </w:pPr>
      <w:r>
        <w:t xml:space="preserve">To test the accessibility claim, the same identification task was executed through the</w:t>
      </w:r>
      <w:r>
        <w:t xml:space="preserve"> </w:t>
      </w:r>
      <w:r>
        <w:rPr>
          <w:b/>
          <w:bCs/>
        </w:rPr>
        <w:t xml:space="preserve">no-code</w:t>
      </w:r>
      <w:r>
        <w:rPr>
          <w:b/>
          <w:bCs/>
        </w:rPr>
        <w:t xml:space="preserve"> </w:t>
      </w:r>
      <w:r>
        <w:rPr>
          <w:b/>
          <w:bCs/>
        </w:rPr>
        <w:t xml:space="preserve">i2b2-ML tool</w:t>
      </w:r>
      <w:r>
        <w:t xml:space="preserve">: phenotype cohorts were loaded as i2b2 concepts, facts, and named patient sets, and</w:t>
      </w:r>
      <w:r>
        <w:t xml:space="preserve"> </w:t>
      </w:r>
      <w:r>
        <w:t xml:space="preserve">models were built by POSTing a</w:t>
      </w:r>
      <w:r>
        <w:t xml:space="preserve"> </w:t>
      </w:r>
      <w:r>
        <w:rPr>
          <w:rStyle w:val="VerbatimChar"/>
        </w:rPr>
        <w:t xml:space="preserve">jobType:ml</w:t>
      </w:r>
      <w:r>
        <w:t xml:space="preserve"> </w:t>
      </w:r>
      <w:r>
        <w:t xml:space="preserve">job to the plugin’s JSON API; the asynchronous</w:t>
      </w:r>
      <w:r>
        <w:t xml:space="preserve"> </w:t>
      </w:r>
      <w:r>
        <w:rPr>
          <w:rStyle w:val="VerbatimChar"/>
        </w:rPr>
        <w:t xml:space="preserve">jobWatcher</w:t>
      </w:r>
      <w:r>
        <w:t xml:space="preserve">/</w:t>
      </w:r>
      <w:r>
        <w:rPr>
          <w:rStyle w:val="VerbatimChar"/>
        </w:rPr>
        <w:t xml:space="preserve">mlEngine</w:t>
      </w:r>
      <w:r>
        <w:t xml:space="preserve"> </w:t>
      </w:r>
      <w:r>
        <w:t xml:space="preserve">fit a regularized logistic regression and returned a serialized model with</w:t>
      </w:r>
      <w:r>
        <w:t xml:space="preserve"> </w:t>
      </w:r>
      <w:r>
        <w:t xml:space="preserve">ROC AUC, accuracy, precision, and recall. We compare the tool’s discrimination to the bespoke</w:t>
      </w:r>
      <w:r>
        <w:t xml:space="preserve"> </w:t>
      </w:r>
      <w:r>
        <w:t xml:space="preserve">harness. A full capability map (what runs inside the tool vs. the rigor the harness adds around it)</w:t>
      </w:r>
      <w:r>
        <w:t xml:space="preserve"> </w:t>
      </w:r>
      <w:r>
        <w:t xml:space="preserve">is provided as a supplementary table.</w:t>
      </w:r>
    </w:p>
    <w:bookmarkEnd w:id="19"/>
    <w:bookmarkStart w:id="20" w:name="reporting-and-statistical-software"/>
    <w:p>
      <w:pPr>
        <w:pStyle w:val="Heading3"/>
      </w:pPr>
      <w:r>
        <w:t xml:space="preserve">2.10 Reporting and statistical software</w:t>
      </w:r>
    </w:p>
    <w:p>
      <w:pPr>
        <w:pStyle w:val="FirstParagraph"/>
      </w:pPr>
      <w:r>
        <w:t xml:space="preserve">Reporting follows</w:t>
      </w:r>
      <w:r>
        <w:t xml:space="preserve"> </w:t>
      </w:r>
      <w:r>
        <w:rPr>
          <w:b/>
          <w:bCs/>
        </w:rPr>
        <w:t xml:space="preserve">TRIPOD+AI</w:t>
      </w:r>
      <w:r>
        <w:t xml:space="preserve"> </w:t>
      </w:r>
      <w:r>
        <w:t xml:space="preserve">(item-by-item checklist supplied) with a</w:t>
      </w:r>
      <w:r>
        <w:t xml:space="preserve"> </w:t>
      </w:r>
      <w:r>
        <w:rPr>
          <w:b/>
          <w:bCs/>
        </w:rPr>
        <w:t xml:space="preserve">PROBAST</w:t>
      </w:r>
      <w:r>
        <w:t xml:space="preserve"> </w:t>
      </w:r>
      <w:r>
        <w:t xml:space="preserve">risk-of-bias</w:t>
      </w:r>
      <w:r>
        <w:t xml:space="preserve"> </w:t>
      </w:r>
      <w:r>
        <w:t xml:space="preserve">self-assessment. Analyses used Python 3.12, scikit-learn, scipy, and matplotlib; cohorts were</w:t>
      </w:r>
      <w:r>
        <w:t xml:space="preserve"> </w:t>
      </w:r>
      <w:r>
        <w:t xml:space="preserve">derived in BigQuery SQL. All cohort SQL, model code, and result artifacts are released (§6).</w:t>
      </w:r>
    </w:p>
    <w:bookmarkEnd w:id="20"/>
    <w:bookmarkEnd w:id="21"/>
    <w:bookmarkStart w:id="31" w:name="results"/>
    <w:p>
      <w:pPr>
        <w:pStyle w:val="Heading2"/>
      </w:pPr>
      <w:r>
        <w:t xml:space="preserve">3. Results</w:t>
      </w:r>
    </w:p>
    <w:bookmarkStart w:id="22" w:name="cohorts"/>
    <w:p>
      <w:pPr>
        <w:pStyle w:val="Heading3"/>
      </w:pPr>
      <w:r>
        <w:t xml:space="preserve">3.1 Cohorts</w:t>
      </w:r>
    </w:p>
    <w:p>
      <w:pPr>
        <w:pStyle w:val="FirstParagraph"/>
      </w:pPr>
      <w:r>
        <w:t xml:space="preserve">The MIMIC-IV identification cohorts comprised</w:t>
      </w:r>
      <w:r>
        <w:t xml:space="preserve"> </w:t>
      </w:r>
      <w:r>
        <w:rPr>
          <w:b/>
          <w:bCs/>
        </w:rPr>
        <w:t xml:space="preserve">546,028 admissions</w:t>
      </w:r>
      <w:r>
        <w:t xml:space="preserve"> </w:t>
      </w:r>
      <w:r>
        <w:t xml:space="preserve">each, with natural prevalence</w:t>
      </w:r>
      <w:r>
        <w:t xml:space="preserve"> </w:t>
      </w:r>
      <w:r>
        <w:t xml:space="preserve">14.8% (HF), 15.2% (CKD), and 24.4% (any diabetes). The eICU-CRD external cohorts comprised</w:t>
      </w:r>
      <w:r>
        <w:t xml:space="preserve"> </w:t>
      </w:r>
      <w:r>
        <w:rPr>
          <w:b/>
          <w:bCs/>
        </w:rPr>
        <w:t xml:space="preserve">200,764 admissions</w:t>
      </w:r>
      <w:r>
        <w:t xml:space="preserve">, prevalence 8.5% (HF), 15.4% (CKD), and 11.7% (diabetes). The HF and</w:t>
      </w:r>
      <w:r>
        <w:t xml:space="preserve"> </w:t>
      </w:r>
      <w:r>
        <w:t xml:space="preserve">diabetes prevalence shifts between systems (notably diabetes 24.4%→11.7%) are themselves a source</w:t>
      </w:r>
      <w:r>
        <w:t xml:space="preserve"> </w:t>
      </w:r>
      <w:r>
        <w:t xml:space="preserve">of the calibration drift corrected in §3.3.</w:t>
      </w:r>
    </w:p>
    <w:bookmarkEnd w:id="22"/>
    <w:bookmarkStart w:id="23" w:name="internal-discrimination-and-calibration"/>
    <w:p>
      <w:pPr>
        <w:pStyle w:val="Heading3"/>
      </w:pPr>
      <w:r>
        <w:t xml:space="preserve">3.2 Internal discrimination and calibration</w:t>
      </w:r>
    </w:p>
    <w:p>
      <w:pPr>
        <w:pStyle w:val="FirstParagraph"/>
      </w:pPr>
      <w:r>
        <w:t xml:space="preserve">Internal performance was high and calibration near-ideal (Table 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Phenotype</w:t>
            </w:r>
          </w:p>
        </w:tc>
        <w:tc>
          <w:tcPr/>
          <w:p>
            <w:pPr>
              <w:pStyle w:val="Compact"/>
            </w:pPr>
            <w:r>
              <w:t xml:space="preserve">ROC AUC (95% CI)</w:t>
            </w:r>
          </w:p>
        </w:tc>
        <w:tc>
          <w:tcPr/>
          <w:p>
            <w:pPr>
              <w:pStyle w:val="Compact"/>
            </w:pPr>
            <w:r>
              <w:t xml:space="preserve">AUPRC</w:t>
            </w:r>
          </w:p>
        </w:tc>
        <w:tc>
          <w:tcPr/>
          <w:p>
            <w:pPr>
              <w:pStyle w:val="Compact"/>
            </w:pPr>
            <w:r>
              <w:t xml:space="preserve">Calibration slope / 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</w:pPr>
            <w:r>
              <w:t xml:space="preserve">0.907 (0.906–0.909)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1.00 / −0.01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~1.0</w:t>
            </w:r>
          </w:p>
        </w:tc>
      </w:tr>
    </w:tbl>
    <w:p>
      <w:pPr>
        <w:pStyle w:val="BodyText"/>
      </w:pPr>
      <w:r>
        <w:t xml:space="preserve">The HF figure (0.907, calibrated, 30 features + logistic regression) is competitive with a</w:t>
      </w:r>
      <w:r>
        <w:t xml:space="preserve"> </w:t>
      </w:r>
      <w:r>
        <w:t xml:space="preserve">published 200-feature deep-learning HF abstract (ROC AUC 0.93), at a fraction of the feature</w:t>
      </w:r>
      <w:r>
        <w:t xml:space="preserve"> </w:t>
      </w:r>
      <w:r>
        <w:t xml:space="preserve">budget and with explicit calibration.</w:t>
      </w:r>
    </w:p>
    <w:bookmarkEnd w:id="23"/>
    <w:bookmarkStart w:id="24" w:name="Xc907a3ed4057ed5a25d6c2c55ad038674d1bc2e"/>
    <w:p>
      <w:pPr>
        <w:pStyle w:val="Heading3"/>
      </w:pPr>
      <w:r>
        <w:t xml:space="preserve">3.3 External transportability and recalibration</w:t>
      </w:r>
    </w:p>
    <w:p>
      <w:pPr>
        <w:pStyle w:val="FirstParagraph"/>
      </w:pPr>
      <w:r>
        <w:t xml:space="preserve">Applied frozen to eICU-CRD, discrimination degraded honestly but remained useful, and calibration</w:t>
      </w:r>
      <w:r>
        <w:t xml:space="preserve"> </w:t>
      </w:r>
      <w:r>
        <w:t xml:space="preserve">— over-confident on transport — was restored to near-ideal by intercept+slope recalibration in</w:t>
      </w:r>
      <w:r>
        <w:t xml:space="preserve"> </w:t>
      </w:r>
      <w:r>
        <w:t xml:space="preserve">every condition (Table 2; Figure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Phenotype</w:t>
            </w:r>
          </w:p>
        </w:tc>
        <w:tc>
          <w:tcPr/>
          <w:p>
            <w:pPr>
              <w:pStyle w:val="Compact"/>
            </w:pPr>
            <w:r>
              <w:t xml:space="preserve">Internal AUROC</w:t>
            </w:r>
          </w:p>
        </w:tc>
        <w:tc>
          <w:tcPr/>
          <w:p>
            <w:pPr>
              <w:pStyle w:val="Compact"/>
            </w:pPr>
            <w:r>
              <w:t xml:space="preserve">External AUROC (95% CI)</w:t>
            </w:r>
          </w:p>
        </w:tc>
        <w:tc>
          <w:tcPr/>
          <w:p>
            <w:pPr>
              <w:pStyle w:val="Compact"/>
            </w:pPr>
            <w:r>
              <w:t xml:space="preserve">Ext. calibration slope (frozen → recalibrated)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0.758 (0.754–0.761)</w:t>
            </w:r>
          </w:p>
        </w:tc>
        <w:tc>
          <w:tcPr/>
          <w:p>
            <w:pPr>
              <w:pStyle w:val="Compact"/>
            </w:pPr>
            <w:r>
              <w:t xml:space="preserve">0.56 → 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0.840 (0.838–0.843)</w:t>
            </w:r>
          </w:p>
        </w:tc>
        <w:tc>
          <w:tcPr/>
          <w:p>
            <w:pPr>
              <w:pStyle w:val="Compact"/>
            </w:pPr>
            <w:r>
              <w:t xml:space="preserve">0.38 → 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0.761 (0.758–0.764)</w:t>
            </w:r>
          </w:p>
        </w:tc>
        <w:tc>
          <w:tcPr/>
          <w:p>
            <w:pPr>
              <w:pStyle w:val="Compact"/>
            </w:pPr>
            <w:r>
              <w:t xml:space="preserve">0.38 → 1.01</w:t>
            </w:r>
          </w:p>
        </w:tc>
      </w:tr>
    </w:tbl>
    <w:p>
      <w:pPr>
        <w:pStyle w:val="BodyText"/>
      </w:pPr>
      <w:r>
        <w:t xml:space="preserve">Two transportability findings are consistent across phenotypes. (1)</w:t>
      </w:r>
      <w:r>
        <w:t xml:space="preserve"> </w:t>
      </w:r>
      <w:r>
        <w:rPr>
          <w:b/>
          <w:bCs/>
        </w:rPr>
        <w:t xml:space="preserve">Discrimination drops</w:t>
      </w:r>
      <w:r>
        <w:t xml:space="preserve"> </w:t>
      </w:r>
      <w:r>
        <w:t xml:space="preserve">by a</w:t>
      </w:r>
      <w:r>
        <w:t xml:space="preserve"> </w:t>
      </w:r>
      <w:r>
        <w:t xml:space="preserve">real, reportable margin (0.10–0.17 AUROC) across health systems, with</w:t>
      </w:r>
      <w:r>
        <w:t xml:space="preserve"> </w:t>
      </w:r>
      <w:r>
        <w:rPr>
          <w:b/>
          <w:bCs/>
        </w:rPr>
        <w:t xml:space="preserve">CKD transporting best</w:t>
      </w:r>
      <w:r>
        <w:t xml:space="preserve"> </w:t>
      </w:r>
      <w:r>
        <w:t xml:space="preserve">(0.840) — the phenotype most anchored to an objective, well-measured laboratory (creatinine).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Calibration drifts but is rescued by two parameters</w:t>
      </w:r>
      <w:r>
        <w:t xml:space="preserve">: intercept-only correction is</w:t>
      </w:r>
      <w:r>
        <w:t xml:space="preserve"> </w:t>
      </w:r>
      <w:r>
        <w:t xml:space="preserve">insufficient (the slope, not just the level, is wrong); intercept+slope recalibration returns the</w:t>
      </w:r>
      <w:r>
        <w:t xml:space="preserve"> </w:t>
      </w:r>
      <w:r>
        <w:t xml:space="preserve">slope to 0.98–1.01. AUROC is unchanged by recalibration, as expected.</w:t>
      </w:r>
    </w:p>
    <w:p>
      <w:pPr>
        <w:pStyle w:val="BodyText"/>
      </w:pPr>
      <w:r>
        <w:t xml:space="preserve">Two harmonization fixes were required to make the transport test</w:t>
      </w:r>
      <w:r>
        <w:t xml:space="preserve"> </w:t>
      </w:r>
      <w:r>
        <w:rPr>
          <w:i/>
          <w:iCs/>
        </w:rPr>
        <w:t xml:space="preserve">fair</w:t>
      </w:r>
      <w:r>
        <w:t xml:space="preserve"> </w:t>
      </w:r>
      <w:r>
        <w:t xml:space="preserve">rather than artefactually</w:t>
      </w:r>
      <w:r>
        <w:t xml:space="preserve"> </w:t>
      </w:r>
      <w:r>
        <w:t xml:space="preserve">low (and raised HF transport from 0.717 to 0.758): adding eICU</w:t>
      </w:r>
      <w:r>
        <w:t xml:space="preserve"> </w:t>
      </w:r>
      <w:r>
        <w:rPr>
          <w:rStyle w:val="VerbatimChar"/>
        </w:rPr>
        <w:t xml:space="preserve">pasthistory</w:t>
      </w:r>
      <w:r>
        <w:t xml:space="preserve"> </w:t>
      </w:r>
      <w:r>
        <w:t xml:space="preserve">to comorbidity</w:t>
      </w:r>
      <w:r>
        <w:t xml:space="preserve"> </w:t>
      </w:r>
      <w:r>
        <w:t xml:space="preserve">capture, and aligning the development and external cohorts to the identical per-admission</w:t>
      </w:r>
      <w:r>
        <w:t xml:space="preserve"> </w:t>
      </w:r>
      <w:r>
        <w:t xml:space="preserve">all-comers definition. Lab/vital units were verified identical.</w:t>
      </w:r>
    </w:p>
    <w:bookmarkEnd w:id="24"/>
    <w:bookmarkStart w:id="25" w:name="leakage-decay-ablation"/>
    <w:p>
      <w:pPr>
        <w:pStyle w:val="Heading3"/>
      </w:pPr>
      <w:r>
        <w:t xml:space="preserve">3.4 Leakage-decay ablation</w:t>
      </w:r>
    </w:p>
    <w:p>
      <w:pPr>
        <w:pStyle w:val="FirstParagraph"/>
      </w:pPr>
      <w:r>
        <w:t xml:space="preserve">Sliding the feature window back from the index admission isolated the outcome-proximal signal</w:t>
      </w:r>
      <w:r>
        <w:t xml:space="preserve"> </w:t>
      </w:r>
      <w:r>
        <w:t xml:space="preserve">(Table 3; Figures 2a–c):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Phenotype</w:t>
            </w:r>
          </w:p>
        </w:tc>
        <w:tc>
          <w:tcPr/>
          <w:p>
            <w:pPr>
              <w:pStyle w:val="Compact"/>
            </w:pPr>
            <w:r>
              <w:t xml:space="preserve">Concurrent (0 d)</w:t>
            </w:r>
          </w:p>
        </w:tc>
        <w:tc>
          <w:tcPr/>
          <w:p>
            <w:pPr>
              <w:pStyle w:val="Compact"/>
            </w:pPr>
            <w:r>
              <w:t xml:space="preserve">≥30 d</w:t>
            </w:r>
          </w:p>
        </w:tc>
        <w:tc>
          <w:tcPr/>
          <w:p>
            <w:pPr>
              <w:pStyle w:val="Compact"/>
            </w:pPr>
            <w:r>
              <w:t xml:space="preserve">≥90 d</w:t>
            </w:r>
          </w:p>
        </w:tc>
        <w:tc>
          <w:tcPr/>
          <w:p>
            <w:pPr>
              <w:pStyle w:val="Compact"/>
            </w:pPr>
            <w:r>
              <w:t xml:space="preserve">≥180 d</w:t>
            </w:r>
          </w:p>
        </w:tc>
        <w:tc>
          <w:tcPr/>
          <w:p>
            <w:pPr>
              <w:pStyle w:val="Compact"/>
            </w:pPr>
            <w:r>
              <w:t xml:space="preserve">Concurrent→180 d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0.076 (9%)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0.066 (7%)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0.732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  <w:tc>
          <w:tcPr/>
          <w:p>
            <w:pPr>
              <w:pStyle w:val="Compact"/>
            </w:pPr>
            <w:r>
              <w:t xml:space="preserve">0.139 (16%)</w:t>
            </w:r>
          </w:p>
        </w:tc>
      </w:tr>
    </w:tbl>
    <w:p>
      <w:pPr>
        <w:pStyle w:val="BodyText"/>
      </w:pPr>
      <w:r>
        <w:t xml:space="preserve">In every phenotype the drop is</w:t>
      </w:r>
      <w:r>
        <w:t xml:space="preserve"> </w:t>
      </w:r>
      <w:r>
        <w:rPr>
          <w:b/>
          <w:bCs/>
        </w:rPr>
        <w:t xml:space="preserve">concentrated at the index admission and then plateaus</w:t>
      </w:r>
      <w:r>
        <w:t xml:space="preserve">:</w:t>
      </w:r>
      <w:r>
        <w:t xml:space="preserve"> </w:t>
      </w:r>
      <w:r>
        <w:t xml:space="preserve">genuine pre-onset detection is a stable, well-calibrated AUROC (~0.81 HF, ~0.84 CKD, ~0.72</w:t>
      </w:r>
      <w:r>
        <w:t xml:space="preserve"> </w:t>
      </w:r>
      <w:r>
        <w:t xml:space="preserve">diabetes). Diabetes shows the largest leakage (16%), consistent with serum glucose at the</w:t>
      </w:r>
      <w:r>
        <w:t xml:space="preserve"> </w:t>
      </w:r>
      <w:r>
        <w:t xml:space="preserve">diagnosing admission being highly outcome-proximal; HF and CKD leak less because chronic</w:t>
      </w:r>
      <w:r>
        <w:t xml:space="preserve"> </w:t>
      </w:r>
      <w:r>
        <w:t xml:space="preserve">structural and renal features persist before onset. A fixed-cohort HF re-analysis (same patients</w:t>
      </w:r>
      <w:r>
        <w:t xml:space="preserve"> </w:t>
      </w:r>
      <w:r>
        <w:t xml:space="preserve">evaluated at every cutoff) reproduced the decay (0.883→0.808), confirming the drop is</w:t>
      </w:r>
      <w:r>
        <w:t xml:space="preserve"> </w:t>
      </w:r>
      <w:r>
        <w:rPr>
          <w:b/>
          <w:bCs/>
        </w:rPr>
        <w:t xml:space="preserve">feature</w:t>
      </w:r>
      <w:r>
        <w:rPr>
          <w:b/>
          <w:bCs/>
        </w:rPr>
        <w:t xml:space="preserve"> </w:t>
      </w:r>
      <w:r>
        <w:rPr>
          <w:b/>
          <w:bCs/>
        </w:rPr>
        <w:t xml:space="preserve">timing, not cohort composition</w:t>
      </w:r>
      <w:r>
        <w:t xml:space="preserve">. Calibration slope remained ~1.0 at every time point.</w:t>
      </w:r>
    </w:p>
    <w:bookmarkEnd w:id="25"/>
    <w:bookmarkStart w:id="26" w:name="decision-curve-analysis-1"/>
    <w:p>
      <w:pPr>
        <w:pStyle w:val="Heading3"/>
      </w:pPr>
      <w:r>
        <w:t xml:space="preserve">3.5 Decision-curve analysis</w:t>
      </w:r>
    </w:p>
    <w:p>
      <w:pPr>
        <w:pStyle w:val="FirstParagraph"/>
      </w:pPr>
      <w:r>
        <w:t xml:space="preserve">Both concurrent and pre-onset models delivered</w:t>
      </w:r>
      <w:r>
        <w:t xml:space="preserve"> </w:t>
      </w:r>
      <w:r>
        <w:rPr>
          <w:b/>
          <w:bCs/>
        </w:rPr>
        <w:t xml:space="preserve">positive net benefit across the clinically</w:t>
      </w:r>
      <w:r>
        <w:rPr>
          <w:b/>
          <w:bCs/>
        </w:rPr>
        <w:t xml:space="preserve"> </w:t>
      </w:r>
      <w:r>
        <w:rPr>
          <w:b/>
          <w:bCs/>
        </w:rPr>
        <w:t xml:space="preserve">relevant threshold range</w:t>
      </w:r>
      <w:r>
        <w:t xml:space="preserve"> </w:t>
      </w:r>
      <w:r>
        <w:t xml:space="preserve">and exceeded treat-all and treat-none (Figures 3a–c). For HF at a 0.20</w:t>
      </w:r>
      <w:r>
        <w:t xml:space="preserve"> </w:t>
      </w:r>
      <w:r>
        <w:t xml:space="preserve">threshold, net benefit was 0.071 (concurrent) and 0.045 (pre-onset) versus −0.072 for treat-all;</w:t>
      </w:r>
      <w:r>
        <w:t xml:space="preserve"> </w:t>
      </w:r>
      <w:r>
        <w:t xml:space="preserve">the pre-onset model retained clinical utility after removal of the leaky concurrent features.</w:t>
      </w:r>
      <w:r>
        <w:t xml:space="preserve"> </w:t>
      </w:r>
      <w:r>
        <w:t xml:space="preserve">CKD and diabetes showed the same qualitative pattern.</w:t>
      </w:r>
    </w:p>
    <w:bookmarkEnd w:id="26"/>
    <w:bookmarkStart w:id="27" w:name="tool-reproduction-accessibility"/>
    <w:p>
      <w:pPr>
        <w:pStyle w:val="Heading3"/>
      </w:pPr>
      <w:r>
        <w:t xml:space="preserve">3.6 Tool reproduction (accessibility)</w:t>
      </w:r>
    </w:p>
    <w:p>
      <w:pPr>
        <w:pStyle w:val="FirstParagraph"/>
      </w:pPr>
      <w:r>
        <w:t xml:space="preserve">Built through the no-code i2b2-ML JSON API (</w:t>
      </w:r>
      <w:r>
        <w:rPr>
          <w:rStyle w:val="VerbatimChar"/>
        </w:rPr>
        <w:t xml:space="preserve">jobType:ml</w:t>
      </w:r>
      <w:r>
        <w:t xml:space="preserve">; HTTP 200; serialized model returned),</w:t>
      </w:r>
      <w:r>
        <w:t xml:space="preserve"> </w:t>
      </w:r>
      <w:r>
        <w:t xml:space="preserve">discrimination reproduced the bespoke harness to within ≤0.011 AUROC:</w:t>
      </w:r>
      <w:r>
        <w:t xml:space="preserve"> </w:t>
      </w:r>
      <w:r>
        <w:rPr>
          <w:b/>
          <w:bCs/>
        </w:rPr>
        <w:t xml:space="preserve">HF 0.914, CKD 0.946,</w:t>
      </w:r>
      <w:r>
        <w:rPr>
          <w:b/>
          <w:bCs/>
        </w:rPr>
        <w:t xml:space="preserve"> </w:t>
      </w:r>
      <w:r>
        <w:rPr>
          <w:b/>
          <w:bCs/>
        </w:rPr>
        <w:t xml:space="preserve">diabetes 0.931</w:t>
      </w:r>
      <w:r>
        <w:t xml:space="preserve">, versus harness identification 0.907 / 0.935 / 0.933 (Table 4). The tool’s</w:t>
      </w:r>
      <w:r>
        <w:t xml:space="preserve"> </w:t>
      </w:r>
      <w:r>
        <w:t xml:space="preserve">builds use the plugin’s balanced sampling (n=2,400, 800 positive / 1,600 negative). To confirm</w:t>
      </w:r>
      <w:r>
        <w:t xml:space="preserve"> </w:t>
      </w:r>
      <w:r>
        <w:t xml:space="preserve">that this sampling — not a genuinely different model — explains the tool’s marginally higher</w:t>
      </w:r>
      <w:r>
        <w:t xml:space="preserve"> </w:t>
      </w:r>
      <w:r>
        <w:t xml:space="preserve">numbers, we trained the harness on an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800/1,600 balanced HF sample and obtained ROC</w:t>
      </w:r>
      <w:r>
        <w:t xml:space="preserve"> </w:t>
      </w:r>
      <w:r>
        <w:t xml:space="preserve">AUC</w:t>
      </w:r>
      <w:r>
        <w:t xml:space="preserve"> </w:t>
      </w:r>
      <w:r>
        <w:rPr>
          <w:b/>
          <w:bCs/>
        </w:rPr>
        <w:t xml:space="preserve">0.902</w:t>
      </w:r>
      <w:r>
        <w:t xml:space="preserve">, essentially equal to the full natural-prevalence 0.907 and the tool’s 0.914. The</w:t>
      </w:r>
      <w:r>
        <w:t xml:space="preserve"> </w:t>
      </w:r>
      <w:r>
        <w:t xml:space="preserve">balanced sampling therefore does not inflate discrimination, and the central point stands —</w:t>
      </w:r>
      <w:r>
        <w:t xml:space="preserve"> </w:t>
      </w:r>
      <w:r>
        <w:rPr>
          <w:i/>
          <w:iCs/>
        </w:rPr>
        <w:t xml:space="preserve">a non-ML researcher driving the tool reproduces the modelling result</w:t>
      </w:r>
      <w:r>
        <w:t xml:space="preserve">. The supplementary capability map details the division of labour: the tool fits and serves</w:t>
      </w:r>
      <w:r>
        <w:t xml:space="preserve"> </w:t>
      </w:r>
      <w:r>
        <w:t xml:space="preserve">the model; the harness supplies cohort alignment, external validation, recalibration, the ablation,</w:t>
      </w:r>
      <w:r>
        <w:t xml:space="preserve"> </w:t>
      </w:r>
      <w:r>
        <w:t xml:space="preserve">DCA, and TRIPOD+AI reporting.</w:t>
      </w:r>
    </w:p>
    <w:bookmarkEnd w:id="27"/>
    <w:bookmarkStart w:id="28" w:name="guideline-variable-reference-comparator"/>
    <w:p>
      <w:pPr>
        <w:pStyle w:val="Heading3"/>
      </w:pPr>
      <w:r>
        <w:t xml:space="preserve">3.7 Guideline-variable reference comparator</w:t>
      </w:r>
    </w:p>
    <w:p>
      <w:pPr>
        <w:pStyle w:val="FirstParagraph"/>
      </w:pPr>
      <w:r>
        <w:t xml:space="preserve">A guideline-variable reference model — the eight established cardiometabolic risk factors available</w:t>
      </w:r>
      <w:r>
        <w:t xml:space="preserve"> </w:t>
      </w:r>
      <w:r>
        <w:t xml:space="preserve">in the CDW (age, sex, systolic blood pressure, antihypertensive treatment, diabetes, smoking, BMI,</w:t>
      </w:r>
      <w:r>
        <w:t xml:space="preserve"> </w:t>
      </w:r>
      <w:r>
        <w:t xml:space="preserve">and a race-free CKD-EPI 2021 eGFR derived from serum creatinine) — reached internal ROC AUC</w:t>
      </w:r>
      <w:r>
        <w:t xml:space="preserve"> </w:t>
      </w:r>
      <w:r>
        <w:rPr>
          <w:b/>
          <w:bCs/>
        </w:rPr>
        <w:t xml:space="preserve">0.860</w:t>
      </w:r>
      <w:r>
        <w:rPr>
          <w:b/>
          <w:bCs/>
        </w:rPr>
        <w:t xml:space="preserve"> </w:t>
      </w:r>
      <w:r>
        <w:rPr>
          <w:b/>
          <w:bCs/>
        </w:rPr>
        <w:t xml:space="preserve">(95% CI 0.858–0.863)</w:t>
      </w:r>
      <w:r>
        <w:t xml:space="preserve">, calibrated (slope 1.00), versus</w:t>
      </w:r>
      <w:r>
        <w:t xml:space="preserve"> </w:t>
      </w:r>
      <w:r>
        <w:rPr>
          <w:b/>
          <w:bCs/>
        </w:rPr>
        <w:t xml:space="preserve">0.907</w:t>
      </w:r>
      <w:r>
        <w:t xml:space="preserve"> </w:t>
      </w:r>
      <w:r>
        <w:t xml:space="preserve">for the full 30-feature CDW model</w:t>
      </w:r>
      <w:r>
        <w:t xml:space="preserve"> </w:t>
      </w:r>
      <w:r>
        <w:t xml:space="preserve">on the same HF identification hold-out. On decision-curve analysis the</w:t>
      </w:r>
      <w:r>
        <w:t xml:space="preserve"> </w:t>
      </w:r>
      <w:r>
        <w:rPr>
          <w:b/>
          <w:bCs/>
        </w:rPr>
        <w:t xml:space="preserve">full model dominated the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model at every threshold</w:t>
      </w:r>
      <w:r>
        <w:t xml:space="preserve"> </w:t>
      </w:r>
      <w:r>
        <w:t xml:space="preserve">(Figure 3d; net benefit at 0.10/0.20/0.30 thresholds: full</w:t>
      </w:r>
      <w:r>
        <w:t xml:space="preserve"> </w:t>
      </w:r>
      <w:r>
        <w:t xml:space="preserve">0.109/0.084/0.065 vs reference 0.099/0.066/0.042, both above treat-all 0.053/−0.066/−0.218). The</w:t>
      </w:r>
      <w:r>
        <w:t xml:space="preserve"> </w:t>
      </w:r>
      <w:r>
        <w:t xml:space="preserve">full CDW feature set therefore adds both discrimination (+0.047 AUROC) and clinical net benefit</w:t>
      </w:r>
      <w:r>
        <w:t xml:space="preserve"> </w:t>
      </w:r>
      <w:r>
        <w:t xml:space="preserve">over an established-risk-factor baseline — the marginal value of the broader laboratory panel the</w:t>
      </w:r>
      <w:r>
        <w:t xml:space="preserve"> </w:t>
      </w:r>
      <w:r>
        <w:t xml:space="preserve">tool makes accessible.</w:t>
      </w:r>
    </w:p>
    <w:bookmarkEnd w:id="28"/>
    <w:bookmarkStart w:id="29" w:name="strict-type-2-diabetes-sensitivity"/>
    <w:p>
      <w:pPr>
        <w:pStyle w:val="Heading3"/>
      </w:pPr>
      <w:r>
        <w:t xml:space="preserve">3.8 Strict type-2 diabetes sensitivity</w:t>
      </w:r>
    </w:p>
    <w:p>
      <w:pPr>
        <w:pStyle w:val="FirstParagraph"/>
      </w:pPr>
      <w:r>
        <w:t xml:space="preserve">Restricting the diabetes label to</w:t>
      </w:r>
      <w:r>
        <w:t xml:space="preserve"> </w:t>
      </w:r>
      <w:r>
        <w:rPr>
          <w:b/>
          <w:bCs/>
        </w:rPr>
        <w:t xml:space="preserve">strict type-2</w:t>
      </w:r>
      <w:r>
        <w:t xml:space="preserve"> </w:t>
      </w:r>
      <w:r>
        <w:t xml:space="preserve">(ICD-10</w:t>
      </w:r>
      <w:r>
        <w:t xml:space="preserve"> </w:t>
      </w:r>
      <w:r>
        <w:rPr>
          <w:rStyle w:val="VerbatimChar"/>
        </w:rPr>
        <w:t xml:space="preserve">E11</w:t>
      </w:r>
      <w:r>
        <w:t xml:space="preserve"> </w:t>
      </w:r>
      <w:r>
        <w:t xml:space="preserve">only; ICD-9</w:t>
      </w:r>
      <w:r>
        <w:t xml:space="preserve"> </w:t>
      </w:r>
      <w:r>
        <w:rPr>
          <w:rStyle w:val="VerbatimChar"/>
        </w:rPr>
        <w:t xml:space="preserve">250.x0/250.x2</w:t>
      </w:r>
      <w:r>
        <w:t xml:space="preserve">)</w:t>
      </w:r>
      <w:r>
        <w:t xml:space="preserve"> </w:t>
      </w:r>
      <w:r>
        <w:t xml:space="preserve">rather than any-diabetes had only a small effect on discrimination: internal ROC AUC</w:t>
      </w:r>
      <w:r>
        <w:t xml:space="preserve"> </w:t>
      </w:r>
      <w:r>
        <w:rPr>
          <w:b/>
          <w:bCs/>
        </w:rPr>
        <w:t xml:space="preserve">0.919</w:t>
      </w:r>
      <w:r>
        <w:rPr>
          <w:b/>
          <w:bCs/>
        </w:rPr>
        <w:t xml:space="preserve"> </w:t>
      </w:r>
      <w:r>
        <w:rPr>
          <w:b/>
          <w:bCs/>
        </w:rPr>
        <w:t xml:space="preserve">(95% CI 0.918–0.921)</w:t>
      </w:r>
      <w:r>
        <w:t xml:space="preserve"> </w:t>
      </w:r>
      <w:r>
        <w:t xml:space="preserve">at 22.4% prevalence, versus</w:t>
      </w:r>
      <w:r>
        <w:t xml:space="preserve"> </w:t>
      </w:r>
      <w:r>
        <w:rPr>
          <w:b/>
          <w:bCs/>
        </w:rPr>
        <w:t xml:space="preserve">0.933</w:t>
      </w:r>
      <w:r>
        <w:t xml:space="preserve"> </w:t>
      </w:r>
      <w:r>
        <w:t xml:space="preserve">for any-diabetes at 24.4% prevalence,</w:t>
      </w:r>
      <w:r>
        <w:t xml:space="preserve"> </w:t>
      </w:r>
      <w:r>
        <w:t xml:space="preserve">with calibration unchanged (slope 0.99). The 0.014 AUROC reduction is consistent with strict</w:t>
      </w:r>
      <w:r>
        <w:t xml:space="preserve"> </w:t>
      </w:r>
      <w:r>
        <w:t xml:space="preserve">type-2 being a slightly harder, lower-prevalence target; the model remains strong and</w:t>
      </w:r>
      <w:r>
        <w:t xml:space="preserve"> </w:t>
      </w:r>
      <w:r>
        <w:t xml:space="preserve">well-calibrated under the more specific label. (Re-running the any-diabetes identification with the</w:t>
      </w:r>
      <w:r>
        <w:t xml:space="preserve"> </w:t>
      </w:r>
      <w:r>
        <w:t xml:space="preserve">same internal-holdout code reproduced 0.933 exactly — 0.9329 — confirming the harness and the tool</w:t>
      </w:r>
      <w:r>
        <w:t xml:space="preserve"> </w:t>
      </w:r>
      <w:r>
        <w:t xml:space="preserve">share the headline number.) External validation was kept on the any-diabetes label for clean</w:t>
      </w:r>
      <w:r>
        <w:t xml:space="preserve"> </w:t>
      </w:r>
      <w:r>
        <w:t xml:space="preserve">MIMIC↔eICU harmonization, a deliberate choice noted in §4.</w:t>
      </w:r>
    </w:p>
    <w:bookmarkEnd w:id="29"/>
    <w:bookmarkStart w:id="30" w:name="subgroup-performance-fairness"/>
    <w:p>
      <w:pPr>
        <w:pStyle w:val="Heading3"/>
      </w:pPr>
      <w:r>
        <w:t xml:space="preserve">3.9 Subgroup performance (fairness)</w:t>
      </w:r>
    </w:p>
    <w:p>
      <w:pPr>
        <w:pStyle w:val="FirstParagraph"/>
      </w:pPr>
      <w:r>
        <w:t xml:space="preserve">Discrimination and calibration within prespecified subgroups (Table 5) were stable across sex but</w:t>
      </w:r>
      <w:r>
        <w:t xml:space="preserve"> </w:t>
      </w:r>
      <w:r>
        <w:rPr>
          <w:b/>
          <w:bCs/>
        </w:rPr>
        <w:t xml:space="preserve">lower in older patients</w:t>
      </w:r>
      <w:r>
        <w:t xml:space="preserve"> </w:t>
      </w:r>
      <w:r>
        <w:t xml:space="preserve">for the cardiorenal phenotypes: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Phenotype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Age &lt;65</w:t>
            </w:r>
          </w:p>
        </w:tc>
        <w:tc>
          <w:tcPr/>
          <w:p>
            <w:pPr>
              <w:pStyle w:val="Compact"/>
            </w:pPr>
            <w:r>
              <w:t xml:space="preserve">Age ≥65</w:t>
            </w:r>
          </w:p>
        </w:tc>
        <w:tc>
          <w:tcPr/>
          <w:p>
            <w:pPr>
              <w:pStyle w:val="Compact"/>
            </w:pPr>
            <w:r>
              <w:t xml:space="preserve">Largest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</w:tr>
    </w:tbl>
    <w:p>
      <w:pPr>
        <w:pStyle w:val="BodyText"/>
      </w:pPr>
      <w:r>
        <w:t xml:space="preserve">Calibration slope stayed near 1.0 in every subgroup. The age gap is expected and clinically</w:t>
      </w:r>
      <w:r>
        <w:t xml:space="preserve"> </w:t>
      </w:r>
      <w:r>
        <w:t xml:space="preserve">interpretable: in patients ≥65 the phenotypes are both more prevalent (HF 26% vs 8%) and more</w:t>
      </w:r>
      <w:r>
        <w:t xml:space="preserve"> </w:t>
      </w:r>
      <w:r>
        <w:t xml:space="preserve">diffuse — comorbidity and polypharmacy compress the feature contrast between cases and non-cases —</w:t>
      </w:r>
      <w:r>
        <w:t xml:space="preserve"> </w:t>
      </w:r>
      <w:r>
        <w:t xml:space="preserve">so the headline AUROC is partly buoyed by sharper separation in younger patients. We report this</w:t>
      </w:r>
      <w:r>
        <w:t xml:space="preserve"> </w:t>
      </w:r>
      <w:r>
        <w:t xml:space="preserve">transparently rather than only the pooled number; it is a target for age-stratified modelling (§5).</w:t>
      </w:r>
    </w:p>
    <w:bookmarkEnd w:id="30"/>
    <w:bookmarkEnd w:id="31"/>
    <w:bookmarkStart w:id="32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Principal findings.</w:t>
      </w:r>
      <w:r>
        <w:t xml:space="preserve"> </w:t>
      </w:r>
      <w:r>
        <w:t xml:space="preserve">Calibrated, externally validated identification models for HF, CKD, and</w:t>
      </w:r>
      <w:r>
        <w:t xml:space="preserve"> </w:t>
      </w:r>
      <w:r>
        <w:t xml:space="preserve">diabetes can be built natively from a CDW. Internally they are strong and near-perfectly</w:t>
      </w:r>
      <w:r>
        <w:t xml:space="preserve"> </w:t>
      </w:r>
      <w:r>
        <w:t xml:space="preserve">calibrated (0.907–0.935); applied frozen to 208 other hospitals they degrade honestly (0.758–0.840)</w:t>
      </w:r>
      <w:r>
        <w:t xml:space="preserve"> </w:t>
      </w:r>
      <w:r>
        <w:t xml:space="preserve">but, after a two-parameter recalibration, are well-calibrated everywhere. The model-fitting step</w:t>
      </w:r>
      <w:r>
        <w:t xml:space="preserve"> </w:t>
      </w:r>
      <w:r>
        <w:t xml:space="preserve">is reproducible by a no-code tool, so the rigor demonstrated here does not depend on specialised ML</w:t>
      </w:r>
      <w:r>
        <w:t xml:space="preserve"> </w:t>
      </w:r>
      <w:r>
        <w:t xml:space="preserve">skills.</w:t>
      </w:r>
    </w:p>
    <w:p>
      <w:pPr>
        <w:pStyle w:val="BodyText"/>
      </w:pPr>
      <w:r>
        <w:rPr>
          <w:b/>
          <w:bCs/>
        </w:rPr>
        <w:t xml:space="preserve">What transports.</w:t>
      </w:r>
      <w:r>
        <w:t xml:space="preserve"> </w:t>
      </w:r>
      <w:r>
        <w:t xml:space="preserve">CKD transported best and diabetes/HF less well. The pattern tracks how</w:t>
      </w:r>
      <w:r>
        <w:t xml:space="preserve"> </w:t>
      </w:r>
      <w:r>
        <w:t xml:space="preserve">objective the phenotype’s defining signal is: creatinine is measured near-universally and</w:t>
      </w:r>
      <w:r>
        <w:t xml:space="preserve"> </w:t>
      </w:r>
      <w:r>
        <w:t xml:space="preserve">identically across systems, whereas HF and (any-)diabetes lean more on provider-entered diagnosis</w:t>
      </w:r>
      <w:r>
        <w:t xml:space="preserve"> </w:t>
      </w:r>
      <w:r>
        <w:t xml:space="preserve">and prescribing patterns that differ between hospitals. This supports our secondary hypothesis —</w:t>
      </w:r>
      <w:r>
        <w:t xml:space="preserve"> </w:t>
      </w:r>
      <w:r>
        <w:rPr>
          <w:b/>
          <w:bCs/>
        </w:rPr>
        <w:t xml:space="preserve">laboratory features transport better than diagnosis codes</w:t>
      </w:r>
      <w:r>
        <w:t xml:space="preserve"> </w:t>
      </w:r>
      <w:r>
        <w:t xml:space="preserve">— and is actionable: portable CDW</w:t>
      </w:r>
      <w:r>
        <w:t xml:space="preserve"> </w:t>
      </w:r>
      <w:r>
        <w:t xml:space="preserve">models should be anchored on objective measurements where possible.</w:t>
      </w:r>
    </w:p>
    <w:p>
      <w:pPr>
        <w:pStyle w:val="BodyText"/>
      </w:pPr>
      <w:r>
        <w:rPr>
          <w:b/>
          <w:bCs/>
        </w:rPr>
        <w:t xml:space="preserve">The leakage finding.</w:t>
      </w:r>
      <w:r>
        <w:t xml:space="preserve"> </w:t>
      </w:r>
      <w:r>
        <w:t xml:space="preserve">Quantifying the concurrent→pre-onset AUROC drop (7–16%) is itself a</w:t>
      </w:r>
      <w:r>
        <w:t xml:space="preserve"> </w:t>
      </w:r>
      <w:r>
        <w:t xml:space="preserve">methodological result. It separates the inflated identification number (legitimate for the</w:t>
      </w:r>
      <w:r>
        <w:t xml:space="preserve"> </w:t>
      </w:r>
      <w:r>
        <w:t xml:space="preserve">identification task) from the honest early-detection number, and shows the latter is stable and</w:t>
      </w:r>
      <w:r>
        <w:t xml:space="preserve"> </w:t>
      </w:r>
      <w:r>
        <w:t xml:space="preserve">calibrated. Reporting both, connected by the ablation, is more defensible than either alone — and</w:t>
      </w:r>
      <w:r>
        <w:t xml:space="preserve"> </w:t>
      </w:r>
      <w:r>
        <w:t xml:space="preserve">the diabetes case (16% leakage) is a concrete caution against reading a concurrent AUROC as an</w:t>
      </w:r>
      <w:r>
        <w:t xml:space="preserve"> </w:t>
      </w:r>
      <w:r>
        <w:t xml:space="preserve">early-warning capability.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The tool reproduction makes the practical claim concrete: the step that</w:t>
      </w:r>
      <w:r>
        <w:t xml:space="preserve"> </w:t>
      </w:r>
      <w:r>
        <w:t xml:space="preserve">previously required an ML engineer (fitting and serving a calibrated model from a CDW) can be done</w:t>
      </w:r>
      <w:r>
        <w:t xml:space="preserve"> </w:t>
      </w:r>
      <w:r>
        <w:t xml:space="preserve">through a JSON API by someone who is not an ML specialist, while the surrounding study design —</w:t>
      </w:r>
      <w:r>
        <w:t xml:space="preserve"> </w:t>
      </w:r>
      <w:r>
        <w:t xml:space="preserve">which is phenotype-agnostic and reusable — supplies the external-validity discipline reviewers</w:t>
      </w:r>
      <w:r>
        <w:t xml:space="preserve"> </w:t>
      </w:r>
      <w:r>
        <w:t xml:space="preserve">require. This lowers the barrier to rigorous phenotype modelling without lowering the bar on rigor.</w:t>
      </w:r>
    </w:p>
    <w:p>
      <w:pPr>
        <w:pStyle w:val="BodyText"/>
      </w:pPr>
      <w:r>
        <w:rPr>
          <w:b/>
          <w:bCs/>
        </w:rPr>
        <w:t xml:space="preserve">Comparison with literature.</w:t>
      </w:r>
      <w:r>
        <w:t xml:space="preserve"> </w:t>
      </w:r>
      <w:r>
        <w:t xml:space="preserve">Our internal HF discrimination (0.907) matches deep-learning HF</w:t>
      </w:r>
      <w:r>
        <w:t xml:space="preserve"> </w:t>
      </w:r>
      <w:r>
        <w:t xml:space="preserve">models that use far more features, but unlike most such reports we add external validation across</w:t>
      </w:r>
      <w:r>
        <w:t xml:space="preserve"> </w:t>
      </w:r>
      <w:r>
        <w:t xml:space="preserve">hundreds of hospitals, explicit calibration and recalibration, an ablation, and DCA — the elements</w:t>
      </w:r>
      <w:r>
        <w:t xml:space="preserve"> </w:t>
      </w:r>
      <w:r>
        <w:t xml:space="preserve">TRIPOD+AI and PROBAST require and that single-center model papers commonly omit.</w:t>
      </w:r>
    </w:p>
    <w:bookmarkEnd w:id="32"/>
    <w:bookmarkStart w:id="33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ICU-derived sources.</w:t>
      </w:r>
      <w:r>
        <w:t xml:space="preserve"> </w:t>
      </w:r>
      <w:r>
        <w:t xml:space="preserve">Both MIMIC-IV and eICU-CRD are critical-care databases; case mix and</w:t>
      </w:r>
      <w:r>
        <w:t xml:space="preserve"> </w:t>
      </w:r>
      <w:r>
        <w:t xml:space="preserve">prevalence differ from general inpatient or ambulatory populations, so absolute risks and</w:t>
      </w:r>
      <w:r>
        <w:t xml:space="preserve"> </w:t>
      </w:r>
      <w:r>
        <w:t xml:space="preserve">transport estimates may not generalise outside the ICU.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Silver-standard labels.</w:t>
      </w:r>
      <w:r>
        <w:t xml:space="preserve"> </w:t>
      </w:r>
      <w:r>
        <w:t xml:space="preserve">Outcomes are ICD-code-derived, not chart-adjudicated; coding</w:t>
      </w:r>
      <w:r>
        <w:t xml:space="preserve"> </w:t>
      </w:r>
      <w:r>
        <w:t xml:space="preserve">practices vary, and eICU codes required</w:t>
      </w:r>
      <w:r>
        <w:t xml:space="preserve"> </w:t>
      </w:r>
      <w:r>
        <w:rPr>
          <w:rStyle w:val="VerbatimChar"/>
        </w:rPr>
        <w:t xml:space="preserve">pasthistory</w:t>
      </w:r>
      <w:r>
        <w:t xml:space="preserve"> </w:t>
      </w:r>
      <w:r>
        <w:t xml:space="preserve">augmentation to avoid under-capture.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Chronic-onset ambiguity.</w:t>
      </w:r>
      <w:r>
        <w:t xml:space="preserve"> </w:t>
      </w:r>
      <w:r>
        <w:t xml:space="preserve">For CKD and diabetes the</w:t>
      </w:r>
      <w:r>
        <w:t xml:space="preserve"> </w:t>
      </w:r>
      <w:r>
        <w:t xml:space="preserve">“first code”</w:t>
      </w:r>
      <w:r>
        <w:t xml:space="preserve"> </w:t>
      </w:r>
      <w:r>
        <w:t xml:space="preserve">is newly</w:t>
      </w:r>
      <w:r>
        <w:t xml:space="preserve"> </w:t>
      </w:r>
      <w:r>
        <w:rPr>
          <w:i/>
          <w:iCs/>
        </w:rPr>
        <w:t xml:space="preserve">documented</w:t>
      </w:r>
      <w:r>
        <w:t xml:space="preserve"> </w:t>
      </w:r>
      <w:r>
        <w:t xml:space="preserve">disease, not biological onset; the pre-onset ablation should be read as lead time before</w:t>
      </w:r>
      <w:r>
        <w:t xml:space="preserve"> </w:t>
      </w:r>
      <w:r>
        <w:t xml:space="preserve">documentation, not before disease.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external system family.</w:t>
      </w:r>
      <w:r>
        <w:t xml:space="preserve"> </w:t>
      </w:r>
      <w:r>
        <w:t xml:space="preserve">eICU is multi-center but a single curated network and era</w:t>
      </w:r>
      <w:r>
        <w:t xml:space="preserve"> </w:t>
      </w:r>
      <w:r>
        <w:t xml:space="preserve">(2014–2015); transport to other CDWs (OMOP/TriNetX) or later years is untested.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Diabetes label breadth.</w:t>
      </w:r>
      <w:r>
        <w:t xml:space="preserve"> </w:t>
      </w:r>
      <w:r>
        <w:t xml:space="preserve">The primary diabetes label is any-diabetes for harmonization; the</w:t>
      </w:r>
      <w:r>
        <w:t xml:space="preserve"> </w:t>
      </w:r>
      <w:r>
        <w:t xml:space="preserve">strict type-2 sensitivity (§3.8) addresses but does not eliminate type-1/secondary contamination,</w:t>
      </w:r>
      <w:r>
        <w:t xml:space="preserve"> </w:t>
      </w:r>
      <w:r>
        <w:t xml:space="preserve">and external validation remained on the any-diabetes label.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comparator, not published equations.</w:t>
      </w:r>
      <w:r>
        <w:t xml:space="preserve"> </w:t>
      </w:r>
      <w:r>
        <w:t xml:space="preserve">The DCA clinical baseline is a</w:t>
      </w:r>
      <w:r>
        <w:t xml:space="preserve"> </w:t>
      </w:r>
      <w:r>
        <w:t xml:space="preserve">guideline-variable reference model, not a faithfully coded KFRE, because that equation requires</w:t>
      </w:r>
      <w:r>
        <w:t xml:space="preserve"> </w:t>
      </w:r>
      <w:r>
        <w:t xml:space="preserve">urine albumin-to-creatinine ratio, present in only</w:t>
      </w:r>
      <w:r>
        <w:t xml:space="preserve"> </w:t>
      </w:r>
      <w:r>
        <w:rPr>
          <w:b/>
          <w:bCs/>
        </w:rPr>
        <w:t xml:space="preserve">0.42%</w:t>
      </w:r>
      <w:r>
        <w:t xml:space="preserve"> </w:t>
      </w:r>
      <w:r>
        <w:t xml:space="preserve">of admissions (2,269/546,028), and</w:t>
      </w:r>
      <w:r>
        <w:t xml:space="preserve"> </w:t>
      </w:r>
      <w:r>
        <w:t xml:space="preserve">in any case predicts ESKD progression among known-CKD patients rather than CKD identification.</w:t>
      </w:r>
      <w:r>
        <w:t xml:space="preserve"> </w:t>
      </w:r>
      <w:r>
        <w:t xml:space="preserve">The PREVENT heart-failure equation is computable from CDW variables and is reported as a</w:t>
      </w:r>
      <w:r>
        <w:t xml:space="preserve"> </w:t>
      </w:r>
      <w:r>
        <w:t xml:space="preserve">secondary comparator (§3.7); its 10-year-incidence horizon and ambulatory derivation population</w:t>
      </w:r>
      <w:r>
        <w:t xml:space="preserve"> </w:t>
      </w:r>
      <w:r>
        <w:t xml:space="preserve">differ from this ICU identification task, so it is interpreted as a reference, not a gold</w:t>
      </w:r>
      <w:r>
        <w:t xml:space="preserve"> </w:t>
      </w:r>
      <w:r>
        <w:t xml:space="preserve">standard. The sparsity of guideline-equation inputs in structured CDW tables is itself a finding</w:t>
      </w:r>
      <w:r>
        <w:t xml:space="preserve"> </w:t>
      </w:r>
      <w:r>
        <w:t xml:space="preserve">about CDW-native modelling.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Age-dependent discrimination.</w:t>
      </w:r>
      <w:r>
        <w:t xml:space="preserve"> </w:t>
      </w:r>
      <w:r>
        <w:t xml:space="preserve">Performance is lower in patients ≥65 (HF AUROC 0.85 vs 0.93</w:t>
      </w:r>
      <w:r>
        <w:t xml:space="preserve"> </w:t>
      </w:r>
      <w:r>
        <w:t xml:space="preserve">under 65; §3.9). The pooled estimate is partly buoyed by younger patients; age-stratified or</w:t>
      </w:r>
      <w:r>
        <w:t xml:space="preserve"> </w:t>
      </w:r>
      <w:r>
        <w:t xml:space="preserve">age-interaction models are a natural extension.</w: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Phenotype-identification models for heart failure, chronic kidney disease, and diabetes can be</w:t>
      </w:r>
      <w:r>
        <w:t xml:space="preserve"> </w:t>
      </w:r>
      <w:r>
        <w:t xml:space="preserve">built natively in a clinical data warehouse, calibrated, and — after a simple intercept+slope</w:t>
      </w:r>
      <w:r>
        <w:t xml:space="preserve"> </w:t>
      </w:r>
      <w:r>
        <w:t xml:space="preserve">recalibration — transported to hundreds of other hospitals, with objective laboratory features</w:t>
      </w:r>
      <w:r>
        <w:t xml:space="preserve"> </w:t>
      </w:r>
      <w:r>
        <w:t xml:space="preserve">transporting better than diagnosis codes. Because the modelling step is reproducible by a no-code</w:t>
      </w:r>
      <w:r>
        <w:t xml:space="preserve"> </w:t>
      </w:r>
      <w:r>
        <w:t xml:space="preserve">tool, this combination of accessibility and external-validity discipline is within reach of</w:t>
      </w:r>
      <w:r>
        <w:t xml:space="preserve"> </w:t>
      </w:r>
      <w:r>
        <w:t xml:space="preserve">non-ML researchers, and the surrounding design is a reusable template for rigorous CDW phenotype</w:t>
      </w:r>
      <w:r>
        <w:t xml:space="preserve"> </w:t>
      </w:r>
      <w:r>
        <w:t xml:space="preserve">modelling.</w:t>
      </w:r>
    </w:p>
    <w:bookmarkEnd w:id="34"/>
    <w:bookmarkStart w:id="35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MIMIC-IV and eICU-CRD are available to credentialed users on PhysioNet. All cohort SQL</w:t>
      </w:r>
      <w:r>
        <w:t xml:space="preserve"> </w:t>
      </w:r>
      <w:r>
        <w:t xml:space="preserve">(</w:t>
      </w:r>
      <w:r>
        <w:rPr>
          <w:rStyle w:val="VerbatimChar"/>
        </w:rPr>
        <w:t xml:space="preserve">prediction_study/cohort_*.sql</w:t>
      </w:r>
      <w:r>
        <w:t xml:space="preserve">), model and evaluation code (</w:t>
      </w:r>
      <w:r>
        <w:rPr>
          <w:rStyle w:val="VerbatimChar"/>
        </w:rPr>
        <w:t xml:space="preserve">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external_validate.py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dca.py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make_decay_figure.py</w:t>
      </w:r>
      <w:r>
        <w:t xml:space="preserve">), the i2b2-ML build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pipeline/load_and_build.sh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pipeline/run_ml_build.py</w:t>
      </w:r>
      <w:r>
        <w:t xml:space="preserve">), and all result artifacts and figures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prediction_study/results/</w:t>
      </w:r>
      <w:r>
        <w:t xml:space="preserve">) are released in the project repository under branch</w:t>
      </w:r>
      <w:r>
        <w:t xml:space="preserve"> </w:t>
      </w:r>
      <w:r>
        <w:rPr>
          <w:rStyle w:val="VerbatimChar"/>
        </w:rPr>
        <w:t xml:space="preserve">feature/phenotype-ml-pipeline</w:t>
      </w:r>
      <w:r>
        <w:t xml:space="preserve">.</w:t>
      </w:r>
    </w:p>
    <w:bookmarkEnd w:id="35"/>
    <w:bookmarkStart w:id="36" w:name="tables-and-figures"/>
    <w:p>
      <w:pPr>
        <w:pStyle w:val="Heading2"/>
      </w:pPr>
      <w:r>
        <w:t xml:space="preserve">Tables and figures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 1</w:t>
      </w:r>
      <w:r>
        <w:t xml:space="preserve"> </w:t>
      </w:r>
      <w:r>
        <w:t xml:space="preserve">— internal discrimination/calibration (§3.2).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 2</w:t>
      </w:r>
      <w:r>
        <w:t xml:space="preserve"> </w:t>
      </w:r>
      <w:r>
        <w:t xml:space="preserve">— internal vs external + recalibration (</w:t>
      </w:r>
      <w:r>
        <w:rPr>
          <w:rStyle w:val="VerbatimChar"/>
        </w:rPr>
        <w:t xml:space="preserve">results/external_validation_summary.md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 3</w:t>
      </w:r>
      <w:r>
        <w:t xml:space="preserve"> </w:t>
      </w:r>
      <w:r>
        <w:t xml:space="preserve">— leakage-decay (</w:t>
      </w:r>
      <w:r>
        <w:rPr>
          <w:rStyle w:val="VerbatimChar"/>
        </w:rPr>
        <w:t xml:space="preserve">results/{hf,ckd,dm}_decay_table.md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 4</w:t>
      </w:r>
      <w:r>
        <w:t xml:space="preserve"> </w:t>
      </w:r>
      <w:r>
        <w:t xml:space="preserve">— tool vs harness (</w:t>
      </w:r>
      <w:r>
        <w:rPr>
          <w:rStyle w:val="VerbatimChar"/>
        </w:rPr>
        <w:t xml:space="preserve">results/tool_capability_map.md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Table 5</w:t>
      </w:r>
      <w:r>
        <w:t xml:space="preserve"> </w:t>
      </w:r>
      <w:r>
        <w:t xml:space="preserve">— subgroup performance by sex and age (</w:t>
      </w:r>
      <w:r>
        <w:rPr>
          <w:rStyle w:val="VerbatimChar"/>
        </w:rPr>
        <w:t xml:space="preserve">results/model_audit_summary.md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results/fairness_{hf,ckd,dm}.md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 1</w:t>
      </w:r>
      <w:r>
        <w:t xml:space="preserve"> </w:t>
      </w:r>
      <w:r>
        <w:t xml:space="preserve">— external validation summary (</w:t>
      </w:r>
      <w:r>
        <w:rPr>
          <w:rStyle w:val="VerbatimChar"/>
        </w:rPr>
        <w:t xml:space="preserve">results/external_validation_summary.png</w:t>
      </w:r>
      <w:r>
        <w:t xml:space="preserve">);</w:t>
      </w:r>
      <w:r>
        <w:t xml:space="preserve"> </w:t>
      </w:r>
      <w:r>
        <w:t xml:space="preserve">per-condition calibration (</w:t>
      </w:r>
      <w:r>
        <w:rPr>
          <w:rStyle w:val="VerbatimChar"/>
        </w:rPr>
        <w:t xml:space="preserve">results/{hf,ckd,dm}_external_calibration.png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Figures 2a–c</w:t>
      </w:r>
      <w:r>
        <w:t xml:space="preserve"> </w:t>
      </w:r>
      <w:r>
        <w:t xml:space="preserve">— leakage decay (</w:t>
      </w:r>
      <w:r>
        <w:rPr>
          <w:rStyle w:val="VerbatimChar"/>
        </w:rPr>
        <w:t xml:space="preserve">results/{hf,ckd,dm}_decay.png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Figures 3a–c</w:t>
      </w:r>
      <w:r>
        <w:t xml:space="preserve"> </w:t>
      </w:r>
      <w:r>
        <w:t xml:space="preserve">— decision curves (</w:t>
      </w:r>
      <w:r>
        <w:rPr>
          <w:rStyle w:val="VerbatimChar"/>
        </w:rPr>
        <w:t xml:space="preserve">results/{hf,ckd,dm}_dca.png</w:t>
      </w:r>
      <w:r>
        <w:t xml:space="preserve">);</w:t>
      </w:r>
      <w:r>
        <w:t xml:space="preserve"> </w:t>
      </w:r>
      <w:r>
        <w:rPr>
          <w:b/>
          <w:bCs/>
        </w:rPr>
        <w:t xml:space="preserve">Figure 3d</w:t>
      </w:r>
      <w:r>
        <w:t xml:space="preserve"> </w:t>
      </w:r>
      <w:r>
        <w:t xml:space="preserve">— full vs guideline-variable reference comparator (</w:t>
      </w:r>
      <w:r>
        <w:rPr>
          <w:rStyle w:val="VerbatimChar"/>
        </w:rPr>
        <w:t xml:space="preserve">results/hf_reference_dca.png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</w:t>
      </w:r>
      <w:r>
        <w:t xml:space="preserve"> </w:t>
      </w:r>
      <w:r>
        <w:t xml:space="preserve">— TRIPOD+AI checklist (</w:t>
      </w:r>
      <w:r>
        <w:rPr>
          <w:rStyle w:val="VerbatimChar"/>
        </w:rPr>
        <w:t xml:space="preserve">paper/TRIPOD_AI_checklist.md</w:t>
      </w:r>
      <w:r>
        <w:t xml:space="preserve">); capability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results/tool_capability_map.md</w:t>
      </w:r>
      <w:r>
        <w:t xml:space="preserve">); model specifications / coefficients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results/model_spec_{hf,ckd,dm}.md</w:t>
      </w:r>
      <w:r>
        <w:t xml:space="preserve">); events-per-variable (</w:t>
      </w:r>
      <w:r>
        <w:rPr>
          <w:rStyle w:val="VerbatimChar"/>
        </w:rPr>
        <w:t xml:space="preserve">results/epv.json</w:t>
      </w:r>
      <w:r>
        <w:t xml:space="preserve">).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Accessible, externally validated cardiometabolic phenotype-identification models built natively in a clinical data warehouse: a TRIPOD+AI prediction study in MIMIC-IV and eICU-CRD</dc:title>
  <dc:creator>Vedhsai Thiriveedi; Kavishwar Wagholikar; [co-authors TBD]</dc:creator>
  <cp:keywords/>
  <dcterms:created xsi:type="dcterms:W3CDTF">2026-06-20T22:53:51Z</dcterms:created>
  <dcterms:modified xsi:type="dcterms:W3CDTF">2026-06-20T22:53:51Z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— generated 2026-06-20</vt:lpwstr>
  </property>
</Properties>
</file>