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3D75D" w14:textId="7676915F" w:rsidR="002E7090" w:rsidRPr="003C0FA1" w:rsidRDefault="002E7090" w:rsidP="00EF7EC7">
      <w:pPr>
        <w:spacing w:line="22" w:lineRule="atLeast"/>
        <w:rPr>
          <w:rFonts w:ascii="Montserrat" w:hAnsi="Montserrat"/>
          <w:sz w:val="20"/>
          <w:szCs w:val="20"/>
          <w:lang w:val="en-US"/>
        </w:rPr>
      </w:pPr>
      <w:r w:rsidRPr="003C0FA1">
        <w:rPr>
          <w:rFonts w:ascii="Montserrat" w:hAnsi="Montserrat"/>
          <w:sz w:val="20"/>
          <w:szCs w:val="20"/>
          <w:lang w:val="en-US"/>
        </w:rPr>
        <w:t>The Taylor Rule: A benchmark for monetary policy?</w:t>
      </w:r>
    </w:p>
    <w:p w14:paraId="3DB3DAF4" w14:textId="77777777" w:rsidR="00446820" w:rsidRPr="003C0FA1" w:rsidRDefault="00446820" w:rsidP="00EF7EC7">
      <w:pPr>
        <w:spacing w:line="22" w:lineRule="atLeast"/>
        <w:rPr>
          <w:rFonts w:ascii="Montserrat" w:hAnsi="Montserrat"/>
          <w:sz w:val="20"/>
          <w:szCs w:val="20"/>
          <w:lang w:val="en-US"/>
        </w:rPr>
      </w:pPr>
    </w:p>
    <w:p w14:paraId="7A7F8725" w14:textId="2EB10253" w:rsidR="002E7090" w:rsidRPr="003C0FA1" w:rsidRDefault="002E7090" w:rsidP="00EF7EC7">
      <w:pPr>
        <w:spacing w:line="22" w:lineRule="atLeast"/>
        <w:rPr>
          <w:rFonts w:ascii="Montserrat" w:hAnsi="Montserrat"/>
          <w:sz w:val="20"/>
          <w:szCs w:val="20"/>
          <w:lang w:val="en-US"/>
        </w:rPr>
      </w:pPr>
      <w:r w:rsidRPr="003C0FA1">
        <w:rPr>
          <w:rFonts w:ascii="Montserrat" w:hAnsi="Montserrat"/>
          <w:sz w:val="20"/>
          <w:szCs w:val="20"/>
          <w:lang w:val="en-US"/>
        </w:rPr>
        <w:t xml:space="preserve">The Taylor rule is a simple </w:t>
      </w:r>
      <w:r w:rsidR="00446820" w:rsidRPr="003C0FA1">
        <w:rPr>
          <w:rFonts w:ascii="Montserrat" w:hAnsi="Montserrat"/>
          <w:sz w:val="20"/>
          <w:szCs w:val="20"/>
          <w:lang w:val="en-US"/>
        </w:rPr>
        <w:t>equation, t</w:t>
      </w:r>
      <w:r w:rsidRPr="003C0FA1">
        <w:rPr>
          <w:rFonts w:ascii="Montserrat" w:hAnsi="Montserrat"/>
          <w:sz w:val="20"/>
          <w:szCs w:val="20"/>
          <w:lang w:val="en-US"/>
        </w:rPr>
        <w:t>hat is intended to describe the interest rate decisions of</w:t>
      </w:r>
      <w:r w:rsidR="00446820" w:rsidRPr="003C0FA1">
        <w:rPr>
          <w:rFonts w:ascii="Montserrat" w:hAnsi="Montserrat"/>
          <w:sz w:val="20"/>
          <w:szCs w:val="20"/>
          <w:lang w:val="en-US"/>
        </w:rPr>
        <w:t xml:space="preserve"> Central Banks</w:t>
      </w:r>
      <w:r w:rsidRPr="003C0FA1">
        <w:rPr>
          <w:rFonts w:ascii="Montserrat" w:hAnsi="Montserrat"/>
          <w:sz w:val="20"/>
          <w:szCs w:val="20"/>
          <w:lang w:val="en-US"/>
        </w:rPr>
        <w:t>.</w:t>
      </w:r>
    </w:p>
    <w:p w14:paraId="7EC502FA" w14:textId="77777777" w:rsidR="004C218D" w:rsidRPr="003C0FA1" w:rsidRDefault="002E7090" w:rsidP="00EF7EC7">
      <w:pPr>
        <w:spacing w:line="22" w:lineRule="atLeast"/>
        <w:rPr>
          <w:rFonts w:ascii="Montserrat" w:hAnsi="Montserrat"/>
          <w:sz w:val="20"/>
          <w:szCs w:val="20"/>
          <w:lang w:val="en-US"/>
        </w:rPr>
      </w:pPr>
      <w:r w:rsidRPr="003C0FA1">
        <w:rPr>
          <w:rFonts w:ascii="Montserrat" w:hAnsi="Montserrat"/>
          <w:sz w:val="20"/>
          <w:szCs w:val="20"/>
          <w:lang w:val="en-US"/>
        </w:rPr>
        <w:t xml:space="preserve">r = p + </w:t>
      </w:r>
      <w:r w:rsidR="00954EC1" w:rsidRPr="003C0FA1">
        <w:rPr>
          <w:rFonts w:ascii="Montserrat" w:hAnsi="Montserrat"/>
          <w:sz w:val="20"/>
          <w:szCs w:val="20"/>
          <w:lang w:val="en-US"/>
        </w:rPr>
        <w:t>0</w:t>
      </w:r>
      <w:r w:rsidRPr="003C0FA1">
        <w:rPr>
          <w:rFonts w:ascii="Montserrat" w:hAnsi="Montserrat"/>
          <w:sz w:val="20"/>
          <w:szCs w:val="20"/>
          <w:lang w:val="en-US"/>
        </w:rPr>
        <w:t xml:space="preserve">.5y + </w:t>
      </w:r>
      <w:r w:rsidR="00954EC1" w:rsidRPr="003C0FA1">
        <w:rPr>
          <w:rFonts w:ascii="Montserrat" w:hAnsi="Montserrat"/>
          <w:sz w:val="20"/>
          <w:szCs w:val="20"/>
          <w:lang w:val="en-US"/>
        </w:rPr>
        <w:t>0</w:t>
      </w:r>
      <w:r w:rsidRPr="003C0FA1">
        <w:rPr>
          <w:rFonts w:ascii="Montserrat" w:hAnsi="Montserrat"/>
          <w:sz w:val="20"/>
          <w:szCs w:val="20"/>
          <w:lang w:val="en-US"/>
        </w:rPr>
        <w:t xml:space="preserve">.5(p – 2) + 2 </w:t>
      </w:r>
    </w:p>
    <w:p w14:paraId="370DDB86" w14:textId="6BEA5FA8" w:rsidR="002E7090" w:rsidRPr="003C0FA1" w:rsidRDefault="004C218D" w:rsidP="00EF7EC7">
      <w:pPr>
        <w:spacing w:line="22" w:lineRule="atLeast"/>
        <w:rPr>
          <w:rFonts w:ascii="Montserrat" w:hAnsi="Montserrat"/>
          <w:sz w:val="20"/>
          <w:szCs w:val="20"/>
          <w:lang w:val="en-US"/>
        </w:rPr>
      </w:pPr>
      <w:r w:rsidRPr="003C0FA1">
        <w:rPr>
          <w:rFonts w:ascii="Montserrat" w:hAnsi="Montserrat"/>
          <w:sz w:val="20"/>
          <w:szCs w:val="20"/>
          <w:lang w:val="en-US"/>
        </w:rPr>
        <w:t>(</w:t>
      </w:r>
      <w:r w:rsidR="002E7090" w:rsidRPr="003C0FA1">
        <w:rPr>
          <w:rFonts w:ascii="Montserrat" w:hAnsi="Montserrat"/>
          <w:sz w:val="20"/>
          <w:szCs w:val="20"/>
          <w:lang w:val="en-US"/>
        </w:rPr>
        <w:t>the “Taylor rule”)</w:t>
      </w:r>
    </w:p>
    <w:p w14:paraId="29AB7581" w14:textId="5BBC7D84" w:rsidR="002E7090" w:rsidRPr="003C0FA1" w:rsidRDefault="004C218D" w:rsidP="00EF7EC7">
      <w:pPr>
        <w:spacing w:line="22" w:lineRule="atLeast"/>
        <w:rPr>
          <w:rFonts w:ascii="Montserrat" w:hAnsi="Montserrat"/>
          <w:sz w:val="20"/>
          <w:szCs w:val="20"/>
          <w:lang w:val="en-US"/>
        </w:rPr>
      </w:pPr>
      <w:r w:rsidRPr="003C0FA1">
        <w:rPr>
          <w:rFonts w:ascii="Montserrat" w:hAnsi="Montserrat"/>
          <w:sz w:val="20"/>
          <w:szCs w:val="20"/>
          <w:lang w:val="en-US"/>
        </w:rPr>
        <w:t>W</w:t>
      </w:r>
      <w:r w:rsidR="002E7090" w:rsidRPr="003C0FA1">
        <w:rPr>
          <w:rFonts w:ascii="Montserrat" w:hAnsi="Montserrat"/>
          <w:sz w:val="20"/>
          <w:szCs w:val="20"/>
          <w:lang w:val="en-US"/>
        </w:rPr>
        <w:t>here</w:t>
      </w:r>
      <w:r w:rsidRPr="003C0FA1">
        <w:rPr>
          <w:rFonts w:ascii="Montserrat" w:hAnsi="Montserrat"/>
          <w:sz w:val="20"/>
          <w:szCs w:val="20"/>
          <w:lang w:val="en-US"/>
        </w:rPr>
        <w:t>:</w:t>
      </w:r>
    </w:p>
    <w:p w14:paraId="31C796D4" w14:textId="77777777" w:rsidR="002E7090" w:rsidRPr="003C0FA1" w:rsidRDefault="002E7090" w:rsidP="00EF7EC7">
      <w:pPr>
        <w:spacing w:line="22" w:lineRule="atLeast"/>
        <w:rPr>
          <w:rFonts w:ascii="Montserrat" w:hAnsi="Montserrat"/>
          <w:sz w:val="20"/>
          <w:szCs w:val="20"/>
          <w:lang w:val="en-US"/>
        </w:rPr>
      </w:pPr>
      <w:r w:rsidRPr="003C0FA1">
        <w:rPr>
          <w:rFonts w:ascii="Montserrat" w:hAnsi="Montserrat"/>
          <w:sz w:val="20"/>
          <w:szCs w:val="20"/>
          <w:lang w:val="en-US"/>
        </w:rPr>
        <w:t>r = the federal funds rate</w:t>
      </w:r>
    </w:p>
    <w:p w14:paraId="50F208FF" w14:textId="77777777" w:rsidR="002E7090" w:rsidRPr="003C0FA1" w:rsidRDefault="002E7090" w:rsidP="00EF7EC7">
      <w:pPr>
        <w:spacing w:line="22" w:lineRule="atLeast"/>
        <w:rPr>
          <w:rFonts w:ascii="Montserrat" w:hAnsi="Montserrat"/>
          <w:sz w:val="20"/>
          <w:szCs w:val="20"/>
          <w:lang w:val="en-US"/>
        </w:rPr>
      </w:pPr>
      <w:r w:rsidRPr="003C0FA1">
        <w:rPr>
          <w:rFonts w:ascii="Montserrat" w:hAnsi="Montserrat"/>
          <w:sz w:val="20"/>
          <w:szCs w:val="20"/>
          <w:lang w:val="en-US"/>
        </w:rPr>
        <w:t>p = the rate of inflation</w:t>
      </w:r>
    </w:p>
    <w:p w14:paraId="29D98F5B" w14:textId="518B7E4B" w:rsidR="002E7090" w:rsidRPr="003C0FA1" w:rsidRDefault="002E7090" w:rsidP="00EF7EC7">
      <w:pPr>
        <w:spacing w:line="22" w:lineRule="atLeast"/>
        <w:rPr>
          <w:rFonts w:ascii="Montserrat" w:hAnsi="Montserrat"/>
          <w:sz w:val="20"/>
          <w:szCs w:val="20"/>
          <w:lang w:val="en-US"/>
        </w:rPr>
      </w:pPr>
      <w:r w:rsidRPr="003C0FA1">
        <w:rPr>
          <w:rFonts w:ascii="Montserrat" w:hAnsi="Montserrat"/>
          <w:sz w:val="20"/>
          <w:szCs w:val="20"/>
          <w:lang w:val="en-US"/>
        </w:rPr>
        <w:t>y = the percent deviation of real GDP from a target</w:t>
      </w:r>
      <w:r w:rsidR="00446820" w:rsidRPr="003C0FA1">
        <w:rPr>
          <w:rFonts w:ascii="Montserrat" w:hAnsi="Montserrat"/>
          <w:sz w:val="20"/>
          <w:szCs w:val="20"/>
          <w:lang w:val="en-US"/>
        </w:rPr>
        <w:t xml:space="preserve">, as potential output of the economy. </w:t>
      </w:r>
      <w:r w:rsidRPr="003C0FA1">
        <w:rPr>
          <w:rFonts w:ascii="Montserrat" w:hAnsi="Montserrat"/>
          <w:sz w:val="20"/>
          <w:szCs w:val="20"/>
          <w:lang w:val="en-US"/>
        </w:rPr>
        <w:t>With that assumption, the variable </w:t>
      </w:r>
      <w:r w:rsidRPr="003C0FA1">
        <w:rPr>
          <w:rFonts w:ascii="Montserrat" w:hAnsi="Montserrat"/>
          <w:i/>
          <w:iCs/>
          <w:sz w:val="20"/>
          <w:szCs w:val="20"/>
          <w:lang w:val="en-US"/>
        </w:rPr>
        <w:t>y</w:t>
      </w:r>
      <w:r w:rsidRPr="003C0FA1">
        <w:rPr>
          <w:rFonts w:ascii="Montserrat" w:hAnsi="Montserrat"/>
          <w:sz w:val="20"/>
          <w:szCs w:val="20"/>
          <w:lang w:val="en-US"/>
        </w:rPr>
        <w:t> in the Taylor rule can be interpreted as the excess of actual GDP over potential output, also known as the output gap.</w:t>
      </w:r>
    </w:p>
    <w:p w14:paraId="447A0E25" w14:textId="77777777" w:rsidR="004C218D" w:rsidRPr="003C0FA1" w:rsidRDefault="004C218D" w:rsidP="00EF7EC7">
      <w:pPr>
        <w:spacing w:line="22" w:lineRule="atLeast"/>
        <w:rPr>
          <w:rFonts w:ascii="Montserrat" w:hAnsi="Montserrat"/>
          <w:sz w:val="20"/>
          <w:szCs w:val="20"/>
          <w:lang w:val="en-US"/>
        </w:rPr>
      </w:pPr>
    </w:p>
    <w:p w14:paraId="6B42C6DC" w14:textId="77777777" w:rsidR="002E7090" w:rsidRPr="003C0FA1" w:rsidRDefault="002E7090" w:rsidP="00EF7EC7">
      <w:pPr>
        <w:pStyle w:val="Heading2"/>
        <w:spacing w:before="0" w:after="480" w:line="22" w:lineRule="atLeast"/>
        <w:textAlignment w:val="baseline"/>
        <w:rPr>
          <w:rFonts w:ascii="Montserrat" w:eastAsiaTheme="minorHAnsi" w:hAnsi="Montserrat" w:cstheme="minorBidi"/>
          <w:color w:val="auto"/>
          <w:sz w:val="20"/>
          <w:szCs w:val="20"/>
          <w:lang w:val="en-US"/>
        </w:rPr>
      </w:pPr>
      <w:r w:rsidRPr="003C0FA1">
        <w:rPr>
          <w:rFonts w:ascii="Montserrat" w:eastAsiaTheme="minorHAnsi" w:hAnsi="Montserrat" w:cstheme="minorBidi"/>
          <w:color w:val="auto"/>
          <w:sz w:val="20"/>
          <w:szCs w:val="20"/>
          <w:lang w:val="en-US"/>
        </w:rPr>
        <w:t>TAYLOR’S CRITIQUE OF FED POLICY</w:t>
      </w:r>
    </w:p>
    <w:p w14:paraId="0A0538D3" w14:textId="70D9E51D" w:rsidR="002E7090" w:rsidRPr="003C0FA1" w:rsidRDefault="002E7090" w:rsidP="00EF7EC7">
      <w:pPr>
        <w:pStyle w:val="NormalWeb"/>
        <w:spacing w:before="0" w:beforeAutospacing="0" w:after="0" w:afterAutospacing="0" w:line="22" w:lineRule="atLeast"/>
        <w:textAlignment w:val="baseline"/>
        <w:rPr>
          <w:rFonts w:ascii="Montserrat" w:eastAsiaTheme="minorHAnsi" w:hAnsi="Montserrat" w:cstheme="minorBidi"/>
          <w:sz w:val="20"/>
          <w:szCs w:val="20"/>
          <w:lang w:val="en-US" w:eastAsia="en-US"/>
        </w:rPr>
      </w:pPr>
      <w:r w:rsidRPr="003C0FA1">
        <w:rPr>
          <w:rFonts w:ascii="Montserrat" w:eastAsiaTheme="minorHAnsi" w:hAnsi="Montserrat" w:cstheme="minorBidi"/>
          <w:sz w:val="20"/>
          <w:szCs w:val="20"/>
          <w:lang w:val="en-US" w:eastAsia="en-US"/>
        </w:rPr>
        <w:t xml:space="preserve">Originally, in his 1993 article, </w:t>
      </w:r>
      <w:r w:rsidR="007425BC" w:rsidRPr="003C0FA1">
        <w:rPr>
          <w:rFonts w:ascii="Montserrat" w:eastAsiaTheme="minorHAnsi" w:hAnsi="Montserrat" w:cstheme="minorBidi"/>
          <w:sz w:val="20"/>
          <w:szCs w:val="20"/>
          <w:lang w:val="en-US" w:eastAsia="en-US"/>
        </w:rPr>
        <w:t>John Taylor</w:t>
      </w:r>
      <w:r w:rsidRPr="003C0FA1">
        <w:rPr>
          <w:rFonts w:ascii="Montserrat" w:eastAsiaTheme="minorHAnsi" w:hAnsi="Montserrat" w:cstheme="minorBidi"/>
          <w:sz w:val="20"/>
          <w:szCs w:val="20"/>
          <w:lang w:val="en-US" w:eastAsia="en-US"/>
        </w:rPr>
        <w:t xml:space="preserve"> point</w:t>
      </w:r>
      <w:r w:rsidR="00446820" w:rsidRPr="003C0FA1">
        <w:rPr>
          <w:rFonts w:ascii="Montserrat" w:eastAsiaTheme="minorHAnsi" w:hAnsi="Montserrat" w:cstheme="minorBidi"/>
          <w:sz w:val="20"/>
          <w:szCs w:val="20"/>
          <w:lang w:val="en-US" w:eastAsia="en-US"/>
        </w:rPr>
        <w:t>ed</w:t>
      </w:r>
      <w:r w:rsidRPr="003C0FA1">
        <w:rPr>
          <w:rFonts w:ascii="Montserrat" w:eastAsiaTheme="minorHAnsi" w:hAnsi="Montserrat" w:cstheme="minorBidi"/>
          <w:sz w:val="20"/>
          <w:szCs w:val="20"/>
          <w:lang w:val="en-US" w:eastAsia="en-US"/>
        </w:rPr>
        <w:t xml:space="preserve"> out that a simple mechanical rule could not take into account the many factors that policymakers must consider in practice</w:t>
      </w:r>
      <w:r w:rsidR="00446820" w:rsidRPr="003C0FA1">
        <w:rPr>
          <w:rFonts w:ascii="Montserrat" w:eastAsiaTheme="minorHAnsi" w:hAnsi="Montserrat" w:cstheme="minorBidi"/>
          <w:sz w:val="20"/>
          <w:szCs w:val="20"/>
          <w:lang w:val="en-US" w:eastAsia="en-US"/>
        </w:rPr>
        <w:t>, in many ways, policymakers took sensible decisions all the time</w:t>
      </w:r>
      <w:r w:rsidRPr="003C0FA1">
        <w:rPr>
          <w:rFonts w:ascii="Montserrat" w:eastAsiaTheme="minorHAnsi" w:hAnsi="Montserrat" w:cstheme="minorBidi"/>
          <w:sz w:val="20"/>
          <w:szCs w:val="20"/>
          <w:lang w:val="en-US" w:eastAsia="en-US"/>
        </w:rPr>
        <w:t>. As a</w:t>
      </w:r>
      <w:r w:rsidR="004C218D" w:rsidRPr="003C0FA1">
        <w:rPr>
          <w:rFonts w:ascii="Montserrat" w:eastAsiaTheme="minorHAnsi" w:hAnsi="Montserrat" w:cstheme="minorBidi"/>
          <w:sz w:val="20"/>
          <w:szCs w:val="20"/>
          <w:lang w:val="en-US" w:eastAsia="en-US"/>
        </w:rPr>
        <w:t>n economist researcher</w:t>
      </w:r>
      <w:r w:rsidR="00446820" w:rsidRPr="003C0FA1">
        <w:rPr>
          <w:rFonts w:ascii="Montserrat" w:eastAsiaTheme="minorHAnsi" w:hAnsi="Montserrat" w:cstheme="minorBidi"/>
          <w:sz w:val="20"/>
          <w:szCs w:val="20"/>
          <w:lang w:val="en-US" w:eastAsia="en-US"/>
        </w:rPr>
        <w:t>,</w:t>
      </w:r>
      <w:r w:rsidRPr="003C0FA1">
        <w:rPr>
          <w:rFonts w:ascii="Montserrat" w:eastAsiaTheme="minorHAnsi" w:hAnsi="Montserrat" w:cstheme="minorBidi"/>
          <w:sz w:val="20"/>
          <w:szCs w:val="20"/>
          <w:lang w:val="en-US" w:eastAsia="en-US"/>
        </w:rPr>
        <w:t xml:space="preserve"> </w:t>
      </w:r>
      <w:r w:rsidR="00446820" w:rsidRPr="003C0FA1">
        <w:rPr>
          <w:rFonts w:ascii="Montserrat" w:eastAsiaTheme="minorHAnsi" w:hAnsi="Montserrat" w:cstheme="minorBidi"/>
          <w:sz w:val="20"/>
          <w:szCs w:val="20"/>
          <w:lang w:val="en-US" w:eastAsia="en-US"/>
        </w:rPr>
        <w:t>we</w:t>
      </w:r>
      <w:r w:rsidRPr="003C0FA1">
        <w:rPr>
          <w:rFonts w:ascii="Montserrat" w:eastAsiaTheme="minorHAnsi" w:hAnsi="Montserrat" w:cstheme="minorBidi"/>
          <w:sz w:val="20"/>
          <w:szCs w:val="20"/>
          <w:lang w:val="en-US" w:eastAsia="en-US"/>
        </w:rPr>
        <w:t xml:space="preserve"> often referred to various policy rules, including variants of the Taylor rule. However, it seem</w:t>
      </w:r>
      <w:r w:rsidR="00446820" w:rsidRPr="003C0FA1">
        <w:rPr>
          <w:rFonts w:ascii="Montserrat" w:eastAsiaTheme="minorHAnsi" w:hAnsi="Montserrat" w:cstheme="minorBidi"/>
          <w:sz w:val="20"/>
          <w:szCs w:val="20"/>
          <w:lang w:val="en-US" w:eastAsia="en-US"/>
        </w:rPr>
        <w:t xml:space="preserve">s obvious </w:t>
      </w:r>
      <w:r w:rsidRPr="003C0FA1">
        <w:rPr>
          <w:rFonts w:ascii="Montserrat" w:eastAsiaTheme="minorHAnsi" w:hAnsi="Montserrat" w:cstheme="minorBidi"/>
          <w:sz w:val="20"/>
          <w:szCs w:val="20"/>
          <w:lang w:val="en-US" w:eastAsia="en-US"/>
        </w:rPr>
        <w:t>that such rules could not incorporate all the relevant considerations for making policy in a complex dynamic economy.</w:t>
      </w:r>
    </w:p>
    <w:p w14:paraId="6F2854FA" w14:textId="70468690" w:rsidR="002E7090" w:rsidRPr="003C0FA1" w:rsidRDefault="002E7090" w:rsidP="00EF7EC7">
      <w:pPr>
        <w:spacing w:line="22" w:lineRule="atLeast"/>
        <w:rPr>
          <w:rFonts w:ascii="Montserrat" w:hAnsi="Montserrat"/>
          <w:sz w:val="20"/>
          <w:szCs w:val="20"/>
          <w:lang w:val="en-US"/>
        </w:rPr>
      </w:pPr>
    </w:p>
    <w:p w14:paraId="276DE326" w14:textId="60ED3858" w:rsidR="002E7090" w:rsidRPr="003C0FA1" w:rsidRDefault="002E7090" w:rsidP="00EF7EC7">
      <w:pPr>
        <w:numPr>
          <w:ilvl w:val="0"/>
          <w:numId w:val="1"/>
        </w:numPr>
        <w:spacing w:after="240" w:line="22" w:lineRule="atLeast"/>
        <w:textAlignment w:val="baseline"/>
        <w:rPr>
          <w:rFonts w:ascii="Montserrat" w:hAnsi="Montserrat"/>
          <w:sz w:val="20"/>
          <w:szCs w:val="20"/>
          <w:lang w:val="en-US"/>
        </w:rPr>
      </w:pPr>
      <w:r w:rsidRPr="003C0FA1">
        <w:rPr>
          <w:rFonts w:ascii="Montserrat" w:hAnsi="Montserrat"/>
          <w:sz w:val="20"/>
          <w:szCs w:val="20"/>
          <w:lang w:val="en-US"/>
        </w:rPr>
        <w:t xml:space="preserve">First, </w:t>
      </w:r>
      <w:r w:rsidR="007425BC" w:rsidRPr="003C0FA1">
        <w:rPr>
          <w:rFonts w:ascii="Montserrat" w:hAnsi="Montserrat"/>
          <w:sz w:val="20"/>
          <w:szCs w:val="20"/>
          <w:lang w:val="en-US"/>
        </w:rPr>
        <w:t>we could argue that lower</w:t>
      </w:r>
      <w:r w:rsidRPr="003C0FA1">
        <w:rPr>
          <w:rFonts w:ascii="Montserrat" w:hAnsi="Montserrat"/>
          <w:sz w:val="20"/>
          <w:szCs w:val="20"/>
          <w:lang w:val="en-US"/>
        </w:rPr>
        <w:t xml:space="preserve"> interest rates than prescribed by the Taylor rule during 2003-2005, and that </w:t>
      </w:r>
      <w:r w:rsidR="007425BC" w:rsidRPr="003C0FA1">
        <w:rPr>
          <w:rFonts w:ascii="Montserrat" w:hAnsi="Montserrat"/>
          <w:sz w:val="20"/>
          <w:szCs w:val="20"/>
          <w:lang w:val="en-US"/>
        </w:rPr>
        <w:t>its</w:t>
      </w:r>
      <w:r w:rsidRPr="003C0FA1">
        <w:rPr>
          <w:rFonts w:ascii="Montserrat" w:hAnsi="Montserrat"/>
          <w:sz w:val="20"/>
          <w:szCs w:val="20"/>
          <w:lang w:val="en-US"/>
        </w:rPr>
        <w:t xml:space="preserve"> deviation</w:t>
      </w:r>
      <w:r w:rsidR="007425BC" w:rsidRPr="003C0FA1">
        <w:rPr>
          <w:rFonts w:ascii="Montserrat" w:hAnsi="Montserrat"/>
          <w:sz w:val="20"/>
          <w:szCs w:val="20"/>
          <w:lang w:val="en-US"/>
        </w:rPr>
        <w:t>s</w:t>
      </w:r>
      <w:r w:rsidRPr="003C0FA1">
        <w:rPr>
          <w:rFonts w:ascii="Montserrat" w:hAnsi="Montserrat"/>
          <w:sz w:val="20"/>
          <w:szCs w:val="20"/>
          <w:lang w:val="en-US"/>
        </w:rPr>
        <w:t xml:space="preserve"> w</w:t>
      </w:r>
      <w:r w:rsidR="007425BC" w:rsidRPr="003C0FA1">
        <w:rPr>
          <w:rFonts w:ascii="Montserrat" w:hAnsi="Montserrat"/>
          <w:sz w:val="20"/>
          <w:szCs w:val="20"/>
          <w:lang w:val="en-US"/>
        </w:rPr>
        <w:t>ere</w:t>
      </w:r>
      <w:r w:rsidRPr="003C0FA1">
        <w:rPr>
          <w:rFonts w:ascii="Montserrat" w:hAnsi="Montserrat"/>
          <w:sz w:val="20"/>
          <w:szCs w:val="20"/>
          <w:lang w:val="en-US"/>
        </w:rPr>
        <w:t xml:space="preserve"> a major source of the housing bubble and other financial excesses.</w:t>
      </w:r>
    </w:p>
    <w:p w14:paraId="5CA52E6F" w14:textId="696847A2" w:rsidR="002E7090" w:rsidRPr="003C0FA1" w:rsidRDefault="002E7090" w:rsidP="00EF7EC7">
      <w:pPr>
        <w:numPr>
          <w:ilvl w:val="0"/>
          <w:numId w:val="1"/>
        </w:numPr>
        <w:spacing w:after="0" w:line="22" w:lineRule="atLeast"/>
        <w:textAlignment w:val="baseline"/>
        <w:rPr>
          <w:rFonts w:ascii="Montserrat" w:hAnsi="Montserrat"/>
          <w:sz w:val="20"/>
          <w:szCs w:val="20"/>
          <w:lang w:val="en-US"/>
        </w:rPr>
      </w:pPr>
      <w:r w:rsidRPr="003C0FA1">
        <w:rPr>
          <w:rFonts w:ascii="Montserrat" w:hAnsi="Montserrat"/>
          <w:sz w:val="20"/>
          <w:szCs w:val="20"/>
          <w:lang w:val="en-US"/>
        </w:rPr>
        <w:t xml:space="preserve">Second, </w:t>
      </w:r>
      <w:r w:rsidR="007425BC" w:rsidRPr="003C0FA1">
        <w:rPr>
          <w:rFonts w:ascii="Montserrat" w:hAnsi="Montserrat"/>
          <w:sz w:val="20"/>
          <w:szCs w:val="20"/>
          <w:lang w:val="en-US"/>
        </w:rPr>
        <w:t>from Figure X, Central Bank’</w:t>
      </w:r>
      <w:r w:rsidRPr="003C0FA1">
        <w:rPr>
          <w:rFonts w:ascii="Montserrat" w:hAnsi="Montserrat"/>
          <w:sz w:val="20"/>
          <w:szCs w:val="20"/>
          <w:lang w:val="en-US"/>
        </w:rPr>
        <w:t xml:space="preserve">s monetary policy since the financial crisis has not been sufficiently rule-like, and that policy has been too easy. </w:t>
      </w:r>
      <w:r w:rsidR="007425BC" w:rsidRPr="003C0FA1">
        <w:rPr>
          <w:rFonts w:ascii="Montserrat" w:hAnsi="Montserrat"/>
          <w:sz w:val="20"/>
          <w:szCs w:val="20"/>
          <w:lang w:val="en-US"/>
        </w:rPr>
        <w:t>F</w:t>
      </w:r>
      <w:r w:rsidRPr="003C0FA1">
        <w:rPr>
          <w:rFonts w:ascii="Montserrat" w:hAnsi="Montserrat"/>
          <w:sz w:val="20"/>
          <w:szCs w:val="20"/>
          <w:lang w:val="en-US"/>
        </w:rPr>
        <w:t xml:space="preserve">ollowing the Taylor rule, </w:t>
      </w:r>
      <w:r w:rsidR="007425BC" w:rsidRPr="003C0FA1">
        <w:rPr>
          <w:rFonts w:ascii="Montserrat" w:hAnsi="Montserrat"/>
          <w:sz w:val="20"/>
          <w:szCs w:val="20"/>
          <w:lang w:val="en-US"/>
        </w:rPr>
        <w:t>Central Banks</w:t>
      </w:r>
      <w:r w:rsidRPr="003C0FA1">
        <w:rPr>
          <w:rFonts w:ascii="Montserrat" w:hAnsi="Montserrat"/>
          <w:sz w:val="20"/>
          <w:szCs w:val="20"/>
          <w:lang w:val="en-US"/>
        </w:rPr>
        <w:t xml:space="preserve"> would have ended its policy of near-zero interest rates several years ago. </w:t>
      </w:r>
    </w:p>
    <w:p w14:paraId="6091119A" w14:textId="77777777" w:rsidR="007425BC" w:rsidRPr="003C0FA1" w:rsidRDefault="007425BC" w:rsidP="00EF7EC7">
      <w:pPr>
        <w:spacing w:after="0" w:line="22" w:lineRule="atLeast"/>
        <w:ind w:left="720"/>
        <w:textAlignment w:val="baseline"/>
        <w:rPr>
          <w:rFonts w:ascii="Montserrat" w:hAnsi="Montserrat"/>
          <w:sz w:val="20"/>
          <w:szCs w:val="20"/>
          <w:lang w:val="en-US"/>
        </w:rPr>
      </w:pPr>
    </w:p>
    <w:p w14:paraId="2CE8EEC7" w14:textId="3E74F522" w:rsidR="002E7090" w:rsidRPr="003C0FA1" w:rsidRDefault="002E7090" w:rsidP="00EF7EC7">
      <w:pPr>
        <w:spacing w:line="22" w:lineRule="atLeast"/>
        <w:rPr>
          <w:rFonts w:ascii="Montserrat" w:hAnsi="Montserrat"/>
          <w:sz w:val="20"/>
          <w:szCs w:val="20"/>
          <w:lang w:val="en-US"/>
        </w:rPr>
      </w:pPr>
      <w:r w:rsidRPr="003C0FA1">
        <w:rPr>
          <w:rFonts w:ascii="Montserrat" w:hAnsi="Montserrat"/>
          <w:sz w:val="20"/>
          <w:szCs w:val="20"/>
          <w:lang w:val="en-US"/>
        </w:rPr>
        <w:t xml:space="preserve">To construct Figure 1, </w:t>
      </w:r>
      <w:r w:rsidR="007425BC" w:rsidRPr="003C0FA1">
        <w:rPr>
          <w:rFonts w:ascii="Montserrat" w:hAnsi="Montserrat"/>
          <w:sz w:val="20"/>
          <w:szCs w:val="20"/>
          <w:lang w:val="en-US"/>
        </w:rPr>
        <w:t>we</w:t>
      </w:r>
      <w:r w:rsidRPr="003C0FA1">
        <w:rPr>
          <w:rFonts w:ascii="Montserrat" w:hAnsi="Montserrat"/>
          <w:sz w:val="20"/>
          <w:szCs w:val="20"/>
          <w:lang w:val="en-US"/>
        </w:rPr>
        <w:t xml:space="preserve"> followed Taylor’s original paper</w:t>
      </w:r>
      <w:r w:rsidR="007425BC" w:rsidRPr="003C0FA1">
        <w:rPr>
          <w:rFonts w:ascii="Montserrat" w:hAnsi="Montserrat"/>
          <w:sz w:val="20"/>
          <w:szCs w:val="20"/>
          <w:lang w:val="en-US"/>
        </w:rPr>
        <w:t xml:space="preserve">, considering CPI and not other measures as </w:t>
      </w:r>
      <w:r w:rsidRPr="003C0FA1">
        <w:rPr>
          <w:rFonts w:ascii="Montserrat" w:hAnsi="Montserrat"/>
          <w:sz w:val="20"/>
          <w:szCs w:val="20"/>
          <w:lang w:val="en-US"/>
        </w:rPr>
        <w:t>the GDP deflator</w:t>
      </w:r>
      <w:r w:rsidR="007425BC" w:rsidRPr="003C0FA1">
        <w:rPr>
          <w:rFonts w:ascii="Montserrat" w:hAnsi="Montserrat"/>
          <w:sz w:val="20"/>
          <w:szCs w:val="20"/>
          <w:lang w:val="en-US"/>
        </w:rPr>
        <w:t>.</w:t>
      </w:r>
      <w:r w:rsidRPr="003C0FA1">
        <w:rPr>
          <w:rFonts w:ascii="Montserrat" w:hAnsi="Montserrat"/>
          <w:sz w:val="20"/>
          <w:szCs w:val="20"/>
          <w:lang w:val="en-US"/>
        </w:rPr>
        <w:t xml:space="preserve"> To measure the output gap, for the period through 2009</w:t>
      </w:r>
      <w:r w:rsidR="00A57639" w:rsidRPr="003C0FA1">
        <w:rPr>
          <w:rFonts w:ascii="Montserrat" w:hAnsi="Montserrat"/>
          <w:sz w:val="20"/>
          <w:szCs w:val="20"/>
          <w:lang w:val="en-US"/>
        </w:rPr>
        <w:t>,</w:t>
      </w:r>
      <w:r w:rsidRPr="003C0FA1">
        <w:rPr>
          <w:rFonts w:ascii="Montserrat" w:hAnsi="Montserrat"/>
          <w:sz w:val="20"/>
          <w:szCs w:val="20"/>
          <w:lang w:val="en-US"/>
        </w:rPr>
        <w:t xml:space="preserve"> </w:t>
      </w:r>
      <w:r w:rsidR="00A57639" w:rsidRPr="003C0FA1">
        <w:rPr>
          <w:rFonts w:ascii="Montserrat" w:hAnsi="Montserrat"/>
          <w:sz w:val="20"/>
          <w:szCs w:val="20"/>
          <w:lang w:val="en-US"/>
        </w:rPr>
        <w:t>we</w:t>
      </w:r>
      <w:r w:rsidRPr="003C0FA1">
        <w:rPr>
          <w:rFonts w:ascii="Montserrat" w:hAnsi="Montserrat"/>
          <w:sz w:val="20"/>
          <w:szCs w:val="20"/>
          <w:lang w:val="en-US"/>
        </w:rPr>
        <w:t xml:space="preserve"> used estimates prepared by </w:t>
      </w:r>
      <w:r w:rsidR="00A57639" w:rsidRPr="003C0FA1">
        <w:rPr>
          <w:rFonts w:ascii="Montserrat" w:hAnsi="Montserrat"/>
          <w:sz w:val="20"/>
          <w:szCs w:val="20"/>
          <w:lang w:val="en-US"/>
        </w:rPr>
        <w:t>Central Bank’s</w:t>
      </w:r>
      <w:r w:rsidRPr="003C0FA1">
        <w:rPr>
          <w:rFonts w:ascii="Montserrat" w:hAnsi="Montserrat"/>
          <w:sz w:val="20"/>
          <w:szCs w:val="20"/>
          <w:lang w:val="en-US"/>
        </w:rPr>
        <w:t xml:space="preserve"> meetings. Importantly, for all figures in this post, I used only data that were known to policymakers at the time they made their decisions. Because initial data are often substantially revised, using real-time data is essential for evaluating policy choices.</w:t>
      </w:r>
    </w:p>
    <w:p w14:paraId="296B0536" w14:textId="6AF07037" w:rsidR="008352F7" w:rsidRPr="003C0FA1" w:rsidRDefault="002B5B09" w:rsidP="00EF7EC7">
      <w:pPr>
        <w:spacing w:after="0" w:line="22" w:lineRule="atLeast"/>
        <w:jc w:val="center"/>
        <w:textAlignment w:val="baseline"/>
        <w:rPr>
          <w:rFonts w:ascii="Montserrat" w:hAnsi="Montserrat"/>
          <w:sz w:val="20"/>
          <w:szCs w:val="20"/>
          <w:lang w:val="en-US"/>
        </w:rPr>
      </w:pPr>
      <w:hyperlink r:id="rId5" w:history="1">
        <w:r w:rsidR="008352F7" w:rsidRPr="003C0FA1">
          <w:rPr>
            <w:rFonts w:ascii="Montserrat" w:hAnsi="Montserrat"/>
            <w:sz w:val="20"/>
            <w:szCs w:val="20"/>
            <w:lang w:val="en-US"/>
          </w:rPr>
          <w:br/>
        </w:r>
        <w:r w:rsidR="008352F7" w:rsidRPr="003C0FA1">
          <w:rPr>
            <w:rFonts w:ascii="Montserrat" w:hAnsi="Montserrat"/>
            <w:noProof/>
            <w:sz w:val="20"/>
            <w:szCs w:val="20"/>
            <w:lang w:val="en-US"/>
          </w:rPr>
          <w:drawing>
            <wp:inline distT="0" distB="0" distL="0" distR="0" wp14:anchorId="4898CFDC" wp14:editId="2D5AF804">
              <wp:extent cx="4378211" cy="2751827"/>
              <wp:effectExtent l="0" t="0" r="3810" b="0"/>
              <wp:docPr id="1" name="Imagen 1" descr="Taylor_fig1_new">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ylor_fig1_new">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5935" cy="2756682"/>
                      </a:xfrm>
                      <a:prstGeom prst="rect">
                        <a:avLst/>
                      </a:prstGeom>
                      <a:noFill/>
                      <a:ln>
                        <a:noFill/>
                      </a:ln>
                    </pic:spPr>
                  </pic:pic>
                </a:graphicData>
              </a:graphic>
            </wp:inline>
          </w:drawing>
        </w:r>
      </w:hyperlink>
    </w:p>
    <w:p w14:paraId="076991DC" w14:textId="77777777" w:rsidR="008352F7" w:rsidRPr="003C0FA1" w:rsidRDefault="008352F7" w:rsidP="00EF7EC7">
      <w:pPr>
        <w:spacing w:after="0" w:line="22" w:lineRule="atLeast"/>
        <w:textAlignment w:val="baseline"/>
        <w:rPr>
          <w:rFonts w:ascii="Montserrat" w:hAnsi="Montserrat"/>
          <w:sz w:val="20"/>
          <w:szCs w:val="20"/>
          <w:lang w:val="en-US"/>
        </w:rPr>
      </w:pPr>
    </w:p>
    <w:p w14:paraId="0316D823" w14:textId="69773438" w:rsidR="00954EC1" w:rsidRPr="003C0FA1" w:rsidRDefault="00954EC1" w:rsidP="00EF7EC7">
      <w:pPr>
        <w:spacing w:after="0" w:line="22" w:lineRule="atLeast"/>
        <w:textAlignment w:val="baseline"/>
        <w:rPr>
          <w:rFonts w:ascii="Montserrat" w:hAnsi="Montserrat"/>
          <w:sz w:val="20"/>
          <w:szCs w:val="20"/>
          <w:lang w:val="en-US"/>
        </w:rPr>
      </w:pPr>
      <w:r w:rsidRPr="003C0FA1">
        <w:rPr>
          <w:rFonts w:ascii="Montserrat" w:hAnsi="Montserrat"/>
          <w:sz w:val="20"/>
          <w:szCs w:val="20"/>
          <w:lang w:val="en-US"/>
        </w:rPr>
        <w:t xml:space="preserve">As for the period since the financial crisis, the Taylor rule suggests that the “right” funds rate was quite negative, at least until very recently. If the Taylor rule predicts a sharply negative funds rate, which of course is not feasible, then it seems sensible for </w:t>
      </w:r>
      <w:r w:rsidR="00F04535" w:rsidRPr="003C0FA1">
        <w:rPr>
          <w:rFonts w:ascii="Montserrat" w:hAnsi="Montserrat"/>
          <w:sz w:val="20"/>
          <w:szCs w:val="20"/>
          <w:lang w:val="en-US"/>
        </w:rPr>
        <w:t>Central Banks to</w:t>
      </w:r>
      <w:r w:rsidRPr="003C0FA1">
        <w:rPr>
          <w:rFonts w:ascii="Montserrat" w:hAnsi="Montserrat"/>
          <w:sz w:val="20"/>
          <w:szCs w:val="20"/>
          <w:lang w:val="en-US"/>
        </w:rPr>
        <w:t xml:space="preserve"> keep the funds rate close to zero (about as low as it can go) while looking for other tools (like purchases of securities) to achieve further monetary ease.</w:t>
      </w:r>
      <w:r w:rsidR="006F528E">
        <w:rPr>
          <w:rFonts w:ascii="Montserrat" w:hAnsi="Montserrat"/>
          <w:sz w:val="20"/>
          <w:szCs w:val="20"/>
          <w:lang w:val="en-US"/>
        </w:rPr>
        <w:t xml:space="preserve"> </w:t>
      </w:r>
      <w:r w:rsidR="006F528E" w:rsidRPr="006F528E">
        <w:rPr>
          <w:rFonts w:ascii="Montserrat" w:hAnsi="Montserrat"/>
          <w:sz w:val="20"/>
          <w:szCs w:val="20"/>
          <w:lang w:val="en-US"/>
        </w:rPr>
        <w:t>The Taylor rule provides no guidance about what to do when the predicted rate is negative, as has been the case for almost the entire period since the crisis.</w:t>
      </w:r>
    </w:p>
    <w:p w14:paraId="5C5D4E11" w14:textId="77777777" w:rsidR="002E7090" w:rsidRPr="003C0FA1" w:rsidRDefault="002E7090" w:rsidP="00EF7EC7">
      <w:pPr>
        <w:spacing w:line="22" w:lineRule="atLeast"/>
        <w:rPr>
          <w:rFonts w:ascii="Montserrat" w:hAnsi="Montserrat"/>
          <w:sz w:val="20"/>
          <w:szCs w:val="20"/>
          <w:lang w:val="en-US"/>
        </w:rPr>
      </w:pPr>
    </w:p>
    <w:p w14:paraId="76C2AC70" w14:textId="3F306970" w:rsidR="002E7090" w:rsidRPr="003C0FA1" w:rsidRDefault="00EF7EC7" w:rsidP="00EF7EC7">
      <w:pPr>
        <w:spacing w:line="22" w:lineRule="atLeast"/>
        <w:rPr>
          <w:rFonts w:ascii="Montserrat" w:hAnsi="Montserrat"/>
          <w:sz w:val="20"/>
          <w:szCs w:val="20"/>
          <w:lang w:val="en-US"/>
        </w:rPr>
      </w:pPr>
      <w:r>
        <w:rPr>
          <w:rFonts w:ascii="Montserrat" w:hAnsi="Montserrat"/>
          <w:sz w:val="20"/>
          <w:szCs w:val="20"/>
          <w:lang w:val="en-US"/>
        </w:rPr>
        <w:t xml:space="preserve">Also, it is important to point out that </w:t>
      </w:r>
      <w:r w:rsidR="00954EC1" w:rsidRPr="003C0FA1">
        <w:rPr>
          <w:rFonts w:ascii="Montserrat" w:hAnsi="Montserrat"/>
          <w:sz w:val="20"/>
          <w:szCs w:val="20"/>
          <w:lang w:val="en-US"/>
        </w:rPr>
        <w:t xml:space="preserve">the </w:t>
      </w:r>
      <w:r>
        <w:rPr>
          <w:rFonts w:ascii="Montserrat" w:hAnsi="Montserrat"/>
          <w:sz w:val="20"/>
          <w:szCs w:val="20"/>
          <w:lang w:val="en-US"/>
        </w:rPr>
        <w:t xml:space="preserve">growth </w:t>
      </w:r>
      <w:r w:rsidR="00954EC1" w:rsidRPr="003C0FA1">
        <w:rPr>
          <w:rFonts w:ascii="Montserrat" w:hAnsi="Montserrat"/>
          <w:sz w:val="20"/>
          <w:szCs w:val="20"/>
          <w:lang w:val="en-US"/>
        </w:rPr>
        <w:t>recovery has been disappointing. The financial crisis of 2007-2009 was the worst at least since the Depression, and it left deep scars on econom</w:t>
      </w:r>
      <w:r>
        <w:rPr>
          <w:rFonts w:ascii="Montserrat" w:hAnsi="Montserrat"/>
          <w:sz w:val="20"/>
          <w:szCs w:val="20"/>
          <w:lang w:val="en-US"/>
        </w:rPr>
        <w:t>ies</w:t>
      </w:r>
      <w:r w:rsidR="00954EC1" w:rsidRPr="003C0FA1">
        <w:rPr>
          <w:rFonts w:ascii="Montserrat" w:hAnsi="Montserrat"/>
          <w:sz w:val="20"/>
          <w:szCs w:val="20"/>
          <w:lang w:val="en-US"/>
        </w:rPr>
        <w:t>. The recovery faced other headwinds, such as tight fiscal policy from 2010 on and the resurgence of financial problems in Europe. Compared to other industrial countries, the US has enjoyed a relatively strong recovery from the Great Recession.</w:t>
      </w:r>
      <w:r>
        <w:rPr>
          <w:rFonts w:ascii="Montserrat" w:hAnsi="Montserrat"/>
          <w:sz w:val="20"/>
          <w:szCs w:val="20"/>
          <w:lang w:val="en-US"/>
        </w:rPr>
        <w:t xml:space="preserve"> (ADD FIGURE)</w:t>
      </w:r>
    </w:p>
    <w:p w14:paraId="34F905C5" w14:textId="464607BA" w:rsidR="00954EC1" w:rsidRPr="003C0FA1" w:rsidRDefault="00954EC1" w:rsidP="00EF7EC7">
      <w:pPr>
        <w:pBdr>
          <w:bottom w:val="single" w:sz="12" w:space="1" w:color="auto"/>
        </w:pBdr>
        <w:spacing w:line="22" w:lineRule="atLeast"/>
        <w:rPr>
          <w:rFonts w:ascii="Montserrat" w:hAnsi="Montserrat"/>
          <w:sz w:val="20"/>
          <w:szCs w:val="20"/>
          <w:lang w:val="en-US"/>
        </w:rPr>
      </w:pPr>
    </w:p>
    <w:p w14:paraId="5B7DD2D1" w14:textId="77777777" w:rsidR="006F528E" w:rsidRDefault="00955E01" w:rsidP="00EF7EC7">
      <w:pPr>
        <w:spacing w:after="240" w:line="22" w:lineRule="atLeast"/>
        <w:rPr>
          <w:rFonts w:ascii="Montserrat" w:hAnsi="Montserrat"/>
          <w:sz w:val="20"/>
          <w:szCs w:val="20"/>
          <w:lang w:val="en-US"/>
        </w:rPr>
      </w:pPr>
      <w:r w:rsidRPr="003C0FA1">
        <w:rPr>
          <w:rFonts w:ascii="Montserrat" w:hAnsi="Montserrat"/>
          <w:sz w:val="20"/>
          <w:szCs w:val="20"/>
          <w:lang w:val="en-US"/>
        </w:rPr>
        <w:t xml:space="preserve">In our view, </w:t>
      </w:r>
      <w:r w:rsidR="007E4988" w:rsidRPr="003C0FA1">
        <w:rPr>
          <w:rFonts w:ascii="Montserrat" w:hAnsi="Montserrat"/>
          <w:sz w:val="20"/>
          <w:szCs w:val="20"/>
          <w:lang w:val="en-US"/>
        </w:rPr>
        <w:t>underestimat</w:t>
      </w:r>
      <w:r w:rsidR="006F528E">
        <w:rPr>
          <w:rFonts w:ascii="Montserrat" w:hAnsi="Montserrat"/>
          <w:sz w:val="20"/>
          <w:szCs w:val="20"/>
          <w:lang w:val="en-US"/>
        </w:rPr>
        <w:t>ing</w:t>
      </w:r>
      <w:r w:rsidRPr="003C0FA1">
        <w:rPr>
          <w:rFonts w:ascii="Montserrat" w:hAnsi="Montserrat"/>
          <w:sz w:val="20"/>
          <w:szCs w:val="20"/>
          <w:lang w:val="en-US"/>
        </w:rPr>
        <w:t xml:space="preserve"> both the risks that inflation will remain high and the costs of </w:t>
      </w:r>
      <w:r w:rsidR="006F528E">
        <w:rPr>
          <w:rFonts w:ascii="Montserrat" w:hAnsi="Montserrat"/>
          <w:sz w:val="20"/>
          <w:szCs w:val="20"/>
          <w:lang w:val="en-US"/>
        </w:rPr>
        <w:t xml:space="preserve">Central Banks </w:t>
      </w:r>
      <w:r w:rsidRPr="003C0FA1">
        <w:rPr>
          <w:rFonts w:ascii="Montserrat" w:hAnsi="Montserrat"/>
          <w:sz w:val="20"/>
          <w:szCs w:val="20"/>
          <w:lang w:val="en-US"/>
        </w:rPr>
        <w:t>losing credibility. It is not sufficient to point to low bond yields as evidence that inflation expectations are under control. As</w:t>
      </w:r>
      <w:hyperlink r:id="rId7" w:tgtFrame="_blank" w:history="1">
        <w:r w:rsidRPr="003C0FA1">
          <w:rPr>
            <w:rFonts w:ascii="Montserrat" w:hAnsi="Montserrat"/>
            <w:sz w:val="20"/>
            <w:szCs w:val="20"/>
            <w:lang w:val="en-US"/>
          </w:rPr>
          <w:t xml:space="preserve"> Sargent and Silber</w:t>
        </w:r>
      </w:hyperlink>
      <w:r w:rsidRPr="003C0FA1">
        <w:rPr>
          <w:rFonts w:ascii="Montserrat" w:hAnsi="Montserrat"/>
          <w:sz w:val="20"/>
          <w:szCs w:val="20"/>
          <w:lang w:val="en-US"/>
        </w:rPr>
        <w:t xml:space="preserve"> argue, the bond market was an unreliable indicator during the Volcker disinflation of the early 1980s and it may be lagging again. </w:t>
      </w:r>
    </w:p>
    <w:p w14:paraId="1DB6D058" w14:textId="142E1E83" w:rsidR="00955E01" w:rsidRPr="003C0FA1" w:rsidRDefault="00955E01" w:rsidP="00EF7EC7">
      <w:pPr>
        <w:spacing w:after="240" w:line="22" w:lineRule="atLeast"/>
        <w:rPr>
          <w:rFonts w:ascii="Montserrat" w:hAnsi="Montserrat"/>
          <w:sz w:val="20"/>
          <w:szCs w:val="20"/>
          <w:lang w:val="en-US"/>
        </w:rPr>
      </w:pPr>
      <w:r w:rsidRPr="003C0FA1">
        <w:rPr>
          <w:rFonts w:ascii="Montserrat" w:hAnsi="Montserrat"/>
          <w:sz w:val="20"/>
          <w:szCs w:val="20"/>
          <w:lang w:val="en-US"/>
        </w:rPr>
        <w:t xml:space="preserve">The continued mix of expansionary fiscal and monetary policies in 2021 (long after the recovery had gained momentum), combined with </w:t>
      </w:r>
      <w:r w:rsidR="006F528E">
        <w:rPr>
          <w:rFonts w:ascii="Montserrat" w:hAnsi="Montserrat"/>
          <w:sz w:val="20"/>
          <w:szCs w:val="20"/>
          <w:lang w:val="en-US"/>
        </w:rPr>
        <w:t>high prices</w:t>
      </w:r>
      <w:r w:rsidRPr="003C0FA1">
        <w:rPr>
          <w:rFonts w:ascii="Montserrat" w:hAnsi="Montserrat"/>
          <w:sz w:val="20"/>
          <w:szCs w:val="20"/>
          <w:lang w:val="en-US"/>
        </w:rPr>
        <w:t xml:space="preserve">, provides strong evidence of a shift in the inflation regime. Moreover, </w:t>
      </w:r>
      <w:r w:rsidR="006F528E">
        <w:rPr>
          <w:rFonts w:ascii="Montserrat" w:hAnsi="Montserrat"/>
          <w:sz w:val="20"/>
          <w:szCs w:val="20"/>
          <w:lang w:val="en-US"/>
        </w:rPr>
        <w:t xml:space="preserve">for some economies </w:t>
      </w:r>
      <w:r w:rsidRPr="003C0FA1">
        <w:rPr>
          <w:rFonts w:ascii="Montserrat" w:hAnsi="Montserrat"/>
          <w:sz w:val="20"/>
          <w:szCs w:val="20"/>
          <w:lang w:val="en-US"/>
        </w:rPr>
        <w:t xml:space="preserve">high inflation readings are influencing price- and wage-setting on a scale that we have not witnessed in decades. </w:t>
      </w:r>
    </w:p>
    <w:p w14:paraId="1957AD88" w14:textId="39841F12" w:rsidR="00955E01" w:rsidRPr="003C0FA1" w:rsidRDefault="009C0030" w:rsidP="00EF7EC7">
      <w:pPr>
        <w:spacing w:line="22" w:lineRule="atLeast"/>
        <w:rPr>
          <w:rFonts w:ascii="Montserrat" w:hAnsi="Montserrat"/>
          <w:sz w:val="20"/>
          <w:szCs w:val="20"/>
          <w:lang w:val="en-US"/>
        </w:rPr>
      </w:pPr>
      <w:r w:rsidRPr="003C0FA1">
        <w:rPr>
          <w:rFonts w:ascii="Montserrat" w:hAnsi="Montserrat"/>
          <w:sz w:val="20"/>
          <w:szCs w:val="20"/>
          <w:lang w:val="en-US"/>
        </w:rPr>
        <w:t xml:space="preserve">Of course, inflation is notoriously difficult to forecast. However, forecast accuracy should encourage greater reliance </w:t>
      </w:r>
      <w:commentRangeStart w:id="0"/>
      <w:r w:rsidRPr="003C0FA1">
        <w:rPr>
          <w:rFonts w:ascii="Montserrat" w:hAnsi="Montserrat"/>
          <w:sz w:val="20"/>
          <w:szCs w:val="20"/>
          <w:lang w:val="en-US"/>
        </w:rPr>
        <w:t xml:space="preserve">by policymakers on trend measures of inflation. Put differently, any claim that a positive inflation surprise is transitory embeds the belief that inflation will recede on its own. In recent experience, trend inflation initially rose in April 2021. </w:t>
      </w:r>
      <w:commentRangeEnd w:id="0"/>
      <w:r w:rsidR="009B76FB">
        <w:rPr>
          <w:rStyle w:val="CommentReference"/>
        </w:rPr>
        <w:commentReference w:id="0"/>
      </w:r>
      <w:r w:rsidRPr="003C0FA1">
        <w:rPr>
          <w:rFonts w:ascii="Montserrat" w:hAnsi="Montserrat"/>
          <w:sz w:val="20"/>
          <w:szCs w:val="20"/>
          <w:lang w:val="en-US"/>
        </w:rPr>
        <w:t xml:space="preserve">By June, nearly all measures of core inflation exceeded the Fed’s stated longer-term goal. </w:t>
      </w:r>
    </w:p>
    <w:p w14:paraId="69A06AA8" w14:textId="4A28A0D9" w:rsidR="009C0030" w:rsidRPr="003C0FA1" w:rsidRDefault="009C0030" w:rsidP="00EF7EC7">
      <w:pPr>
        <w:spacing w:line="22" w:lineRule="atLeast"/>
        <w:rPr>
          <w:rFonts w:ascii="Montserrat" w:hAnsi="Montserrat"/>
          <w:sz w:val="20"/>
          <w:szCs w:val="20"/>
          <w:lang w:val="en-US"/>
        </w:rPr>
      </w:pPr>
    </w:p>
    <w:p w14:paraId="6ABF08DE" w14:textId="65D7D3F6" w:rsidR="009C0030" w:rsidRPr="003C0FA1" w:rsidRDefault="009C0030" w:rsidP="00EF7EC7">
      <w:pPr>
        <w:spacing w:after="240" w:line="22" w:lineRule="atLeast"/>
        <w:rPr>
          <w:rFonts w:ascii="Montserrat" w:hAnsi="Montserrat"/>
          <w:sz w:val="20"/>
          <w:szCs w:val="20"/>
          <w:lang w:val="en-US"/>
        </w:rPr>
      </w:pPr>
      <w:r w:rsidRPr="003C0FA1">
        <w:rPr>
          <w:rFonts w:ascii="Montserrat" w:hAnsi="Montserrat"/>
          <w:sz w:val="20"/>
          <w:szCs w:val="20"/>
          <w:lang w:val="en-US"/>
        </w:rPr>
        <w:lastRenderedPageBreak/>
        <w:t xml:space="preserve">Putting this all together, </w:t>
      </w:r>
      <w:r w:rsidR="00174357">
        <w:rPr>
          <w:rFonts w:ascii="Montserrat" w:hAnsi="Montserrat"/>
          <w:sz w:val="20"/>
          <w:szCs w:val="20"/>
          <w:lang w:val="en-US"/>
        </w:rPr>
        <w:t>Central Banks</w:t>
      </w:r>
      <w:r w:rsidRPr="003C0FA1">
        <w:rPr>
          <w:rFonts w:ascii="Montserrat" w:hAnsi="Montserrat"/>
          <w:sz w:val="20"/>
          <w:szCs w:val="20"/>
          <w:lang w:val="en-US"/>
        </w:rPr>
        <w:t xml:space="preserve"> needs a plan to raise rates quickly and substantially. By how much? To get a sense of the magnitudes, we compute a simple Taylor rule and display the results in the next chart. </w:t>
      </w:r>
      <w:r w:rsidRPr="00174357">
        <w:rPr>
          <w:rFonts w:ascii="Montserrat" w:hAnsi="Montserrat"/>
          <w:color w:val="FF0000"/>
          <w:sz w:val="20"/>
          <w:szCs w:val="20"/>
          <w:lang w:val="en-US"/>
        </w:rPr>
        <w:t xml:space="preserve">Starting with the history, we show the actual federal funds rate target in black and the Taylor rule rate in solid red. The two follow each other relatively closely from the mid-1980s through 2007. </w:t>
      </w:r>
      <w:r w:rsidRPr="003C0FA1">
        <w:rPr>
          <w:rFonts w:ascii="Montserrat" w:hAnsi="Montserrat"/>
          <w:sz w:val="20"/>
          <w:szCs w:val="20"/>
          <w:lang w:val="en-US"/>
        </w:rPr>
        <w:t xml:space="preserve">Importantly, however, during periods when the policy rate falls persistently short of the Taylor rule rate, as in the 1970s, inflation tends to rise. </w:t>
      </w:r>
    </w:p>
    <w:p w14:paraId="3DC429A1" w14:textId="77777777" w:rsidR="009C0030" w:rsidRPr="003C0FA1" w:rsidRDefault="009C0030" w:rsidP="00EF7EC7">
      <w:pPr>
        <w:spacing w:after="0" w:line="22" w:lineRule="atLeast"/>
        <w:rPr>
          <w:rFonts w:ascii="Montserrat" w:hAnsi="Montserrat"/>
          <w:sz w:val="20"/>
          <w:szCs w:val="20"/>
          <w:lang w:val="en-US"/>
        </w:rPr>
      </w:pPr>
      <w:r w:rsidRPr="003C0FA1">
        <w:rPr>
          <w:rFonts w:ascii="Montserrat" w:hAnsi="Montserrat"/>
          <w:sz w:val="20"/>
          <w:szCs w:val="20"/>
          <w:lang w:val="en-US"/>
        </w:rPr>
        <w:t>Federal Funds Rate, Taylor Rule rate, and projected rule rates, quarterly, 1970-2024</w:t>
      </w:r>
    </w:p>
    <w:p w14:paraId="297DDE6E" w14:textId="713242E4" w:rsidR="009C0030" w:rsidRPr="003C0FA1" w:rsidRDefault="009C0030" w:rsidP="00EF7EC7">
      <w:pPr>
        <w:spacing w:after="0" w:line="22" w:lineRule="atLeast"/>
        <w:jc w:val="center"/>
        <w:rPr>
          <w:rFonts w:ascii="Montserrat" w:hAnsi="Montserrat"/>
          <w:sz w:val="20"/>
          <w:szCs w:val="20"/>
          <w:lang w:val="en-US"/>
        </w:rPr>
      </w:pPr>
      <w:r w:rsidRPr="003C0FA1">
        <w:rPr>
          <w:rFonts w:ascii="Montserrat" w:hAnsi="Montserrat"/>
          <w:noProof/>
          <w:sz w:val="20"/>
          <w:szCs w:val="20"/>
          <w:lang w:val="en-US"/>
        </w:rPr>
        <w:drawing>
          <wp:inline distT="0" distB="0" distL="0" distR="0" wp14:anchorId="16F90845" wp14:editId="24572618">
            <wp:extent cx="4052254" cy="2941983"/>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2688" cy="2949558"/>
                    </a:xfrm>
                    <a:prstGeom prst="rect">
                      <a:avLst/>
                    </a:prstGeom>
                    <a:noFill/>
                    <a:ln>
                      <a:noFill/>
                    </a:ln>
                  </pic:spPr>
                </pic:pic>
              </a:graphicData>
            </a:graphic>
          </wp:inline>
        </w:drawing>
      </w:r>
    </w:p>
    <w:p w14:paraId="3B05B12B" w14:textId="77777777" w:rsidR="006F528E" w:rsidRDefault="006F528E" w:rsidP="00EF7EC7">
      <w:pPr>
        <w:spacing w:line="22" w:lineRule="atLeast"/>
        <w:rPr>
          <w:rFonts w:ascii="Montserrat" w:hAnsi="Montserrat"/>
          <w:sz w:val="20"/>
          <w:szCs w:val="20"/>
          <w:lang w:val="en-US"/>
        </w:rPr>
      </w:pPr>
    </w:p>
    <w:p w14:paraId="3272504C" w14:textId="5D1E382F" w:rsidR="009C0030" w:rsidRPr="003C0FA1" w:rsidRDefault="009C0030" w:rsidP="00EF7EC7">
      <w:pPr>
        <w:spacing w:line="22" w:lineRule="atLeast"/>
        <w:rPr>
          <w:rFonts w:ascii="Montserrat" w:hAnsi="Montserrat"/>
          <w:sz w:val="20"/>
          <w:szCs w:val="20"/>
          <w:lang w:val="en-US"/>
        </w:rPr>
      </w:pPr>
      <w:r w:rsidRPr="003C0FA1">
        <w:rPr>
          <w:rFonts w:ascii="Montserrat" w:hAnsi="Montserrat"/>
          <w:sz w:val="20"/>
          <w:szCs w:val="20"/>
          <w:lang w:val="en-US"/>
        </w:rPr>
        <w:t xml:space="preserve">Turning to the more recent period, we see that by the end of 2021, with ex-food and energy PCE inflation running about 4½ percent, the Taylor rule implied a policy rate of nearly 7 percent. Even if core inflation comes down by a percentage point during 2022—that is, by more than the recent trimmed mean PCE inflation rate implies—the projected Taylor rule rate will remain above 5 percent. While it is not obvious from the chart, for </w:t>
      </w:r>
      <w:r w:rsidR="00174357">
        <w:rPr>
          <w:rFonts w:ascii="Montserrat" w:hAnsi="Montserrat"/>
          <w:sz w:val="20"/>
          <w:szCs w:val="20"/>
          <w:lang w:val="en-US"/>
        </w:rPr>
        <w:t>Central Banks</w:t>
      </w:r>
      <w:r w:rsidRPr="003C0FA1">
        <w:rPr>
          <w:rFonts w:ascii="Montserrat" w:hAnsi="Montserrat"/>
          <w:sz w:val="20"/>
          <w:szCs w:val="20"/>
          <w:lang w:val="en-US"/>
        </w:rPr>
        <w:t xml:space="preserve"> to ensure inflation returns to its target of 2%, policymakers likely will need to bring the short-term </w:t>
      </w:r>
      <w:r w:rsidRPr="00EF7EC7">
        <w:rPr>
          <w:rFonts w:ascii="Montserrat" w:hAnsi="Montserrat"/>
          <w:sz w:val="20"/>
          <w:szCs w:val="20"/>
          <w:lang w:val="en-US"/>
        </w:rPr>
        <w:t>real</w:t>
      </w:r>
      <w:r w:rsidRPr="003C0FA1">
        <w:rPr>
          <w:rFonts w:ascii="Montserrat" w:hAnsi="Montserrat"/>
          <w:sz w:val="20"/>
          <w:szCs w:val="20"/>
          <w:lang w:val="en-US"/>
        </w:rPr>
        <w:t xml:space="preserve"> interest rate into significantly positive territory. </w:t>
      </w:r>
    </w:p>
    <w:p w14:paraId="13165258" w14:textId="7293B188" w:rsidR="009C0030" w:rsidRPr="003C0FA1" w:rsidRDefault="009C0030" w:rsidP="00EF7EC7">
      <w:pPr>
        <w:spacing w:line="22" w:lineRule="atLeast"/>
        <w:rPr>
          <w:rFonts w:ascii="Montserrat" w:hAnsi="Montserrat"/>
          <w:sz w:val="20"/>
          <w:szCs w:val="20"/>
          <w:lang w:val="en-US"/>
        </w:rPr>
      </w:pPr>
      <w:commentRangeStart w:id="1"/>
      <w:r w:rsidRPr="003C0FA1">
        <w:rPr>
          <w:rFonts w:ascii="Montserrat" w:hAnsi="Montserrat"/>
          <w:sz w:val="20"/>
          <w:szCs w:val="20"/>
          <w:lang w:val="en-US"/>
        </w:rPr>
        <w:t xml:space="preserve">Inflation rose very quickly, so it may still be possible to bring it down sharply without a recession. The more decisively policymakers act, the lower the long-run costs are likely to be. Indeed, we are skeptical of arguments that an aggressive </w:t>
      </w:r>
      <w:r w:rsidR="00174357">
        <w:rPr>
          <w:rFonts w:ascii="Montserrat" w:hAnsi="Montserrat"/>
          <w:sz w:val="20"/>
          <w:szCs w:val="20"/>
          <w:lang w:val="en-US"/>
        </w:rPr>
        <w:t xml:space="preserve">monetary policy </w:t>
      </w:r>
      <w:r w:rsidRPr="003C0FA1">
        <w:rPr>
          <w:rFonts w:ascii="Montserrat" w:hAnsi="Montserrat"/>
          <w:sz w:val="20"/>
          <w:szCs w:val="20"/>
          <w:lang w:val="en-US"/>
        </w:rPr>
        <w:t>tightening would be particularly damaging over time to those with lower incomes. Rather, the experience of recent decades is that job and wage gains for those with low incomes are most closely associated with long, relatively steady expansions. Failure to restore price stability in a timely way would almost surely render this expansion disturbingly short compared to recent norms.</w:t>
      </w:r>
      <w:commentRangeEnd w:id="1"/>
      <w:r w:rsidR="00174357">
        <w:rPr>
          <w:rStyle w:val="CommentReference"/>
        </w:rPr>
        <w:commentReference w:id="1"/>
      </w:r>
    </w:p>
    <w:p w14:paraId="5A61C0DA" w14:textId="77777777" w:rsidR="009C0030" w:rsidRPr="00EF7EC7" w:rsidRDefault="002B5B09" w:rsidP="00EF7EC7">
      <w:pPr>
        <w:spacing w:line="22" w:lineRule="atLeast"/>
        <w:rPr>
          <w:rFonts w:ascii="Montserrat" w:hAnsi="Montserrat"/>
          <w:sz w:val="20"/>
          <w:szCs w:val="20"/>
          <w:lang w:val="en-US"/>
        </w:rPr>
      </w:pPr>
      <w:hyperlink r:id="rId13" w:history="1">
        <w:r w:rsidR="009C0030" w:rsidRPr="00EF7EC7">
          <w:rPr>
            <w:rFonts w:ascii="Montserrat" w:hAnsi="Montserrat"/>
            <w:sz w:val="20"/>
            <w:szCs w:val="20"/>
            <w:lang w:val="en-US"/>
          </w:rPr>
          <w:t>Permalink</w:t>
        </w:r>
      </w:hyperlink>
    </w:p>
    <w:p w14:paraId="73305597" w14:textId="77777777" w:rsidR="009C0030" w:rsidRPr="00EF7EC7" w:rsidRDefault="009C0030" w:rsidP="00EF7EC7">
      <w:pPr>
        <w:spacing w:line="22" w:lineRule="atLeast"/>
        <w:rPr>
          <w:rFonts w:ascii="Montserrat" w:hAnsi="Montserrat"/>
          <w:sz w:val="20"/>
          <w:szCs w:val="20"/>
          <w:lang w:val="en-US"/>
        </w:rPr>
      </w:pPr>
      <w:r w:rsidRPr="00174357">
        <w:rPr>
          <w:lang w:val="en-US"/>
        </w:rPr>
        <w:t>Tags: </w:t>
      </w:r>
      <w:hyperlink r:id="rId14" w:anchor="show-archive" w:history="1">
        <w:r w:rsidRPr="00174357">
          <w:rPr>
            <w:lang w:val="en-US"/>
          </w:rPr>
          <w:t>Federal Reserve</w:t>
        </w:r>
      </w:hyperlink>
      <w:r w:rsidRPr="00174357">
        <w:rPr>
          <w:lang w:val="en-US"/>
        </w:rPr>
        <w:t>, </w:t>
      </w:r>
      <w:hyperlink r:id="rId15" w:anchor="show-archive" w:history="1">
        <w:r w:rsidRPr="00174357">
          <w:rPr>
            <w:lang w:val="en-US"/>
          </w:rPr>
          <w:t>Monetary policy</w:t>
        </w:r>
      </w:hyperlink>
      <w:r w:rsidRPr="00174357">
        <w:rPr>
          <w:lang w:val="en-US"/>
        </w:rPr>
        <w:t>, </w:t>
      </w:r>
      <w:hyperlink r:id="rId16" w:anchor="show-archive" w:history="1">
        <w:r w:rsidRPr="00174357">
          <w:rPr>
            <w:lang w:val="en-US"/>
          </w:rPr>
          <w:t>Inflation</w:t>
        </w:r>
      </w:hyperlink>
      <w:r w:rsidRPr="00174357">
        <w:rPr>
          <w:lang w:val="en-US"/>
        </w:rPr>
        <w:t>, </w:t>
      </w:r>
      <w:hyperlink r:id="rId17" w:anchor="show-archive" w:history="1">
        <w:r w:rsidRPr="00174357">
          <w:rPr>
            <w:lang w:val="en-US"/>
          </w:rPr>
          <w:t>Price stability</w:t>
        </w:r>
      </w:hyperlink>
      <w:r w:rsidRPr="00174357">
        <w:rPr>
          <w:lang w:val="en-US"/>
        </w:rPr>
        <w:t>, </w:t>
      </w:r>
      <w:hyperlink r:id="rId18" w:anchor="show-archive" w:history="1">
        <w:r w:rsidRPr="00174357">
          <w:rPr>
            <w:lang w:val="en-US"/>
          </w:rPr>
          <w:t>Trend inflation</w:t>
        </w:r>
      </w:hyperlink>
      <w:r w:rsidRPr="00174357">
        <w:rPr>
          <w:lang w:val="en-US"/>
        </w:rPr>
        <w:t>, </w:t>
      </w:r>
      <w:hyperlink r:id="rId19" w:anchor="show-archive" w:history="1">
        <w:r w:rsidRPr="00174357">
          <w:rPr>
            <w:lang w:val="en-US"/>
          </w:rPr>
          <w:t>Inflation forecast</w:t>
        </w:r>
      </w:hyperlink>
      <w:r w:rsidRPr="00174357">
        <w:rPr>
          <w:lang w:val="en-US"/>
        </w:rPr>
        <w:t>, </w:t>
      </w:r>
      <w:hyperlink r:id="rId20" w:anchor="show-archive" w:history="1">
        <w:r w:rsidRPr="00174357">
          <w:rPr>
            <w:lang w:val="en-US"/>
          </w:rPr>
          <w:t>Credibility</w:t>
        </w:r>
      </w:hyperlink>
      <w:r w:rsidRPr="00174357">
        <w:rPr>
          <w:lang w:val="en-US"/>
        </w:rPr>
        <w:t>, </w:t>
      </w:r>
      <w:hyperlink r:id="rId21" w:anchor="show-archive" w:history="1">
        <w:r w:rsidRPr="00174357">
          <w:rPr>
            <w:lang w:val="en-US"/>
          </w:rPr>
          <w:t>Policy strategy</w:t>
        </w:r>
      </w:hyperlink>
      <w:r w:rsidRPr="00174357">
        <w:rPr>
          <w:lang w:val="en-US"/>
        </w:rPr>
        <w:t>, </w:t>
      </w:r>
      <w:hyperlink r:id="rId22" w:anchor="show-archive" w:history="1">
        <w:r w:rsidRPr="00174357">
          <w:rPr>
            <w:lang w:val="en-US"/>
          </w:rPr>
          <w:t>Average inflation targeting</w:t>
        </w:r>
      </w:hyperlink>
      <w:r w:rsidRPr="00174357">
        <w:rPr>
          <w:lang w:val="en-US"/>
        </w:rPr>
        <w:t>, </w:t>
      </w:r>
      <w:hyperlink r:id="rId23" w:anchor="show-archive" w:history="1">
        <w:r w:rsidRPr="00174357">
          <w:rPr>
            <w:lang w:val="en-US"/>
          </w:rPr>
          <w:t>Taylor rule</w:t>
        </w:r>
      </w:hyperlink>
      <w:r w:rsidRPr="00174357">
        <w:rPr>
          <w:lang w:val="en-US"/>
        </w:rPr>
        <w:t>, </w:t>
      </w:r>
      <w:hyperlink r:id="rId24" w:anchor="show-archive" w:history="1">
        <w:r w:rsidRPr="00174357">
          <w:rPr>
            <w:lang w:val="en-US"/>
          </w:rPr>
          <w:t>Inflationary bias</w:t>
        </w:r>
      </w:hyperlink>
      <w:r w:rsidRPr="00174357">
        <w:rPr>
          <w:lang w:val="en-US"/>
        </w:rPr>
        <w:t>, </w:t>
      </w:r>
      <w:hyperlink r:id="rId25" w:anchor="show-archive" w:history="1">
        <w:r w:rsidRPr="00174357">
          <w:rPr>
            <w:lang w:val="en-US"/>
          </w:rPr>
          <w:t>Zero lower bound</w:t>
        </w:r>
      </w:hyperlink>
      <w:r w:rsidRPr="00174357">
        <w:rPr>
          <w:lang w:val="en-US"/>
        </w:rPr>
        <w:t>, </w:t>
      </w:r>
      <w:hyperlink r:id="rId26" w:anchor="show-archive" w:history="1">
        <w:r w:rsidRPr="00174357">
          <w:rPr>
            <w:lang w:val="en-US"/>
          </w:rPr>
          <w:t>ZLB</w:t>
        </w:r>
      </w:hyperlink>
      <w:r w:rsidRPr="00174357">
        <w:rPr>
          <w:lang w:val="en-US"/>
        </w:rPr>
        <w:t>, </w:t>
      </w:r>
      <w:hyperlink r:id="rId27" w:anchor="show-archive" w:history="1">
        <w:r w:rsidRPr="00174357">
          <w:rPr>
            <w:lang w:val="en-US"/>
          </w:rPr>
          <w:t>Paul Volcker</w:t>
        </w:r>
      </w:hyperlink>
      <w:r w:rsidRPr="00174357">
        <w:rPr>
          <w:lang w:val="en-US"/>
        </w:rPr>
        <w:t>, </w:t>
      </w:r>
      <w:hyperlink r:id="rId28" w:anchor="show-archive" w:history="1">
        <w:r w:rsidRPr="00174357">
          <w:rPr>
            <w:lang w:val="en-US"/>
          </w:rPr>
          <w:t>Inflation persistence</w:t>
        </w:r>
      </w:hyperlink>
      <w:r w:rsidRPr="00174357">
        <w:rPr>
          <w:lang w:val="en-US"/>
        </w:rPr>
        <w:t>, </w:t>
      </w:r>
      <w:hyperlink r:id="rId29" w:anchor="show-archive" w:history="1">
        <w:r w:rsidRPr="00174357">
          <w:rPr>
            <w:lang w:val="en-US"/>
          </w:rPr>
          <w:t>FAIT</w:t>
        </w:r>
      </w:hyperlink>
      <w:r w:rsidRPr="00174357">
        <w:rPr>
          <w:lang w:val="en-US"/>
        </w:rPr>
        <w:t>, </w:t>
      </w:r>
      <w:hyperlink r:id="rId30" w:anchor="show-archive" w:history="1">
        <w:r w:rsidRPr="00174357">
          <w:rPr>
            <w:lang w:val="en-US"/>
          </w:rPr>
          <w:t>Summary of Economic Projections</w:t>
        </w:r>
      </w:hyperlink>
      <w:r w:rsidRPr="00174357">
        <w:rPr>
          <w:lang w:val="en-US"/>
        </w:rPr>
        <w:t>, </w:t>
      </w:r>
      <w:hyperlink r:id="rId31" w:anchor="show-archive" w:history="1">
        <w:r w:rsidRPr="00174357">
          <w:rPr>
            <w:lang w:val="en-US"/>
          </w:rPr>
          <w:t>SEP</w:t>
        </w:r>
      </w:hyperlink>
      <w:r w:rsidRPr="00174357">
        <w:rPr>
          <w:lang w:val="en-US"/>
        </w:rPr>
        <w:t>, </w:t>
      </w:r>
      <w:hyperlink r:id="rId32" w:anchor="show-archive" w:history="1">
        <w:r w:rsidRPr="00174357">
          <w:rPr>
            <w:lang w:val="en-US"/>
          </w:rPr>
          <w:t>Financial conditions</w:t>
        </w:r>
      </w:hyperlink>
      <w:r w:rsidRPr="00174357">
        <w:rPr>
          <w:lang w:val="en-US"/>
        </w:rPr>
        <w:t>, </w:t>
      </w:r>
      <w:hyperlink r:id="rId33" w:anchor="show-archive" w:history="1">
        <w:r w:rsidRPr="00174357">
          <w:rPr>
            <w:lang w:val="en-US"/>
          </w:rPr>
          <w:t>Recession</w:t>
        </w:r>
      </w:hyperlink>
    </w:p>
    <w:p w14:paraId="4ECE5325" w14:textId="5C58A0CF" w:rsidR="005E2B36" w:rsidRPr="00174357" w:rsidRDefault="005E2B36" w:rsidP="00EF7EC7">
      <w:pPr>
        <w:spacing w:line="22" w:lineRule="atLeast"/>
        <w:rPr>
          <w:lang w:val="en-US"/>
        </w:rPr>
      </w:pPr>
    </w:p>
    <w:p w14:paraId="1FD6464B" w14:textId="0DDF8A2A" w:rsidR="005E2B36" w:rsidRPr="00EF7EC7" w:rsidRDefault="005E2B36" w:rsidP="00EF7EC7">
      <w:pPr>
        <w:pStyle w:val="NormalWeb"/>
        <w:spacing w:before="300" w:beforeAutospacing="0" w:after="300" w:afterAutospacing="0" w:line="22" w:lineRule="atLeast"/>
        <w:rPr>
          <w:rFonts w:ascii="Montserrat" w:eastAsiaTheme="minorHAnsi" w:hAnsi="Montserrat" w:cstheme="minorBidi"/>
          <w:sz w:val="20"/>
          <w:szCs w:val="20"/>
          <w:lang w:val="en-US" w:eastAsia="en-US"/>
        </w:rPr>
      </w:pPr>
      <w:r w:rsidRPr="00EF7EC7">
        <w:rPr>
          <w:rFonts w:ascii="Montserrat" w:eastAsiaTheme="minorHAnsi" w:hAnsi="Montserrat" w:cstheme="minorBidi"/>
          <w:sz w:val="20"/>
          <w:szCs w:val="20"/>
          <w:lang w:val="en-US" w:eastAsia="en-US"/>
        </w:rPr>
        <w:lastRenderedPageBreak/>
        <w:t>With these assumptions, we find that for the ECB the Taylor rule would have prescribed a higher interest rate prior to the crisis and thereafter a much faster and deeper decline (see Figure 2). According to the Taylor rule, based on </w:t>
      </w:r>
      <w:r w:rsidRPr="00174357">
        <w:rPr>
          <w:rFonts w:eastAsiaTheme="minorHAnsi" w:cstheme="minorBidi"/>
          <w:i/>
          <w:iCs/>
          <w:lang w:val="en-US" w:eastAsia="en-US"/>
        </w:rPr>
        <w:t>ex post</w:t>
      </w:r>
      <w:r w:rsidRPr="00EF7EC7">
        <w:rPr>
          <w:rFonts w:ascii="Montserrat" w:eastAsiaTheme="minorHAnsi" w:hAnsi="Montserrat" w:cstheme="minorBidi"/>
          <w:sz w:val="20"/>
          <w:szCs w:val="20"/>
          <w:lang w:val="en-US" w:eastAsia="en-US"/>
        </w:rPr>
        <w:t xml:space="preserve"> data, 2015 would have been the point in time when the ECB should have started to raise the interest rate. In reality, this is when the ECB did the opposite by loosening further monetary conditions through its massive bond purchase </w:t>
      </w:r>
      <w:r w:rsidR="00C16998" w:rsidRPr="00EF7EC7">
        <w:rPr>
          <w:rFonts w:ascii="Montserrat" w:eastAsiaTheme="minorHAnsi" w:hAnsi="Montserrat" w:cstheme="minorBidi"/>
          <w:sz w:val="20"/>
          <w:szCs w:val="20"/>
          <w:lang w:val="en-US" w:eastAsia="en-US"/>
        </w:rPr>
        <w:t>program</w:t>
      </w:r>
      <w:r w:rsidRPr="00EF7EC7">
        <w:rPr>
          <w:rFonts w:ascii="Montserrat" w:eastAsiaTheme="minorHAnsi" w:hAnsi="Montserrat" w:cstheme="minorBidi"/>
          <w:sz w:val="20"/>
          <w:szCs w:val="20"/>
          <w:lang w:val="en-US" w:eastAsia="en-US"/>
        </w:rPr>
        <w:t>.</w:t>
      </w:r>
    </w:p>
    <w:p w14:paraId="6FBB3EF5" w14:textId="23BC5719" w:rsidR="005E2B36" w:rsidRPr="00EF7EC7" w:rsidRDefault="005E2B36" w:rsidP="00EF7EC7">
      <w:pPr>
        <w:pStyle w:val="NormalWeb"/>
        <w:spacing w:before="300" w:beforeAutospacing="0" w:after="300" w:afterAutospacing="0" w:line="22" w:lineRule="atLeast"/>
        <w:rPr>
          <w:rFonts w:ascii="Montserrat" w:eastAsiaTheme="minorHAnsi" w:hAnsi="Montserrat" w:cstheme="minorBidi"/>
          <w:sz w:val="20"/>
          <w:szCs w:val="20"/>
          <w:lang w:val="en-US" w:eastAsia="en-US"/>
        </w:rPr>
      </w:pPr>
      <w:r w:rsidRPr="00EF7EC7">
        <w:rPr>
          <w:rFonts w:ascii="Montserrat" w:eastAsiaTheme="minorHAnsi" w:hAnsi="Montserrat" w:cstheme="minorBidi"/>
          <w:sz w:val="20"/>
          <w:szCs w:val="20"/>
          <w:lang w:val="en-US" w:eastAsia="en-US"/>
        </w:rPr>
        <w:t>For 2016, both </w:t>
      </w:r>
      <w:r w:rsidRPr="00174357">
        <w:rPr>
          <w:rFonts w:eastAsiaTheme="minorHAnsi" w:cstheme="minorBidi"/>
          <w:i/>
          <w:iCs/>
          <w:lang w:val="en-US" w:eastAsia="en-US"/>
        </w:rPr>
        <w:t>ex ante</w:t>
      </w:r>
      <w:r w:rsidRPr="00EF7EC7">
        <w:rPr>
          <w:rFonts w:ascii="Montserrat" w:eastAsiaTheme="minorHAnsi" w:hAnsi="Montserrat" w:cstheme="minorBidi"/>
          <w:sz w:val="20"/>
          <w:szCs w:val="20"/>
          <w:lang w:val="en-US" w:eastAsia="en-US"/>
        </w:rPr>
        <w:t> and real-time data would have called for an increase of its interest rate. Using the output gap and the GDP deflator as provided by the European Commission forecasts for 2017, the rule’s predicted policy rate points to a further increase led by another narrowing of the output gap and a rise in the deflator.</w:t>
      </w:r>
    </w:p>
    <w:p w14:paraId="7D6B2AEC" w14:textId="77777777" w:rsidR="005E2B36" w:rsidRPr="00EF7EC7" w:rsidRDefault="005E2B36" w:rsidP="00EF7EC7">
      <w:pPr>
        <w:pStyle w:val="NormalWeb"/>
        <w:spacing w:before="300" w:beforeAutospacing="0" w:after="300" w:afterAutospacing="0" w:line="22" w:lineRule="atLeast"/>
        <w:rPr>
          <w:rFonts w:ascii="Montserrat" w:eastAsiaTheme="minorHAnsi" w:hAnsi="Montserrat" w:cstheme="minorBidi"/>
          <w:sz w:val="20"/>
          <w:szCs w:val="20"/>
          <w:lang w:val="en-US" w:eastAsia="en-US"/>
        </w:rPr>
      </w:pPr>
      <w:r w:rsidRPr="00174357">
        <w:rPr>
          <w:rFonts w:eastAsiaTheme="minorHAnsi" w:cstheme="minorBidi"/>
          <w:i/>
          <w:iCs/>
          <w:lang w:val="en-US" w:eastAsia="en-US"/>
        </w:rPr>
        <w:t>Figure 2. The Taylor rule for the eurozone</w:t>
      </w:r>
    </w:p>
    <w:p w14:paraId="135A8B8F" w14:textId="14D00703" w:rsidR="005E2B36" w:rsidRPr="00EF7EC7" w:rsidRDefault="005E2B36" w:rsidP="00EF7EC7">
      <w:pPr>
        <w:pStyle w:val="NormalWeb"/>
        <w:spacing w:before="300" w:beforeAutospacing="0" w:after="300" w:afterAutospacing="0" w:line="22" w:lineRule="atLeast"/>
        <w:rPr>
          <w:rFonts w:ascii="Montserrat" w:eastAsiaTheme="minorHAnsi" w:hAnsi="Montserrat" w:cstheme="minorBidi"/>
          <w:sz w:val="20"/>
          <w:szCs w:val="20"/>
          <w:lang w:val="en-US" w:eastAsia="en-US"/>
        </w:rPr>
      </w:pPr>
      <w:r w:rsidRPr="00EF7EC7">
        <w:rPr>
          <w:rFonts w:ascii="Montserrat" w:eastAsiaTheme="minorHAnsi" w:hAnsi="Montserrat" w:cstheme="minorBidi"/>
          <w:noProof/>
          <w:sz w:val="20"/>
          <w:szCs w:val="20"/>
          <w:lang w:val="en-US" w:eastAsia="en-US"/>
        </w:rPr>
        <w:drawing>
          <wp:inline distT="0" distB="0" distL="0" distR="0" wp14:anchorId="6C65FE36" wp14:editId="7656F58E">
            <wp:extent cx="4589007" cy="216229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01129" cy="2168006"/>
                    </a:xfrm>
                    <a:prstGeom prst="rect">
                      <a:avLst/>
                    </a:prstGeom>
                    <a:noFill/>
                    <a:ln>
                      <a:noFill/>
                    </a:ln>
                  </pic:spPr>
                </pic:pic>
              </a:graphicData>
            </a:graphic>
          </wp:inline>
        </w:drawing>
      </w:r>
    </w:p>
    <w:p w14:paraId="4F1E1464" w14:textId="24EAF5F0" w:rsidR="005E2B36" w:rsidRPr="00EF7EC7" w:rsidRDefault="005E2B36" w:rsidP="00EF7EC7">
      <w:pPr>
        <w:spacing w:line="22" w:lineRule="atLeast"/>
        <w:rPr>
          <w:rFonts w:ascii="Montserrat" w:hAnsi="Montserrat"/>
          <w:sz w:val="20"/>
          <w:szCs w:val="20"/>
          <w:lang w:val="en-US"/>
        </w:rPr>
      </w:pPr>
      <w:r w:rsidRPr="00EF7EC7">
        <w:rPr>
          <w:rFonts w:ascii="Montserrat" w:hAnsi="Montserrat"/>
          <w:sz w:val="20"/>
          <w:szCs w:val="20"/>
          <w:lang w:val="en-US"/>
        </w:rPr>
        <w:t>The time has come to prepare for an exit from unconventional policies that are no longer needed, given the absence of any signs of deflation.</w:t>
      </w:r>
    </w:p>
    <w:sectPr w:rsidR="005E2B36" w:rsidRPr="00EF7EC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 w:date="2022-04-11T18:19:00Z" w:initials="d">
    <w:p w14:paraId="654B45B6" w14:textId="112A06D4" w:rsidR="009B76FB" w:rsidRDefault="009B76FB">
      <w:pPr>
        <w:pStyle w:val="CommentText"/>
      </w:pPr>
      <w:r>
        <w:rPr>
          <w:rStyle w:val="CommentReference"/>
        </w:rPr>
        <w:annotationRef/>
      </w:r>
      <w:r>
        <w:t>Incluir datos de 2021 para algun país UK or US</w:t>
      </w:r>
    </w:p>
  </w:comment>
  <w:comment w:id="1" w:author="dani" w:date="2022-04-12T16:27:00Z" w:initials="d">
    <w:p w14:paraId="270E982B" w14:textId="75AC03FE" w:rsidR="00174357" w:rsidRDefault="00174357">
      <w:pPr>
        <w:pStyle w:val="CommentText"/>
      </w:pPr>
      <w:r>
        <w:rPr>
          <w:rStyle w:val="CommentReference"/>
        </w:rPr>
        <w:annotationRef/>
      </w:r>
      <w:r>
        <w:rPr>
          <w:rStyle w:val="CommentReference"/>
        </w:rPr>
        <w:t>conclusiones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4B45B6" w15:done="0"/>
  <w15:commentEx w15:paraId="270E98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EEF96" w16cex:dateUtc="2022-04-11T16:19:00Z"/>
  <w16cex:commentExtensible w16cex:durableId="260026D7" w16cex:dateUtc="2022-04-12T1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4B45B6" w16cid:durableId="25FEEF96"/>
  <w16cid:commentId w16cid:paraId="270E982B" w16cid:durableId="260026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466D"/>
    <w:multiLevelType w:val="multilevel"/>
    <w:tmpl w:val="E8FA56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F68526B"/>
    <w:multiLevelType w:val="multilevel"/>
    <w:tmpl w:val="1FE280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
    <w15:presenceInfo w15:providerId="None" w15:userId="d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zMTW3NDI0MDExtDRR0lEKTi0uzszPAymwqAUAQ1N1rCwAAAA="/>
  </w:docVars>
  <w:rsids>
    <w:rsidRoot w:val="002E7090"/>
    <w:rsid w:val="000F2F0B"/>
    <w:rsid w:val="00174357"/>
    <w:rsid w:val="00187BB7"/>
    <w:rsid w:val="00252362"/>
    <w:rsid w:val="002B5B09"/>
    <w:rsid w:val="002E7090"/>
    <w:rsid w:val="003C0FA1"/>
    <w:rsid w:val="0041286B"/>
    <w:rsid w:val="00446820"/>
    <w:rsid w:val="004C218D"/>
    <w:rsid w:val="00555965"/>
    <w:rsid w:val="005E2B36"/>
    <w:rsid w:val="006F528E"/>
    <w:rsid w:val="007425BC"/>
    <w:rsid w:val="007E4988"/>
    <w:rsid w:val="007E6077"/>
    <w:rsid w:val="008352F7"/>
    <w:rsid w:val="00880139"/>
    <w:rsid w:val="00954EC1"/>
    <w:rsid w:val="00955E01"/>
    <w:rsid w:val="009B76FB"/>
    <w:rsid w:val="009C0030"/>
    <w:rsid w:val="00A57639"/>
    <w:rsid w:val="00BA36C4"/>
    <w:rsid w:val="00C16998"/>
    <w:rsid w:val="00CA1D82"/>
    <w:rsid w:val="00CB0BC6"/>
    <w:rsid w:val="00EF7EC7"/>
    <w:rsid w:val="00F04535"/>
    <w:rsid w:val="00F363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23028"/>
  <w15:chartTrackingRefBased/>
  <w15:docId w15:val="{8F368093-08AF-4E3B-AB35-5253F40BF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70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2">
    <w:name w:val="heading 2"/>
    <w:basedOn w:val="Normal"/>
    <w:next w:val="Normal"/>
    <w:link w:val="Heading2Char"/>
    <w:uiPriority w:val="9"/>
    <w:semiHidden/>
    <w:unhideWhenUsed/>
    <w:qFormat/>
    <w:rsid w:val="002E70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090"/>
    <w:rPr>
      <w:rFonts w:ascii="Times New Roman" w:eastAsia="Times New Roman" w:hAnsi="Times New Roman" w:cs="Times New Roman"/>
      <w:b/>
      <w:bCs/>
      <w:kern w:val="36"/>
      <w:sz w:val="48"/>
      <w:szCs w:val="48"/>
      <w:lang w:eastAsia="es-ES"/>
    </w:rPr>
  </w:style>
  <w:style w:type="character" w:styleId="Hyperlink">
    <w:name w:val="Hyperlink"/>
    <w:basedOn w:val="DefaultParagraphFont"/>
    <w:uiPriority w:val="99"/>
    <w:semiHidden/>
    <w:unhideWhenUsed/>
    <w:rsid w:val="002E7090"/>
    <w:rPr>
      <w:color w:val="0000FF"/>
      <w:u w:val="single"/>
    </w:rPr>
  </w:style>
  <w:style w:type="paragraph" w:styleId="NormalWeb">
    <w:name w:val="Normal (Web)"/>
    <w:basedOn w:val="Normal"/>
    <w:uiPriority w:val="99"/>
    <w:semiHidden/>
    <w:unhideWhenUsed/>
    <w:rsid w:val="002E709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Emphasis">
    <w:name w:val="Emphasis"/>
    <w:basedOn w:val="DefaultParagraphFont"/>
    <w:uiPriority w:val="20"/>
    <w:qFormat/>
    <w:rsid w:val="002E7090"/>
    <w:rPr>
      <w:i/>
      <w:iCs/>
    </w:rPr>
  </w:style>
  <w:style w:type="character" w:customStyle="1" w:styleId="Heading2Char">
    <w:name w:val="Heading 2 Char"/>
    <w:basedOn w:val="DefaultParagraphFont"/>
    <w:link w:val="Heading2"/>
    <w:uiPriority w:val="9"/>
    <w:semiHidden/>
    <w:rsid w:val="002E7090"/>
    <w:rPr>
      <w:rFonts w:asciiTheme="majorHAnsi" w:eastAsiaTheme="majorEastAsia" w:hAnsiTheme="majorHAnsi" w:cstheme="majorBidi"/>
      <w:color w:val="2F5496" w:themeColor="accent1" w:themeShade="BF"/>
      <w:sz w:val="26"/>
      <w:szCs w:val="26"/>
    </w:rPr>
  </w:style>
  <w:style w:type="character" w:customStyle="1" w:styleId="tags">
    <w:name w:val="tags"/>
    <w:basedOn w:val="DefaultParagraphFont"/>
    <w:rsid w:val="009C0030"/>
  </w:style>
  <w:style w:type="character" w:styleId="CommentReference">
    <w:name w:val="annotation reference"/>
    <w:basedOn w:val="DefaultParagraphFont"/>
    <w:uiPriority w:val="99"/>
    <w:semiHidden/>
    <w:unhideWhenUsed/>
    <w:rsid w:val="009B76FB"/>
    <w:rPr>
      <w:sz w:val="16"/>
      <w:szCs w:val="16"/>
    </w:rPr>
  </w:style>
  <w:style w:type="paragraph" w:styleId="CommentText">
    <w:name w:val="annotation text"/>
    <w:basedOn w:val="Normal"/>
    <w:link w:val="CommentTextChar"/>
    <w:uiPriority w:val="99"/>
    <w:semiHidden/>
    <w:unhideWhenUsed/>
    <w:rsid w:val="009B76FB"/>
    <w:pPr>
      <w:spacing w:line="240" w:lineRule="auto"/>
    </w:pPr>
    <w:rPr>
      <w:sz w:val="20"/>
      <w:szCs w:val="20"/>
    </w:rPr>
  </w:style>
  <w:style w:type="character" w:customStyle="1" w:styleId="CommentTextChar">
    <w:name w:val="Comment Text Char"/>
    <w:basedOn w:val="DefaultParagraphFont"/>
    <w:link w:val="CommentText"/>
    <w:uiPriority w:val="99"/>
    <w:semiHidden/>
    <w:rsid w:val="009B76FB"/>
    <w:rPr>
      <w:sz w:val="20"/>
      <w:szCs w:val="20"/>
    </w:rPr>
  </w:style>
  <w:style w:type="paragraph" w:styleId="CommentSubject">
    <w:name w:val="annotation subject"/>
    <w:basedOn w:val="CommentText"/>
    <w:next w:val="CommentText"/>
    <w:link w:val="CommentSubjectChar"/>
    <w:uiPriority w:val="99"/>
    <w:semiHidden/>
    <w:unhideWhenUsed/>
    <w:rsid w:val="009B76FB"/>
    <w:rPr>
      <w:b/>
      <w:bCs/>
    </w:rPr>
  </w:style>
  <w:style w:type="character" w:customStyle="1" w:styleId="CommentSubjectChar">
    <w:name w:val="Comment Subject Char"/>
    <w:basedOn w:val="CommentTextChar"/>
    <w:link w:val="CommentSubject"/>
    <w:uiPriority w:val="99"/>
    <w:semiHidden/>
    <w:rsid w:val="009B76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560315">
      <w:bodyDiv w:val="1"/>
      <w:marLeft w:val="0"/>
      <w:marRight w:val="0"/>
      <w:marTop w:val="0"/>
      <w:marBottom w:val="0"/>
      <w:divBdr>
        <w:top w:val="none" w:sz="0" w:space="0" w:color="auto"/>
        <w:left w:val="none" w:sz="0" w:space="0" w:color="auto"/>
        <w:bottom w:val="none" w:sz="0" w:space="0" w:color="auto"/>
        <w:right w:val="none" w:sz="0" w:space="0" w:color="auto"/>
      </w:divBdr>
    </w:div>
    <w:div w:id="581910760">
      <w:bodyDiv w:val="1"/>
      <w:marLeft w:val="0"/>
      <w:marRight w:val="0"/>
      <w:marTop w:val="0"/>
      <w:marBottom w:val="0"/>
      <w:divBdr>
        <w:top w:val="none" w:sz="0" w:space="0" w:color="auto"/>
        <w:left w:val="none" w:sz="0" w:space="0" w:color="auto"/>
        <w:bottom w:val="none" w:sz="0" w:space="0" w:color="auto"/>
        <w:right w:val="none" w:sz="0" w:space="0" w:color="auto"/>
      </w:divBdr>
    </w:div>
    <w:div w:id="881479535">
      <w:bodyDiv w:val="1"/>
      <w:marLeft w:val="0"/>
      <w:marRight w:val="0"/>
      <w:marTop w:val="0"/>
      <w:marBottom w:val="0"/>
      <w:divBdr>
        <w:top w:val="none" w:sz="0" w:space="0" w:color="auto"/>
        <w:left w:val="none" w:sz="0" w:space="0" w:color="auto"/>
        <w:bottom w:val="none" w:sz="0" w:space="0" w:color="auto"/>
        <w:right w:val="none" w:sz="0" w:space="0" w:color="auto"/>
      </w:divBdr>
    </w:div>
    <w:div w:id="1040281744">
      <w:bodyDiv w:val="1"/>
      <w:marLeft w:val="0"/>
      <w:marRight w:val="0"/>
      <w:marTop w:val="0"/>
      <w:marBottom w:val="0"/>
      <w:divBdr>
        <w:top w:val="none" w:sz="0" w:space="0" w:color="auto"/>
        <w:left w:val="none" w:sz="0" w:space="0" w:color="auto"/>
        <w:bottom w:val="none" w:sz="0" w:space="0" w:color="auto"/>
        <w:right w:val="none" w:sz="0" w:space="0" w:color="auto"/>
      </w:divBdr>
    </w:div>
    <w:div w:id="1068500946">
      <w:bodyDiv w:val="1"/>
      <w:marLeft w:val="0"/>
      <w:marRight w:val="0"/>
      <w:marTop w:val="0"/>
      <w:marBottom w:val="0"/>
      <w:divBdr>
        <w:top w:val="none" w:sz="0" w:space="0" w:color="auto"/>
        <w:left w:val="none" w:sz="0" w:space="0" w:color="auto"/>
        <w:bottom w:val="none" w:sz="0" w:space="0" w:color="auto"/>
        <w:right w:val="none" w:sz="0" w:space="0" w:color="auto"/>
      </w:divBdr>
    </w:div>
    <w:div w:id="1471287164">
      <w:bodyDiv w:val="1"/>
      <w:marLeft w:val="0"/>
      <w:marRight w:val="0"/>
      <w:marTop w:val="0"/>
      <w:marBottom w:val="0"/>
      <w:divBdr>
        <w:top w:val="none" w:sz="0" w:space="0" w:color="auto"/>
        <w:left w:val="none" w:sz="0" w:space="0" w:color="auto"/>
        <w:bottom w:val="none" w:sz="0" w:space="0" w:color="auto"/>
        <w:right w:val="none" w:sz="0" w:space="0" w:color="auto"/>
      </w:divBdr>
      <w:divsChild>
        <w:div w:id="537624049">
          <w:marLeft w:val="0"/>
          <w:marRight w:val="0"/>
          <w:marTop w:val="0"/>
          <w:marBottom w:val="0"/>
          <w:divBdr>
            <w:top w:val="none" w:sz="0" w:space="0" w:color="auto"/>
            <w:left w:val="none" w:sz="0" w:space="0" w:color="auto"/>
            <w:bottom w:val="none" w:sz="0" w:space="0" w:color="auto"/>
            <w:right w:val="none" w:sz="0" w:space="0" w:color="auto"/>
          </w:divBdr>
          <w:divsChild>
            <w:div w:id="2115242569">
              <w:marLeft w:val="0"/>
              <w:marRight w:val="0"/>
              <w:marTop w:val="0"/>
              <w:marBottom w:val="0"/>
              <w:divBdr>
                <w:top w:val="none" w:sz="0" w:space="0" w:color="auto"/>
                <w:left w:val="none" w:sz="0" w:space="0" w:color="auto"/>
                <w:bottom w:val="none" w:sz="0" w:space="0" w:color="auto"/>
                <w:right w:val="none" w:sz="0" w:space="0" w:color="auto"/>
              </w:divBdr>
            </w:div>
          </w:divsChild>
        </w:div>
        <w:div w:id="780414104">
          <w:marLeft w:val="0"/>
          <w:marRight w:val="0"/>
          <w:marTop w:val="0"/>
          <w:marBottom w:val="0"/>
          <w:divBdr>
            <w:top w:val="none" w:sz="0" w:space="0" w:color="auto"/>
            <w:left w:val="none" w:sz="0" w:space="0" w:color="auto"/>
            <w:bottom w:val="none" w:sz="0" w:space="0" w:color="auto"/>
            <w:right w:val="none" w:sz="0" w:space="0" w:color="auto"/>
          </w:divBdr>
          <w:divsChild>
            <w:div w:id="1994795102">
              <w:marLeft w:val="0"/>
              <w:marRight w:val="0"/>
              <w:marTop w:val="0"/>
              <w:marBottom w:val="0"/>
              <w:divBdr>
                <w:top w:val="none" w:sz="0" w:space="0" w:color="auto"/>
                <w:left w:val="none" w:sz="0" w:space="0" w:color="auto"/>
                <w:bottom w:val="none" w:sz="0" w:space="0" w:color="auto"/>
                <w:right w:val="none" w:sz="0" w:space="0" w:color="auto"/>
              </w:divBdr>
              <w:divsChild>
                <w:div w:id="1214275857">
                  <w:marLeft w:val="0"/>
                  <w:marRight w:val="0"/>
                  <w:marTop w:val="0"/>
                  <w:marBottom w:val="0"/>
                  <w:divBdr>
                    <w:top w:val="none" w:sz="0" w:space="0" w:color="auto"/>
                    <w:left w:val="none" w:sz="0" w:space="0" w:color="auto"/>
                    <w:bottom w:val="none" w:sz="0" w:space="0" w:color="auto"/>
                    <w:right w:val="none" w:sz="0" w:space="0" w:color="auto"/>
                  </w:divBdr>
                  <w:divsChild>
                    <w:div w:id="1165167564">
                      <w:marLeft w:val="0"/>
                      <w:marRight w:val="0"/>
                      <w:marTop w:val="0"/>
                      <w:marBottom w:val="0"/>
                      <w:divBdr>
                        <w:top w:val="none" w:sz="0" w:space="0" w:color="auto"/>
                        <w:left w:val="none" w:sz="0" w:space="0" w:color="auto"/>
                        <w:bottom w:val="none" w:sz="0" w:space="0" w:color="auto"/>
                        <w:right w:val="none" w:sz="0" w:space="0" w:color="auto"/>
                      </w:divBdr>
                    </w:div>
                    <w:div w:id="60307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062324">
      <w:bodyDiv w:val="1"/>
      <w:marLeft w:val="0"/>
      <w:marRight w:val="0"/>
      <w:marTop w:val="0"/>
      <w:marBottom w:val="0"/>
      <w:divBdr>
        <w:top w:val="none" w:sz="0" w:space="0" w:color="auto"/>
        <w:left w:val="none" w:sz="0" w:space="0" w:color="auto"/>
        <w:bottom w:val="none" w:sz="0" w:space="0" w:color="auto"/>
        <w:right w:val="none" w:sz="0" w:space="0" w:color="auto"/>
      </w:divBdr>
      <w:divsChild>
        <w:div w:id="469060224">
          <w:marLeft w:val="0"/>
          <w:marRight w:val="0"/>
          <w:marTop w:val="240"/>
          <w:marBottom w:val="240"/>
          <w:divBdr>
            <w:top w:val="none" w:sz="0" w:space="0" w:color="auto"/>
            <w:left w:val="none" w:sz="0" w:space="0" w:color="auto"/>
            <w:bottom w:val="none" w:sz="0" w:space="0" w:color="auto"/>
            <w:right w:val="none" w:sz="0" w:space="0" w:color="auto"/>
          </w:divBdr>
          <w:divsChild>
            <w:div w:id="775053483">
              <w:marLeft w:val="0"/>
              <w:marRight w:val="0"/>
              <w:marTop w:val="0"/>
              <w:marBottom w:val="0"/>
              <w:divBdr>
                <w:top w:val="none" w:sz="0" w:space="0" w:color="auto"/>
                <w:left w:val="none" w:sz="0" w:space="0" w:color="auto"/>
                <w:bottom w:val="none" w:sz="0" w:space="0" w:color="auto"/>
                <w:right w:val="none" w:sz="0" w:space="0" w:color="auto"/>
              </w:divBdr>
              <w:divsChild>
                <w:div w:id="1426657466">
                  <w:marLeft w:val="-255"/>
                  <w:marRight w:val="-255"/>
                  <w:marTop w:val="0"/>
                  <w:marBottom w:val="0"/>
                  <w:divBdr>
                    <w:top w:val="none" w:sz="0" w:space="0" w:color="auto"/>
                    <w:left w:val="none" w:sz="0" w:space="0" w:color="auto"/>
                    <w:bottom w:val="none" w:sz="0" w:space="0" w:color="auto"/>
                    <w:right w:val="none" w:sz="0" w:space="0" w:color="auto"/>
                  </w:divBdr>
                  <w:divsChild>
                    <w:div w:id="133523439">
                      <w:marLeft w:val="0"/>
                      <w:marRight w:val="0"/>
                      <w:marTop w:val="0"/>
                      <w:marBottom w:val="0"/>
                      <w:divBdr>
                        <w:top w:val="none" w:sz="0" w:space="0" w:color="auto"/>
                        <w:left w:val="none" w:sz="0" w:space="0" w:color="auto"/>
                        <w:bottom w:val="none" w:sz="0" w:space="0" w:color="auto"/>
                        <w:right w:val="none" w:sz="0" w:space="0" w:color="auto"/>
                      </w:divBdr>
                      <w:divsChild>
                        <w:div w:id="153424110">
                          <w:marLeft w:val="0"/>
                          <w:marRight w:val="0"/>
                          <w:marTop w:val="0"/>
                          <w:marBottom w:val="0"/>
                          <w:divBdr>
                            <w:top w:val="none" w:sz="0" w:space="0" w:color="auto"/>
                            <w:left w:val="none" w:sz="0" w:space="0" w:color="auto"/>
                            <w:bottom w:val="none" w:sz="0" w:space="0" w:color="auto"/>
                            <w:right w:val="none" w:sz="0" w:space="0" w:color="auto"/>
                          </w:divBdr>
                          <w:divsChild>
                            <w:div w:id="3784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427243">
          <w:marLeft w:val="0"/>
          <w:marRight w:val="0"/>
          <w:marTop w:val="0"/>
          <w:marBottom w:val="0"/>
          <w:divBdr>
            <w:top w:val="none" w:sz="0" w:space="0" w:color="auto"/>
            <w:left w:val="none" w:sz="0" w:space="0" w:color="auto"/>
            <w:bottom w:val="none" w:sz="0" w:space="0" w:color="auto"/>
            <w:right w:val="none" w:sz="0" w:space="0" w:color="auto"/>
          </w:divBdr>
        </w:div>
        <w:div w:id="1382090922">
          <w:marLeft w:val="0"/>
          <w:marRight w:val="0"/>
          <w:marTop w:val="0"/>
          <w:marBottom w:val="0"/>
          <w:divBdr>
            <w:top w:val="none" w:sz="0" w:space="0" w:color="auto"/>
            <w:left w:val="none" w:sz="0" w:space="0" w:color="auto"/>
            <w:bottom w:val="none" w:sz="0" w:space="0" w:color="auto"/>
            <w:right w:val="none" w:sz="0" w:space="0" w:color="auto"/>
          </w:divBdr>
        </w:div>
      </w:divsChild>
    </w:div>
    <w:div w:id="1813325965">
      <w:bodyDiv w:val="1"/>
      <w:marLeft w:val="0"/>
      <w:marRight w:val="0"/>
      <w:marTop w:val="0"/>
      <w:marBottom w:val="0"/>
      <w:divBdr>
        <w:top w:val="none" w:sz="0" w:space="0" w:color="auto"/>
        <w:left w:val="none" w:sz="0" w:space="0" w:color="auto"/>
        <w:bottom w:val="none" w:sz="0" w:space="0" w:color="auto"/>
        <w:right w:val="none" w:sz="0" w:space="0" w:color="auto"/>
      </w:divBdr>
      <w:divsChild>
        <w:div w:id="46689176">
          <w:marLeft w:val="0"/>
          <w:marRight w:val="0"/>
          <w:marTop w:val="0"/>
          <w:marBottom w:val="0"/>
          <w:divBdr>
            <w:top w:val="none" w:sz="0" w:space="0" w:color="auto"/>
            <w:left w:val="none" w:sz="0" w:space="0" w:color="auto"/>
            <w:bottom w:val="none" w:sz="0" w:space="0" w:color="auto"/>
            <w:right w:val="none" w:sz="0" w:space="0" w:color="auto"/>
          </w:divBdr>
          <w:divsChild>
            <w:div w:id="921333708">
              <w:marLeft w:val="0"/>
              <w:marRight w:val="0"/>
              <w:marTop w:val="0"/>
              <w:marBottom w:val="0"/>
              <w:divBdr>
                <w:top w:val="none" w:sz="0" w:space="0" w:color="auto"/>
                <w:left w:val="none" w:sz="0" w:space="0" w:color="auto"/>
                <w:bottom w:val="none" w:sz="0" w:space="0" w:color="auto"/>
                <w:right w:val="none" w:sz="0" w:space="0" w:color="auto"/>
              </w:divBdr>
            </w:div>
          </w:divsChild>
        </w:div>
        <w:div w:id="389306290">
          <w:marLeft w:val="0"/>
          <w:marRight w:val="0"/>
          <w:marTop w:val="0"/>
          <w:marBottom w:val="0"/>
          <w:divBdr>
            <w:top w:val="none" w:sz="0" w:space="0" w:color="auto"/>
            <w:left w:val="none" w:sz="0" w:space="0" w:color="auto"/>
            <w:bottom w:val="none" w:sz="0" w:space="0" w:color="auto"/>
            <w:right w:val="none" w:sz="0" w:space="0" w:color="auto"/>
          </w:divBdr>
          <w:divsChild>
            <w:div w:id="1865362772">
              <w:marLeft w:val="0"/>
              <w:marRight w:val="0"/>
              <w:marTop w:val="0"/>
              <w:marBottom w:val="0"/>
              <w:divBdr>
                <w:top w:val="none" w:sz="0" w:space="0" w:color="auto"/>
                <w:left w:val="none" w:sz="0" w:space="0" w:color="auto"/>
                <w:bottom w:val="none" w:sz="0" w:space="0" w:color="auto"/>
                <w:right w:val="none" w:sz="0" w:space="0" w:color="auto"/>
              </w:divBdr>
              <w:divsChild>
                <w:div w:id="1971813965">
                  <w:marLeft w:val="0"/>
                  <w:marRight w:val="0"/>
                  <w:marTop w:val="0"/>
                  <w:marBottom w:val="0"/>
                  <w:divBdr>
                    <w:top w:val="none" w:sz="0" w:space="0" w:color="auto"/>
                    <w:left w:val="none" w:sz="0" w:space="0" w:color="auto"/>
                    <w:bottom w:val="none" w:sz="0" w:space="0" w:color="auto"/>
                    <w:right w:val="none" w:sz="0" w:space="0" w:color="auto"/>
                  </w:divBdr>
                  <w:divsChild>
                    <w:div w:id="13367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929085">
      <w:bodyDiv w:val="1"/>
      <w:marLeft w:val="0"/>
      <w:marRight w:val="0"/>
      <w:marTop w:val="0"/>
      <w:marBottom w:val="0"/>
      <w:divBdr>
        <w:top w:val="none" w:sz="0" w:space="0" w:color="auto"/>
        <w:left w:val="none" w:sz="0" w:space="0" w:color="auto"/>
        <w:bottom w:val="none" w:sz="0" w:space="0" w:color="auto"/>
        <w:right w:val="none" w:sz="0" w:space="0" w:color="auto"/>
      </w:divBdr>
    </w:div>
    <w:div w:id="2048097563">
      <w:bodyDiv w:val="1"/>
      <w:marLeft w:val="0"/>
      <w:marRight w:val="0"/>
      <w:marTop w:val="0"/>
      <w:marBottom w:val="0"/>
      <w:divBdr>
        <w:top w:val="none" w:sz="0" w:space="0" w:color="auto"/>
        <w:left w:val="none" w:sz="0" w:space="0" w:color="auto"/>
        <w:bottom w:val="none" w:sz="0" w:space="0" w:color="auto"/>
        <w:right w:val="none" w:sz="0" w:space="0" w:color="auto"/>
      </w:divBdr>
    </w:div>
    <w:div w:id="209173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oneyandbanking.com/commentary/2022/2/12/fed-monetary-policy-in-crisis" TargetMode="External"/><Relationship Id="rId18" Type="http://schemas.openxmlformats.org/officeDocument/2006/relationships/hyperlink" Target="https://www.moneyandbanking.com/commentary/tag/Trend+inflation" TargetMode="External"/><Relationship Id="rId26" Type="http://schemas.openxmlformats.org/officeDocument/2006/relationships/hyperlink" Target="https://www.moneyandbanking.com/commentary/tag/ZLB" TargetMode="External"/><Relationship Id="rId21" Type="http://schemas.openxmlformats.org/officeDocument/2006/relationships/hyperlink" Target="https://www.moneyandbanking.com/commentary/tag/Policy+strategy" TargetMode="External"/><Relationship Id="rId34" Type="http://schemas.openxmlformats.org/officeDocument/2006/relationships/image" Target="media/image3.jpeg"/><Relationship Id="rId7" Type="http://schemas.openxmlformats.org/officeDocument/2006/relationships/hyperlink" Target="https://www.wsj.com/articles/the-market-is-too-serene-about-inflation-interest-rate-paul-volcker-fomc-federal-reserve-price-stability-11641933266" TargetMode="External"/><Relationship Id="rId12" Type="http://schemas.openxmlformats.org/officeDocument/2006/relationships/image" Target="media/image2.png"/><Relationship Id="rId17" Type="http://schemas.openxmlformats.org/officeDocument/2006/relationships/hyperlink" Target="https://www.moneyandbanking.com/commentary/tag/Price+stability" TargetMode="External"/><Relationship Id="rId25" Type="http://schemas.openxmlformats.org/officeDocument/2006/relationships/hyperlink" Target="https://www.moneyandbanking.com/commentary/tag/Zero+lower+bound" TargetMode="External"/><Relationship Id="rId33" Type="http://schemas.openxmlformats.org/officeDocument/2006/relationships/hyperlink" Target="https://www.moneyandbanking.com/commentary/tag/Recession" TargetMode="External"/><Relationship Id="rId2" Type="http://schemas.openxmlformats.org/officeDocument/2006/relationships/styles" Target="styles.xml"/><Relationship Id="rId16" Type="http://schemas.openxmlformats.org/officeDocument/2006/relationships/hyperlink" Target="https://www.moneyandbanking.com/commentary/tag/Inflation" TargetMode="External"/><Relationship Id="rId20" Type="http://schemas.openxmlformats.org/officeDocument/2006/relationships/hyperlink" Target="https://www.moneyandbanking.com/commentary/tag/Credibility" TargetMode="External"/><Relationship Id="rId29" Type="http://schemas.openxmlformats.org/officeDocument/2006/relationships/hyperlink" Target="https://www.moneyandbanking.com/commentary/tag/FAIT" TargetMode="External"/><Relationship Id="rId1" Type="http://schemas.openxmlformats.org/officeDocument/2006/relationships/numbering" Target="numbering.xml"/><Relationship Id="rId6" Type="http://schemas.openxmlformats.org/officeDocument/2006/relationships/image" Target="media/image1.png"/><Relationship Id="rId11" Type="http://schemas.microsoft.com/office/2018/08/relationships/commentsExtensible" Target="commentsExtensible.xml"/><Relationship Id="rId24" Type="http://schemas.openxmlformats.org/officeDocument/2006/relationships/hyperlink" Target="https://www.moneyandbanking.com/commentary/tag/Inflationary+bias" TargetMode="External"/><Relationship Id="rId32" Type="http://schemas.openxmlformats.org/officeDocument/2006/relationships/hyperlink" Target="https://www.moneyandbanking.com/commentary/tag/Financial+conditions" TargetMode="External"/><Relationship Id="rId37" Type="http://schemas.openxmlformats.org/officeDocument/2006/relationships/theme" Target="theme/theme1.xml"/><Relationship Id="rId5" Type="http://schemas.openxmlformats.org/officeDocument/2006/relationships/hyperlink" Target="https://www.brookings.edu/wp-content/uploads/2015/04/Taylor_fig1_new.png" TargetMode="External"/><Relationship Id="rId15" Type="http://schemas.openxmlformats.org/officeDocument/2006/relationships/hyperlink" Target="https://www.moneyandbanking.com/commentary/tag/Monetary+policy" TargetMode="External"/><Relationship Id="rId23" Type="http://schemas.openxmlformats.org/officeDocument/2006/relationships/hyperlink" Target="https://www.moneyandbanking.com/commentary/tag/Taylor+rule" TargetMode="External"/><Relationship Id="rId28" Type="http://schemas.openxmlformats.org/officeDocument/2006/relationships/hyperlink" Target="https://www.moneyandbanking.com/commentary/tag/Inflation+persistence" TargetMode="External"/><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www.moneyandbanking.com/commentary/tag/Inflation+forecast" TargetMode="External"/><Relationship Id="rId31" Type="http://schemas.openxmlformats.org/officeDocument/2006/relationships/hyperlink" Target="https://www.moneyandbanking.com/commentary/tag/SEP"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moneyandbanking.com/commentary/tag/Federal+Reserve" TargetMode="External"/><Relationship Id="rId22" Type="http://schemas.openxmlformats.org/officeDocument/2006/relationships/hyperlink" Target="https://www.moneyandbanking.com/commentary/tag/Average+inflation+targeting" TargetMode="External"/><Relationship Id="rId27" Type="http://schemas.openxmlformats.org/officeDocument/2006/relationships/hyperlink" Target="https://www.moneyandbanking.com/commentary/tag/Paul+Volcker" TargetMode="External"/><Relationship Id="rId30" Type="http://schemas.openxmlformats.org/officeDocument/2006/relationships/hyperlink" Target="https://www.moneyandbanking.com/commentary/tag/Summary+of+Economic+Projections" TargetMode="External"/><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4</Pages>
  <Words>1508</Words>
  <Characters>8299</Characters>
  <Application>Microsoft Office Word</Application>
  <DocSecurity>0</DocSecurity>
  <Lines>69</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14</cp:revision>
  <dcterms:created xsi:type="dcterms:W3CDTF">2022-04-05T15:23:00Z</dcterms:created>
  <dcterms:modified xsi:type="dcterms:W3CDTF">2022-04-12T14:32:00Z</dcterms:modified>
</cp:coreProperties>
</file>