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B127" w14:textId="2FAB3F2D" w:rsidR="007E6077" w:rsidRDefault="00A65776">
      <w:pPr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</w:pPr>
      <w:r w:rsidRPr="00A65776"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  <w:t>Social questions matter, too. </w:t>
      </w:r>
      <w:hyperlink r:id="rId4" w:history="1"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 xml:space="preserve">Emmanuel </w:t>
        </w:r>
        <w:proofErr w:type="spellStart"/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>Saez</w:t>
        </w:r>
        <w:proofErr w:type="spellEnd"/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 xml:space="preserve"> defends</w:t>
        </w:r>
      </w:hyperlink>
      <w:r w:rsidRPr="00A65776"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  <w:t> the need for an expansive welfare state. </w:t>
      </w:r>
      <w:hyperlink r:id="rId5" w:history="1"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>Paolo Mauro argues</w:t>
        </w:r>
      </w:hyperlink>
      <w:r w:rsidRPr="00A65776"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  <w:t> that policymakers can muster broader support if they consider the full range of moral perspectives on public finance. Other contributors reflect on fiscal balancing acts to </w:t>
      </w:r>
      <w:hyperlink r:id="rId6" w:history="1"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>address inequality</w:t>
        </w:r>
      </w:hyperlink>
      <w:r w:rsidRPr="00A65776"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  <w:t>—including through </w:t>
      </w:r>
      <w:hyperlink r:id="rId7" w:history="1"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>progressive taxes</w:t>
        </w:r>
      </w:hyperlink>
      <w:r w:rsidRPr="00A65776"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  <w:t> and spending aimed at </w:t>
      </w:r>
      <w:hyperlink r:id="rId8" w:history="1">
        <w:r w:rsidRPr="00A65776">
          <w:rPr>
            <w:rStyle w:val="Hyperlink"/>
            <w:rFonts w:ascii="Helvetica" w:hAnsi="Helvetica" w:cs="Helvetica"/>
            <w:sz w:val="27"/>
            <w:szCs w:val="27"/>
            <w:shd w:val="clear" w:color="auto" w:fill="181A1B"/>
            <w:lang w:val="en-US"/>
          </w:rPr>
          <w:t>universal access to health and education</w:t>
        </w:r>
      </w:hyperlink>
      <w:r w:rsidRPr="00A65776"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  <w:t>—and support the green transition.</w:t>
      </w:r>
    </w:p>
    <w:p w14:paraId="57A3721F" w14:textId="345DE1C2" w:rsidR="00A65776" w:rsidRDefault="00A65776">
      <w:pPr>
        <w:rPr>
          <w:rFonts w:ascii="Helvetica" w:hAnsi="Helvetica" w:cs="Helvetica"/>
          <w:color w:val="E8E6E3"/>
          <w:sz w:val="27"/>
          <w:szCs w:val="27"/>
          <w:shd w:val="clear" w:color="auto" w:fill="181A1B"/>
          <w:lang w:val="en-US"/>
        </w:rPr>
      </w:pPr>
    </w:p>
    <w:p w14:paraId="10AAA8CB" w14:textId="45AB072E" w:rsidR="00A65776" w:rsidRDefault="00A65776">
      <w:pPr>
        <w:rPr>
          <w:lang w:val="en-US"/>
        </w:rPr>
      </w:pPr>
      <w:hyperlink r:id="rId9" w:history="1">
        <w:r w:rsidRPr="002B0383">
          <w:rPr>
            <w:rStyle w:val="Hyperlink"/>
            <w:lang w:val="en-US"/>
          </w:rPr>
          <w:t>https://www.imf.org/en/Publications/fandd/issues/2022/03/Steady-prices-sustainable-debt-Reis</w:t>
        </w:r>
      </w:hyperlink>
    </w:p>
    <w:p w14:paraId="2781306E" w14:textId="0EEA35A7" w:rsidR="00A65776" w:rsidRDefault="00A65776">
      <w:pPr>
        <w:rPr>
          <w:lang w:val="en-US"/>
        </w:rPr>
      </w:pPr>
      <w:hyperlink r:id="rId10" w:history="1">
        <w:r w:rsidRPr="002B0383">
          <w:rPr>
            <w:rStyle w:val="Hyperlink"/>
            <w:lang w:val="en-US"/>
          </w:rPr>
          <w:t>https://www.imf.org/en/Publications/fandd/issues/2022/03/Fiscal-institutions-and-the-pandemic-Larrain</w:t>
        </w:r>
      </w:hyperlink>
    </w:p>
    <w:p w14:paraId="095AD662" w14:textId="233398A5" w:rsidR="00A65776" w:rsidRDefault="00A65776">
      <w:pPr>
        <w:rPr>
          <w:lang w:val="en-US"/>
        </w:rPr>
      </w:pPr>
      <w:hyperlink r:id="rId11" w:history="1">
        <w:r w:rsidRPr="002B0383">
          <w:rPr>
            <w:rStyle w:val="Hyperlink"/>
            <w:lang w:val="en-US"/>
          </w:rPr>
          <w:t>https://www.imf.org/en/Publications/fandd/issues/2022/03/Tackling-inequality-on-all-fronts-Amaglobeli-Thevenot</w:t>
        </w:r>
      </w:hyperlink>
    </w:p>
    <w:p w14:paraId="62F327A7" w14:textId="77777777" w:rsidR="00A65776" w:rsidRPr="00A65776" w:rsidRDefault="00A65776">
      <w:pPr>
        <w:rPr>
          <w:lang w:val="en-US"/>
        </w:rPr>
      </w:pPr>
    </w:p>
    <w:sectPr w:rsidR="00A65776" w:rsidRPr="00A6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76"/>
    <w:rsid w:val="000F2F0B"/>
    <w:rsid w:val="00785207"/>
    <w:rsid w:val="007E6077"/>
    <w:rsid w:val="00A65776"/>
    <w:rsid w:val="00F3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11533"/>
  <w15:chartTrackingRefBased/>
  <w15:docId w15:val="{03406A86-65AB-49F0-8C89-7B8F5F10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7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.org/en/Publications/fandd/issues/2022/03/Education-pandemic-Aiy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mf.org/en/Publications/fandd/issues/2022/03/Taxing-for-a-new-social-contract-Cobha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f.org/en/Publications/fandd/issues/2022/03/Tackling-inequality-on-all-fronts-Amaglobeli-Thevenot" TargetMode="External"/><Relationship Id="rId11" Type="http://schemas.openxmlformats.org/officeDocument/2006/relationships/hyperlink" Target="https://www.imf.org/en/Publications/fandd/issues/2022/03/Tackling-inequality-on-all-fronts-Amaglobeli-Thevenot" TargetMode="External"/><Relationship Id="rId5" Type="http://schemas.openxmlformats.org/officeDocument/2006/relationships/hyperlink" Target="https://www.imf.org/en/Publications/fandd/issues/2022/03/Adding-ethics-to-public-finance-Mauro" TargetMode="External"/><Relationship Id="rId10" Type="http://schemas.openxmlformats.org/officeDocument/2006/relationships/hyperlink" Target="https://www.imf.org/en/Publications/fandd/issues/2022/03/Fiscal-institutions-and-the-pandemic-Larrain" TargetMode="External"/><Relationship Id="rId4" Type="http://schemas.openxmlformats.org/officeDocument/2006/relationships/hyperlink" Target="https://www.imf.org/en/Publications/fandd/issues/2022/03/Understanding-the-social-state-Saez" TargetMode="External"/><Relationship Id="rId9" Type="http://schemas.openxmlformats.org/officeDocument/2006/relationships/hyperlink" Target="https://www.imf.org/en/Publications/fandd/issues/2022/03/Steady-prices-sustainable-debt-Re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2022-05-10T09:52:00Z</dcterms:created>
  <dcterms:modified xsi:type="dcterms:W3CDTF">2022-05-10T09:53:00Z</dcterms:modified>
</cp:coreProperties>
</file>