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noProof/>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Pr="00E55F6D" w:rsidRDefault="00E966E1" w:rsidP="00382542">
      <w:pPr>
        <w:jc w:val="both"/>
        <w:rPr>
          <w:lang w:val="en-US"/>
        </w:rPr>
      </w:pPr>
      <w:r w:rsidRPr="00E966E1">
        <w:rPr>
          <w:lang w:val="en-US"/>
        </w:rPr>
        <w:t xml:space="preserve">Our choice of using the HP filter with </w:t>
      </w:r>
      <w:r>
        <w:t>λ</w:t>
      </w:r>
      <w:r w:rsidRPr="00E966E1">
        <w:rPr>
          <w:lang w:val="en-US"/>
        </w:rPr>
        <w:t xml:space="preserve"> = 100 was justified by a series of experiments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r w:rsidRPr="00E55F6D">
        <w:rPr>
          <w:lang w:val="en-US"/>
        </w:rPr>
        <w:t>These experiments are available from the authors upon request.</w:t>
      </w:r>
    </w:p>
    <w:p w14:paraId="4B50B6CD" w14:textId="1FFF2C23" w:rsidR="00E966E1" w:rsidRPr="00E55F6D" w:rsidRDefault="00E966E1" w:rsidP="00382542">
      <w:pPr>
        <w:jc w:val="both"/>
        <w:rPr>
          <w:lang w:val="en-US"/>
        </w:rPr>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2E4A44A" w:rsidR="00001D53" w:rsidRDefault="00E55F6D" w:rsidP="00382542">
      <w:pPr>
        <w:jc w:val="both"/>
        <w:rPr>
          <w:rFonts w:ascii="LM Roman 10" w:hAnsi="LM Roman 10"/>
          <w:lang w:val="en-US"/>
        </w:rPr>
      </w:pPr>
      <w:r>
        <w:rPr>
          <w:rFonts w:ascii="LM Roman 10" w:hAnsi="LM Roman 10"/>
          <w:lang w:val="en-US"/>
        </w:rPr>
        <w:t xml:space="preserve">Table 3 –insert </w:t>
      </w:r>
      <w:proofErr w:type="spellStart"/>
      <w:r>
        <w:rPr>
          <w:rFonts w:ascii="LM Roman 10" w:hAnsi="LM Roman 10"/>
          <w:lang w:val="en-US"/>
        </w:rPr>
        <w:t>gere</w:t>
      </w:r>
      <w:proofErr w:type="spellEnd"/>
      <w:r>
        <w:rPr>
          <w:rFonts w:ascii="LM Roman 10" w:hAnsi="LM Roman 10"/>
          <w:lang w:val="en-US"/>
        </w:rPr>
        <w:t>—</w:t>
      </w:r>
    </w:p>
    <w:p w14:paraId="1F654AC8" w14:textId="0817E390" w:rsidR="00E55F6D" w:rsidRPr="00554C43" w:rsidRDefault="00554C43" w:rsidP="00382542">
      <w:pPr>
        <w:jc w:val="both"/>
        <w:rPr>
          <w:rFonts w:ascii="LM Roman 10" w:hAnsi="LM Roman 10"/>
          <w:lang w:val="en-US"/>
        </w:rPr>
      </w:pPr>
      <w:bookmarkStart w:id="1" w:name="_Hlk108021890"/>
      <w:r w:rsidRPr="00554C43">
        <w:rPr>
          <w:lang w:val="en-US"/>
        </w:rPr>
        <w:t xml:space="preserve">To bring this IMF approach into our framework, and consistent with our OLS replication of the AA results above, we present in Tables 3, and 4 our IV estimates which make use of the IMF narrative variable. We </w:t>
      </w:r>
      <w:proofErr w:type="spellStart"/>
      <w:r w:rsidRPr="00554C43">
        <w:rPr>
          <w:lang w:val="en-US"/>
        </w:rPr>
        <w:t>reestimate</w:t>
      </w:r>
      <w:proofErr w:type="spellEnd"/>
      <w:r w:rsidRPr="00554C43">
        <w:rPr>
          <w:lang w:val="en-US"/>
        </w:rPr>
        <w:t xml:space="preserve"> expression (1) using the IMF dates of fiscal consolidations as both binary and continuous instruments. This approach is parallel to the approach in Mertens and </w:t>
      </w:r>
      <w:proofErr w:type="spellStart"/>
      <w:r w:rsidRPr="00554C43">
        <w:rPr>
          <w:lang w:val="en-US"/>
        </w:rPr>
        <w:t>Ravn</w:t>
      </w:r>
      <w:proofErr w:type="spellEnd"/>
      <w:r w:rsidRPr="00554C43">
        <w:rPr>
          <w:lang w:val="en-US"/>
        </w:rPr>
        <w:t xml:space="preserve"> (2013, 2014) for the US and based on Stock and Watson (2012).</w:t>
      </w:r>
    </w:p>
    <w:p w14:paraId="04AD09BD" w14:textId="077CC017" w:rsidR="000D7536" w:rsidRPr="000D7536" w:rsidRDefault="000D7536" w:rsidP="00382542">
      <w:pPr>
        <w:jc w:val="both"/>
        <w:rPr>
          <w:lang w:val="en-US"/>
        </w:rPr>
      </w:pPr>
      <w:r w:rsidRPr="000D7536">
        <w:rPr>
          <w:lang w:val="en-US"/>
        </w:rPr>
        <w:t xml:space="preserve">If the IMF approach is correct and has found truly exogenous shocks to fiscal policy, then it would be a valid instrument for </w:t>
      </w:r>
      <w:proofErr w:type="spellStart"/>
      <w:proofErr w:type="gramStart"/>
      <w:r w:rsidRPr="000D7536">
        <w:rPr>
          <w:lang w:val="en-US"/>
        </w:rPr>
        <w:t>d.CAPB</w:t>
      </w:r>
      <w:proofErr w:type="spellEnd"/>
      <w:proofErr w:type="gramEnd"/>
      <w:r w:rsidRPr="000D7536">
        <w:rPr>
          <w:lang w:val="en-US"/>
        </w:rPr>
        <w:t xml:space="preserve">. It would also be a potentially strong instrument: the raw correlation between </w:t>
      </w:r>
      <w:proofErr w:type="spellStart"/>
      <w:proofErr w:type="gramStart"/>
      <w:r w:rsidRPr="000D7536">
        <w:rPr>
          <w:lang w:val="en-US"/>
        </w:rPr>
        <w:t>d.CAPB</w:t>
      </w:r>
      <w:proofErr w:type="spellEnd"/>
      <w:proofErr w:type="gramEnd"/>
      <w:r w:rsidRPr="000D7536">
        <w:rPr>
          <w:lang w:val="en-US"/>
        </w:rPr>
        <w:t xml:space="preserve"> (year 1 versus year 0) and Treatment (in year 1) is 0.31, and a bivariate regression has an F-statistic of over 50; the same applies when Treatment is replaced by Total (in year 1).</w:t>
      </w:r>
    </w:p>
    <w:p w14:paraId="57E1E814" w14:textId="3F6F8450" w:rsidR="000D7536" w:rsidRPr="00EF66E2" w:rsidRDefault="00EF66E2" w:rsidP="00382542">
      <w:pPr>
        <w:jc w:val="both"/>
        <w:rPr>
          <w:lang w:val="en-US"/>
        </w:rPr>
      </w:pPr>
      <w:commentRangeStart w:id="2"/>
      <w:r w:rsidRPr="00EF66E2">
        <w:rPr>
          <w:lang w:val="en-US"/>
        </w:rPr>
        <w:t xml:space="preserve">We begin by </w:t>
      </w:r>
      <w:proofErr w:type="spellStart"/>
      <w:r w:rsidRPr="00EF66E2">
        <w:rPr>
          <w:lang w:val="en-US"/>
        </w:rPr>
        <w:t>reestimating</w:t>
      </w:r>
      <w:proofErr w:type="spellEnd"/>
      <w:r w:rsidRPr="00EF66E2">
        <w:rPr>
          <w:lang w:val="en-US"/>
        </w:rPr>
        <w:t xml:space="preserve"> the full sample specification reported in the top panel of Table 1 using instrumental variables in two ways. </w:t>
      </w:r>
      <w:r w:rsidR="008457E7" w:rsidRPr="00EF66E2">
        <w:rPr>
          <w:lang w:val="en-US"/>
        </w:rPr>
        <w:t>First,</w:t>
      </w:r>
      <w:r w:rsidRPr="00EF66E2">
        <w:rPr>
          <w:lang w:val="en-US"/>
        </w:rPr>
        <w:t xml:space="preserve"> we use the IMF narrative variables on dates of fiscal consolidation as a binary instrument (first row). Second, for a continuous IV we use the size of the consolidation identified by the IMF (second row). The results are reported in Table 3. Strikingly, the message here completely overturns the findings in Table 1. This is of course a </w:t>
      </w:r>
      <w:r w:rsidR="008457E7" w:rsidRPr="00EF66E2">
        <w:rPr>
          <w:lang w:val="en-US"/>
        </w:rPr>
        <w:t>well-known</w:t>
      </w:r>
      <w:r w:rsidRPr="00EF66E2">
        <w:rPr>
          <w:lang w:val="en-US"/>
        </w:rPr>
        <w:t xml:space="preserve"> problem, consistent with the pronounced divergence between the AA and GLP 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2"/>
      <w:r>
        <w:rPr>
          <w:rStyle w:val="CommentReference"/>
        </w:rPr>
        <w:commentReference w:id="2"/>
      </w:r>
    </w:p>
    <w:bookmarkEnd w:id="1"/>
    <w:p w14:paraId="61CDD819" w14:textId="3433D59E" w:rsidR="00EF66E2" w:rsidRDefault="00EF66E2" w:rsidP="00382542">
      <w:pPr>
        <w:jc w:val="both"/>
        <w:rPr>
          <w:rFonts w:ascii="LM Roman 10" w:hAnsi="LM Roman 10"/>
          <w:lang w:val="en-US"/>
        </w:rPr>
      </w:pPr>
    </w:p>
    <w:p w14:paraId="4396DF19" w14:textId="4A225514" w:rsidR="008457E7" w:rsidRDefault="008457E7" w:rsidP="00382542">
      <w:pPr>
        <w:jc w:val="both"/>
        <w:rPr>
          <w:lang w:val="en-US"/>
        </w:rPr>
      </w:pPr>
      <w:r w:rsidRPr="008457E7">
        <w:rPr>
          <w:lang w:val="en-US"/>
        </w:rPr>
        <w:t>Before drawing any conclusions, we evaluate whether the IMF narrative variable might be a legitimate instrument. Have we identified the causal effect of fiscal consoli</w:t>
      </w:r>
      <w:r>
        <w:rPr>
          <w:lang w:val="en-US"/>
        </w:rPr>
        <w:t>d</w:t>
      </w:r>
      <w:r w:rsidRPr="008457E7">
        <w:rPr>
          <w:lang w:val="en-US"/>
        </w:rPr>
        <w:t xml:space="preserve">ations on output? We cannot formally test the validity of the IMF narrative instrument since the LPs are just identified. However, if the IMF’s narrative variable can be predicted by excluded controls, and those controls are correlated with the outcome, at a minimum the excluded controls should be added to the regression. At worst, predictability points to having failed to resolve the allocation bias in our estimates—episodes of consolidation identified by the IMF might be simply an </w:t>
      </w:r>
      <w:r w:rsidRPr="008457E7">
        <w:rPr>
          <w:lang w:val="en-US"/>
        </w:rPr>
        <w:lastRenderedPageBreak/>
        <w:t>endogenous response by the fiscal authority. This possible shortcoming of the “narrative identification” strategy has been noted before in the context of monetary policy (Leeper 1997) and we have the same concern here.</w:t>
      </w:r>
    </w:p>
    <w:p w14:paraId="2226B383" w14:textId="5C9EB8CA" w:rsidR="008457E7" w:rsidRDefault="008457E7" w:rsidP="00382542">
      <w:pPr>
        <w:jc w:val="both"/>
      </w:pPr>
      <w:r w:rsidRPr="008457E7">
        <w:rPr>
          <w:highlight w:val="yellow"/>
        </w:rPr>
        <w:t xml:space="preserve">Si me animo Tabla 5 (ks test in R), solo se menciona </w:t>
      </w:r>
      <w:r w:rsidR="007A2C5B">
        <w:rPr>
          <w:highlight w:val="yellow"/>
        </w:rPr>
        <w:t>1</w:t>
      </w:r>
      <w:r w:rsidRPr="008457E7">
        <w:rPr>
          <w:highlight w:val="yellow"/>
        </w:rPr>
        <w:t xml:space="preserve"> ve</w:t>
      </w:r>
      <w:r w:rsidR="007A2C5B">
        <w:rPr>
          <w:highlight w:val="yellow"/>
        </w:rPr>
        <w:t>z</w:t>
      </w:r>
      <w:r w:rsidRPr="008457E7">
        <w:rPr>
          <w:highlight w:val="yellow"/>
        </w:rPr>
        <w:t>.</w:t>
      </w:r>
    </w:p>
    <w:p w14:paraId="502415CB" w14:textId="0E8ACF48" w:rsidR="007A2C5B" w:rsidRDefault="001F5CED" w:rsidP="00382542">
      <w:pPr>
        <w:jc w:val="both"/>
      </w:pPr>
      <w:r>
        <w:t xml:space="preserve">Tabla 6: </w:t>
      </w:r>
      <w:hyperlink r:id="rId10" w:history="1">
        <w:r w:rsidRPr="002E0E53">
          <w:rPr>
            <w:rStyle w:val="Hyperlink"/>
          </w:rPr>
          <w:t>https://bookdown.org/ccolonescu/RPoE4/RPoE.pdf</w:t>
        </w:r>
      </w:hyperlink>
      <w:r>
        <w:t xml:space="preserve">  (pg. 75)</w:t>
      </w:r>
    </w:p>
    <w:p w14:paraId="7E3EAE28" w14:textId="0713955B" w:rsidR="00433C50" w:rsidRPr="003019B1" w:rsidRDefault="00433C50" w:rsidP="00382542">
      <w:pPr>
        <w:jc w:val="both"/>
        <w:rPr>
          <w:lang w:val="en-US"/>
        </w:rPr>
      </w:pPr>
      <w:proofErr w:type="spellStart"/>
      <w:r w:rsidRPr="003019B1">
        <w:rPr>
          <w:lang w:val="en-US"/>
        </w:rPr>
        <w:t>Tabla</w:t>
      </w:r>
      <w:proofErr w:type="spellEnd"/>
      <w:r w:rsidRPr="003019B1">
        <w:rPr>
          <w:lang w:val="en-US"/>
        </w:rPr>
        <w:t xml:space="preserve"> 7, </w:t>
      </w:r>
      <w:proofErr w:type="spellStart"/>
      <w:r w:rsidRPr="003019B1">
        <w:rPr>
          <w:lang w:val="en-US"/>
        </w:rPr>
        <w:t>Hacer</w:t>
      </w:r>
      <w:proofErr w:type="spellEnd"/>
    </w:p>
    <w:p w14:paraId="48703FC6" w14:textId="78A57833" w:rsidR="00433C50" w:rsidRDefault="003019B1" w:rsidP="00382542">
      <w:pPr>
        <w:jc w:val="both"/>
        <w:rPr>
          <w:lang w:val="en-US"/>
        </w:rPr>
      </w:pPr>
      <w:commentRangeStart w:id="3"/>
      <w:proofErr w:type="gramStart"/>
      <w:r w:rsidRPr="003019B1">
        <w:rPr>
          <w:lang w:val="en-US"/>
        </w:rPr>
        <w:t>Next</w:t>
      </w:r>
      <w:proofErr w:type="gramEnd"/>
      <w:r w:rsidRPr="003019B1">
        <w:rPr>
          <w:lang w:val="en-US"/>
        </w:rPr>
        <w:t xml:space="preserve"> we check for another condition: Do excluded controls predict fiscal consolidations? Table 7 asks whether variation in the IMF binary treatment variable identified by GLP can be predicted. The results indicate that we have a reasonable basis for this concern.</w:t>
      </w:r>
      <w:commentRangeEnd w:id="3"/>
      <w:r w:rsidR="00096A3C">
        <w:rPr>
          <w:rStyle w:val="CommentReference"/>
        </w:rPr>
        <w:commentReference w:id="3"/>
      </w:r>
    </w:p>
    <w:p w14:paraId="09526D7E" w14:textId="006332EE" w:rsidR="003019B1" w:rsidRPr="003019B1" w:rsidRDefault="003019B1" w:rsidP="00382542">
      <w:pPr>
        <w:jc w:val="both"/>
        <w:rPr>
          <w:lang w:val="en-US"/>
        </w:rPr>
      </w:pPr>
      <w:r w:rsidRPr="003019B1">
        <w:rPr>
          <w:lang w:val="en-US"/>
        </w:rPr>
        <w:t>Table 7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p>
    <w:p w14:paraId="6A574F86" w14:textId="596F13BD" w:rsidR="003019B1" w:rsidRDefault="003019B1" w:rsidP="00382542">
      <w:pPr>
        <w:jc w:val="both"/>
        <w:rPr>
          <w:lang w:val="en-US"/>
        </w:rPr>
      </w:pPr>
      <w:r w:rsidRPr="003019B1">
        <w:rPr>
          <w:lang w:val="en-US"/>
        </w:rPr>
        <w:t>Thus, the act of engaging in pro-cyclical fiscal policy is not a new</w:t>
      </w:r>
      <w:r>
        <w:rPr>
          <w:lang w:val="en-US"/>
        </w:rPr>
        <w:t>-</w:t>
      </w:r>
      <w:r w:rsidRPr="003019B1">
        <w:rPr>
          <w:lang w:val="en-US"/>
        </w:rPr>
        <w:t>fangled craze but more of a chronic tendency in advanced countries. 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2393DAA1" w14:textId="7F012F04" w:rsidR="003019B1" w:rsidRPr="000D54D3" w:rsidRDefault="003019B1" w:rsidP="00382542">
      <w:pPr>
        <w:jc w:val="both"/>
        <w:rPr>
          <w:lang w:val="en-US"/>
        </w:rPr>
      </w:pPr>
      <w:r w:rsidRPr="003019B1">
        <w:rPr>
          <w:lang w:val="en-US"/>
        </w:rPr>
        <w:t xml:space="preserve">Further confirmation of the predictive ability of these treatment regressions is provided by the AUC statistic.7 The AUC is commonly used in biostatistics and machine learning to evaluate classification ability (see, </w:t>
      </w:r>
      <w:proofErr w:type="gramStart"/>
      <w:r w:rsidRPr="003019B1">
        <w:rPr>
          <w:lang w:val="en-US"/>
        </w:rPr>
        <w:t>e.g.</w:t>
      </w:r>
      <w:proofErr w:type="gramEnd"/>
      <w:r w:rsidRPr="003019B1">
        <w:rPr>
          <w:lang w:val="en-US"/>
        </w:rPr>
        <w:t xml:space="preserve"> </w:t>
      </w:r>
      <w:proofErr w:type="spellStart"/>
      <w:r w:rsidRPr="003019B1">
        <w:rPr>
          <w:lang w:val="en-US"/>
        </w:rPr>
        <w:t>Jorda</w:t>
      </w:r>
      <w:proofErr w:type="spellEnd"/>
      <w:r w:rsidRPr="003019B1">
        <w:rPr>
          <w:lang w:val="en-US"/>
        </w:rPr>
        <w:t xml:space="preserve"> and Taylor ` 2011). Under the null that the covariates have no classification ability, AUC = 0.5. Perfect classification ability corresponds to AUC = 1. The AUC has an approximate Gaussian distribution in large samples. Table 7 measures the classification ability of each specification. The AUC statistics show that the </w:t>
      </w:r>
      <w:proofErr w:type="spellStart"/>
      <w:r w:rsidRPr="003019B1">
        <w:rPr>
          <w:lang w:val="en-US"/>
        </w:rPr>
        <w:t>probits</w:t>
      </w:r>
      <w:proofErr w:type="spellEnd"/>
      <w:r w:rsidRPr="003019B1">
        <w:rPr>
          <w:lang w:val="en-US"/>
        </w:rPr>
        <w:t xml:space="preserve"> have very good predictive ability, with AUC around 0.65 when lagged treatment is omitted (Column 2), and over 0.8 when lagged treatment is included (Columns 3 and 4). </w:t>
      </w:r>
      <w:r w:rsidRPr="000D54D3">
        <w:rPr>
          <w:lang w:val="en-US"/>
        </w:rPr>
        <w:t>The AUCs are all significantly different from 0.5.</w:t>
      </w:r>
    </w:p>
    <w:p w14:paraId="6B75A9A8" w14:textId="794C0F73" w:rsidR="003019B1" w:rsidRPr="000D54D3" w:rsidRDefault="003019B1" w:rsidP="00382542">
      <w:pPr>
        <w:jc w:val="both"/>
        <w:rPr>
          <w:lang w:val="en-US"/>
        </w:rPr>
      </w:pPr>
      <w:commentRangeStart w:id="4"/>
      <w:r w:rsidRPr="003019B1">
        <w:rPr>
          <w:lang w:val="en-US"/>
        </w:rPr>
        <w:t xml:space="preserve">The key lesson from Table 7 is simply that the IMF variable has a significant forecastable component.8 The question, then, is how to deal with the problem of potentially endogenous instruments. </w:t>
      </w:r>
      <w:r w:rsidRPr="000D54D3">
        <w:rPr>
          <w:lang w:val="en-US"/>
        </w:rPr>
        <w:t>The remainder of this paper provides one answer.</w:t>
      </w:r>
      <w:commentRangeEnd w:id="4"/>
      <w:r>
        <w:rPr>
          <w:rStyle w:val="CommentReference"/>
        </w:rPr>
        <w:commentReference w:id="4"/>
      </w:r>
    </w:p>
    <w:p w14:paraId="75F9A34A" w14:textId="77777777" w:rsidR="003019B1" w:rsidRPr="003019B1" w:rsidRDefault="003019B1" w:rsidP="00382542">
      <w:pPr>
        <w:jc w:val="both"/>
        <w:rPr>
          <w:lang w:val="en-US"/>
        </w:rPr>
      </w:pPr>
    </w:p>
    <w:p w14:paraId="3855BCC5" w14:textId="3672C5CB" w:rsidR="001C703C" w:rsidRDefault="003019B1">
      <w:pPr>
        <w:rPr>
          <w:rFonts w:ascii="LM Roman 10" w:hAnsi="LM Roman 10"/>
          <w:b/>
          <w:bCs/>
          <w:lang w:val="en-US"/>
        </w:rPr>
      </w:pPr>
      <w:r>
        <w:rPr>
          <w:rFonts w:ascii="LM Roman 10" w:hAnsi="LM Roman 10"/>
          <w:b/>
          <w:bCs/>
          <w:lang w:val="en-US"/>
        </w:rPr>
        <w:t>St</w:t>
      </w:r>
      <w:r w:rsidR="001C703C" w:rsidRPr="00F86A70">
        <w:rPr>
          <w:rFonts w:ascii="LM Roman 10" w:hAnsi="LM Roman 10"/>
          <w:b/>
          <w:bCs/>
          <w:lang w:val="en-US"/>
        </w:rPr>
        <w:t>atistical design</w:t>
      </w:r>
    </w:p>
    <w:p w14:paraId="5A35EF09" w14:textId="77729399" w:rsidR="00DA6BE5" w:rsidRPr="00F86A70" w:rsidRDefault="003019B1" w:rsidP="003019B1">
      <w:pPr>
        <w:rPr>
          <w:rFonts w:ascii="LM Roman 10" w:hAnsi="LM Roman 10"/>
          <w:lang w:val="en-US"/>
        </w:rPr>
      </w:pPr>
      <w:r w:rsidRPr="003019B1">
        <w:rPr>
          <w:lang w:val="en-U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w:t>
      </w:r>
      <w:r w:rsidRPr="003019B1">
        <w:rPr>
          <w:lang w:val="en-US"/>
        </w:rPr>
        <w:lastRenderedPageBreak/>
        <w:t xml:space="preserve">the LP of expression 1. Third, we use inverse propensity score weighting on this LP to re-randomize allocation of the IMF fiscal consolidation events. </w:t>
      </w:r>
    </w:p>
    <w:p w14:paraId="6A655C36" w14:textId="2DE5AAAF" w:rsidR="00BB09CE" w:rsidRDefault="001C703C">
      <w:pPr>
        <w:rPr>
          <w:rFonts w:ascii="LM Roman 10" w:hAnsi="LM Roman 10"/>
          <w:lang w:val="en-US"/>
        </w:rPr>
      </w:pPr>
      <w:r w:rsidRPr="00F86A70">
        <w:rPr>
          <w:rFonts w:ascii="LM Roman 10" w:hAnsi="LM Roman 10"/>
          <w:lang w:val="en-US"/>
        </w:rPr>
        <w:t xml:space="preserve">In order to facilitate the </w:t>
      </w:r>
      <w:r w:rsidR="00AC6B0E" w:rsidRPr="00F86A70">
        <w:rPr>
          <w:rFonts w:ascii="LM Roman 10" w:hAnsi="LM Roman 10"/>
          <w:lang w:val="en-US"/>
        </w:rPr>
        <w:t>exposition,</w:t>
      </w:r>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5ED1B4D1" w14:textId="77DC06A1" w:rsidR="00AC6B0E" w:rsidRDefault="00AC6B0E">
      <w:pPr>
        <w:rPr>
          <w:lang w:val="en-US"/>
        </w:rPr>
      </w:pPr>
      <w:r w:rsidRPr="00AC6B0E">
        <w:rPr>
          <w:lang w:val="en-US"/>
        </w:rPr>
        <w:t xml:space="preserve">The methods that we present next can be extended to settings in which the policy variable takes on a small number of discrete values. Next we allow for a kw-dimensional vector of variables, </w:t>
      </w:r>
      <w:proofErr w:type="spellStart"/>
      <w:r w:rsidRPr="00AC6B0E">
        <w:rPr>
          <w:lang w:val="en-US"/>
        </w:rPr>
        <w:t>wt</w:t>
      </w:r>
      <w:proofErr w:type="spellEnd"/>
      <w:r w:rsidRPr="00AC6B0E">
        <w:rPr>
          <w:lang w:val="en-US"/>
        </w:rPr>
        <w:t xml:space="preserve"> that are not included in the vector </w:t>
      </w:r>
      <w:proofErr w:type="spellStart"/>
      <w:proofErr w:type="gramStart"/>
      <w:r w:rsidRPr="00AC6B0E">
        <w:rPr>
          <w:lang w:val="en-US"/>
        </w:rPr>
        <w:t>yt</w:t>
      </w:r>
      <w:proofErr w:type="spellEnd"/>
      <w:r w:rsidRPr="00AC6B0E">
        <w:rPr>
          <w:lang w:val="en-US"/>
        </w:rPr>
        <w:t xml:space="preserve"> ,</w:t>
      </w:r>
      <w:proofErr w:type="gramEnd"/>
      <w:r w:rsidRPr="00AC6B0E">
        <w:rPr>
          <w:lang w:val="en-US"/>
        </w:rPr>
        <w:t xml:space="preserve"> but which could be relevant predictors of the policy variable Dt . Finally, denote </w:t>
      </w:r>
      <w:proofErr w:type="spellStart"/>
      <w:r w:rsidRPr="00AC6B0E">
        <w:rPr>
          <w:lang w:val="en-US"/>
        </w:rPr>
        <w:t>Xt</w:t>
      </w:r>
      <w:proofErr w:type="spellEnd"/>
      <w:r w:rsidRPr="00AC6B0E">
        <w:rPr>
          <w:lang w:val="en-US"/>
        </w:rPr>
        <w:t xml:space="preserve"> the rich conditioning set given by ∆yt−1, ∆yt−2, ...; Dt−1</w:t>
      </w:r>
      <w:proofErr w:type="gramStart"/>
      <w:r w:rsidRPr="00AC6B0E">
        <w:rPr>
          <w:lang w:val="en-US"/>
        </w:rPr>
        <w:t>, .Dt</w:t>
      </w:r>
      <w:proofErr w:type="gramEnd"/>
      <w:r w:rsidRPr="00AC6B0E">
        <w:rPr>
          <w:lang w:val="en-US"/>
        </w:rPr>
        <w:t>−2, ...; and wt</w:t>
      </w:r>
      <w:r>
        <w:rPr>
          <w:lang w:val="en-US"/>
        </w:rPr>
        <w:t>.</w:t>
      </w:r>
    </w:p>
    <w:p w14:paraId="4EF733A4" w14:textId="5F060CCA" w:rsidR="00AC6B0E" w:rsidRPr="00AC6B0E" w:rsidRDefault="00AC6B0E">
      <w:pPr>
        <w:rPr>
          <w:lang w:val="en-US"/>
        </w:rPr>
      </w:pPr>
      <w:commentRangeStart w:id="5"/>
      <w:r w:rsidRPr="00AC6B0E">
        <w:rPr>
          <w:lang w:val="en-US"/>
        </w:rPr>
        <w:t>The causal effect of a policy intervention is defined as the unobservable random variable given by the difference (</w:t>
      </w:r>
      <w:proofErr w:type="spellStart"/>
      <w:proofErr w:type="gramStart"/>
      <w:r w:rsidRPr="00AC6B0E">
        <w:rPr>
          <w:lang w:val="en-US"/>
        </w:rPr>
        <w:t>yt,h</w:t>
      </w:r>
      <w:proofErr w:type="spellEnd"/>
      <w:proofErr w:type="gramEnd"/>
      <w:r w:rsidRPr="00AC6B0E">
        <w:rPr>
          <w:lang w:val="en-US"/>
        </w:rPr>
        <w:t xml:space="preserve"> (1) − </w:t>
      </w:r>
      <w:proofErr w:type="spellStart"/>
      <w:r w:rsidRPr="00AC6B0E">
        <w:rPr>
          <w:lang w:val="en-US"/>
        </w:rPr>
        <w:t>yt</w:t>
      </w:r>
      <w:proofErr w:type="spellEnd"/>
      <w:r w:rsidRPr="00AC6B0E">
        <w:rPr>
          <w:lang w:val="en-US"/>
        </w:rPr>
        <w:t>) − (</w:t>
      </w:r>
      <w:proofErr w:type="spellStart"/>
      <w:r w:rsidRPr="00AC6B0E">
        <w:rPr>
          <w:lang w:val="en-US"/>
        </w:rPr>
        <w:t>yt,h</w:t>
      </w:r>
      <w:proofErr w:type="spellEnd"/>
      <w:r w:rsidRPr="00AC6B0E">
        <w:rPr>
          <w:lang w:val="en-US"/>
        </w:rPr>
        <w:t xml:space="preserve"> (0) − </w:t>
      </w:r>
      <w:proofErr w:type="spellStart"/>
      <w:r w:rsidRPr="00AC6B0E">
        <w:rPr>
          <w:lang w:val="en-US"/>
        </w:rPr>
        <w:t>yt</w:t>
      </w:r>
      <w:proofErr w:type="spellEnd"/>
      <w:r w:rsidRPr="00AC6B0E">
        <w:rPr>
          <w:lang w:val="en-US"/>
        </w:rPr>
        <w:t xml:space="preserve">). Notice that </w:t>
      </w:r>
      <w:proofErr w:type="spellStart"/>
      <w:r w:rsidRPr="00AC6B0E">
        <w:rPr>
          <w:lang w:val="en-US"/>
        </w:rPr>
        <w:t>yt</w:t>
      </w:r>
      <w:proofErr w:type="spellEnd"/>
      <w:r w:rsidRPr="00AC6B0E">
        <w:rPr>
          <w:lang w:val="en-US"/>
        </w:rPr>
        <w:t xml:space="preserve"> is only used to benchmark the cumulative change and it is observed at time t. We assume that the parameters of the policy function do not change.</w:t>
      </w:r>
      <w:commentRangeEnd w:id="5"/>
      <w:r w:rsidR="00D94CFB">
        <w:rPr>
          <w:rStyle w:val="CommentReference"/>
        </w:rPr>
        <w:commentReference w:id="5"/>
      </w:r>
    </w:p>
    <w:p w14:paraId="0515ED37" w14:textId="77777777" w:rsidR="002F2E45" w:rsidRDefault="002F2E45">
      <w:pPr>
        <w:rPr>
          <w:rFonts w:ascii="LM Roman 10" w:hAnsi="LM Roman 10"/>
          <w:lang w:val="en-US"/>
        </w:rPr>
      </w:pPr>
    </w:p>
    <w:p w14:paraId="786EA0AF" w14:textId="0414F6B2" w:rsidR="00F21EF0" w:rsidRPr="00F86A70" w:rsidRDefault="002F2E45">
      <w:pPr>
        <w:rPr>
          <w:rFonts w:ascii="LM Roman 10" w:hAnsi="LM Roman 10"/>
          <w:lang w:val="en-US"/>
        </w:rPr>
      </w:pPr>
      <w:r w:rsidRPr="002F2E45">
        <w:rPr>
          <w:rFonts w:ascii="LM Roman 10" w:hAnsi="LM Roman 10"/>
          <w:noProof/>
          <w:lang w:val="en-US"/>
        </w:rPr>
        <w:drawing>
          <wp:inline distT="0" distB="0" distL="0" distR="0" wp14:anchorId="4FCA00F4" wp14:editId="2E01548A">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57275"/>
                    </a:xfrm>
                    <a:prstGeom prst="rect">
                      <a:avLst/>
                    </a:prstGeom>
                  </pic:spPr>
                </pic:pic>
              </a:graphicData>
            </a:graphic>
          </wp:inline>
        </w:drawing>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71475"/>
                    </a:xfrm>
                    <a:prstGeom prst="rect">
                      <a:avLst/>
                    </a:prstGeom>
                  </pic:spPr>
                </pic:pic>
              </a:graphicData>
            </a:graphic>
          </wp:inline>
        </w:drawing>
      </w:r>
    </w:p>
    <w:p w14:paraId="24BC54DE" w14:textId="58FE433C" w:rsidR="007E6120" w:rsidRDefault="002F2E45">
      <w:pPr>
        <w:rPr>
          <w:lang w:val="en-US"/>
        </w:rPr>
      </w:pPr>
      <w:r w:rsidRPr="002F2E45">
        <w:rPr>
          <w:lang w:val="en-US"/>
        </w:rPr>
        <w:t xml:space="preserve">Even when data are randomly allocated across the treatment and control subpopulations, it would be natural to condition on the </w:t>
      </w:r>
      <w:proofErr w:type="spellStart"/>
      <w:r w:rsidRPr="002F2E45">
        <w:rPr>
          <w:lang w:val="en-US"/>
        </w:rPr>
        <w:t>Xt</w:t>
      </w:r>
      <w:proofErr w:type="spellEnd"/>
      <w:r w:rsidRPr="002F2E45">
        <w:rPr>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56AD915A" w14:textId="5BAE016F" w:rsidR="007025B2" w:rsidRPr="007025B2" w:rsidRDefault="002F2E45">
      <w:pPr>
        <w:rPr>
          <w:lang w:val="en-US"/>
        </w:rPr>
      </w:pPr>
      <w:commentRangeStart w:id="6"/>
      <w:r w:rsidRPr="002F2E45">
        <w:rPr>
          <w:lang w:val="en-US"/>
        </w:rPr>
        <w:t xml:space="preserve">Assume that a linear regression control strategy suffices to do the appropriate conditioning for the </w:t>
      </w:r>
      <w:proofErr w:type="spellStart"/>
      <w:r w:rsidRPr="002F2E45">
        <w:rPr>
          <w:lang w:val="en-US"/>
        </w:rPr>
        <w:t>Xt</w:t>
      </w:r>
      <w:proofErr w:type="spellEnd"/>
      <w:r w:rsidRPr="002F2E45">
        <w:rPr>
          <w:lang w:val="en-US"/>
        </w:rPr>
        <w:t xml:space="preserve"> and hence obtain a consistent estimate of </w:t>
      </w:r>
      <w:proofErr w:type="gramStart"/>
      <w:r w:rsidRPr="002F2E45">
        <w:rPr>
          <w:lang w:val="en-US"/>
        </w:rPr>
        <w:t>E[</w:t>
      </w:r>
      <w:proofErr w:type="spellStart"/>
      <w:proofErr w:type="gramEnd"/>
      <w:r w:rsidRPr="002F2E45">
        <w:rPr>
          <w:lang w:val="en-US"/>
        </w:rPr>
        <w:t>yt+h</w:t>
      </w:r>
      <w:proofErr w:type="spellEnd"/>
      <w:r w:rsidRPr="002F2E45">
        <w:rPr>
          <w:lang w:val="en-US"/>
        </w:rPr>
        <w:t xml:space="preserve"> − </w:t>
      </w:r>
      <w:proofErr w:type="spellStart"/>
      <w:r w:rsidRPr="002F2E45">
        <w:rPr>
          <w:lang w:val="en-US"/>
        </w:rPr>
        <w:t>yt</w:t>
      </w:r>
      <w:proofErr w:type="spellEnd"/>
      <w:r w:rsidRPr="002F2E45">
        <w:rPr>
          <w:lang w:val="en-US"/>
        </w:rPr>
        <w:t xml:space="preserve"> |Dt , </w:t>
      </w:r>
      <w:proofErr w:type="spellStart"/>
      <w:r w:rsidRPr="002F2E45">
        <w:rPr>
          <w:lang w:val="en-US"/>
        </w:rPr>
        <w:t>Xt</w:t>
      </w:r>
      <w:proofErr w:type="spellEnd"/>
      <w:r w:rsidRPr="002F2E45">
        <w:rPr>
          <w:lang w:val="en-US"/>
        </w:rPr>
        <w:t xml:space="preserve"> ]. This is a big assumption </w:t>
      </w:r>
      <w:r w:rsidRPr="002F2E45">
        <w:rPr>
          <w:lang w:val="en-US"/>
        </w:rPr>
        <w:lastRenderedPageBreak/>
        <w:t>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commentRangeEnd w:id="6"/>
      <w:r w:rsidR="007025B2">
        <w:rPr>
          <w:rStyle w:val="CommentReference"/>
        </w:rPr>
        <w:commentReference w:id="6"/>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02385"/>
                    </a:xfrm>
                    <a:prstGeom prst="rect">
                      <a:avLst/>
                    </a:prstGeom>
                  </pic:spPr>
                </pic:pic>
              </a:graphicData>
            </a:graphic>
          </wp:inline>
        </w:drawing>
      </w:r>
    </w:p>
    <w:p w14:paraId="42F58BDA" w14:textId="5E49607A" w:rsidR="007E6120" w:rsidRPr="00F86A70" w:rsidRDefault="007E6120">
      <w:pPr>
        <w:rPr>
          <w:rFonts w:ascii="LM Roman 10" w:hAnsi="LM Roman 10"/>
          <w:lang w:val="en-US"/>
        </w:rPr>
      </w:pPr>
      <w:r w:rsidRPr="00F86A70">
        <w:rPr>
          <w:rFonts w:ascii="LM Roman 10" w:hAnsi="LM Roman 10"/>
          <w:lang w:val="en-US"/>
        </w:rPr>
        <w:t xml:space="preserve">This </w:t>
      </w:r>
      <w:r w:rsidR="00FC4C3C" w:rsidRPr="00F86A70">
        <w:rPr>
          <w:rFonts w:ascii="LM Roman 10" w:hAnsi="LM Roman 10"/>
          <w:lang w:val="en-US"/>
        </w:rPr>
        <w:t>naïve</w:t>
      </w:r>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786DC8B" w:rsidR="007E6120" w:rsidRDefault="00D86FE2">
      <w:pPr>
        <w:rPr>
          <w:lang w:val="en-US"/>
        </w:rPr>
      </w:pPr>
      <w:r w:rsidRPr="00D86FE2">
        <w:rPr>
          <w:lang w:val="en-US"/>
        </w:rPr>
        <w:t xml:space="preserve">When instruments are available one can further achieve identification using instrumental variable methods as in Stock and Watson (2012) and Mertens and </w:t>
      </w:r>
      <w:proofErr w:type="spellStart"/>
      <w:r w:rsidRPr="00D86FE2">
        <w:rPr>
          <w:lang w:val="en-US"/>
        </w:rPr>
        <w:t>Ravn</w:t>
      </w:r>
      <w:proofErr w:type="spellEnd"/>
      <w:r w:rsidRPr="00D86FE2">
        <w:rPr>
          <w:lang w:val="en-US"/>
        </w:rPr>
        <w:t xml:space="preserve"> (2013, 2014). We have shown above how IV methods can be used with the LP approach in a more natural way. 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0BC7B803" w14:textId="72449E29" w:rsidR="005C6F09" w:rsidRPr="005C6F09" w:rsidRDefault="005C6F09">
      <w:pPr>
        <w:rPr>
          <w:rFonts w:ascii="LM Roman 10" w:hAnsi="LM Roman 10"/>
          <w:lang w:val="en-US"/>
        </w:rPr>
      </w:pPr>
      <w:r w:rsidRPr="005C6F09">
        <w:rPr>
          <w:lang w:val="en-US"/>
        </w:rPr>
        <w:t xml:space="preserve">More generally, if we do not impose the implicit assumptions of the </w:t>
      </w:r>
      <w:proofErr w:type="spellStart"/>
      <w:r w:rsidRPr="005C6F09">
        <w:rPr>
          <w:lang w:val="en-US"/>
        </w:rPr>
        <w:t>na¨ıve</w:t>
      </w:r>
      <w:proofErr w:type="spellEnd"/>
      <w:r w:rsidRPr="005C6F09">
        <w:rPr>
          <w:lang w:val="en-US"/>
        </w:rPr>
        <w:t xml:space="preserve"> LP specification, the analogous representation to the group means expression (3) is</w:t>
      </w:r>
    </w:p>
    <w:p w14:paraId="56605B40" w14:textId="0B35144E" w:rsidR="005E2878"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492" cy="553568"/>
                    </a:xfrm>
                    <a:prstGeom prst="rect">
                      <a:avLst/>
                    </a:prstGeom>
                  </pic:spPr>
                </pic:pic>
              </a:graphicData>
            </a:graphic>
          </wp:inline>
        </w:drawing>
      </w:r>
    </w:p>
    <w:p w14:paraId="0E58AA36" w14:textId="03959661" w:rsidR="00DE6F9C" w:rsidRPr="00DE6F9C" w:rsidRDefault="00DE6F9C" w:rsidP="00DE6F9C">
      <w:pPr>
        <w:rPr>
          <w:rFonts w:ascii="LM Roman 10" w:hAnsi="LM Roman 10"/>
          <w:lang w:val="en-US"/>
        </w:rPr>
      </w:pPr>
      <w:r w:rsidRPr="00DE6F9C">
        <w:rPr>
          <w:lang w:val="en-US"/>
        </w:rPr>
        <w:t xml:space="preserve">where </w:t>
      </w:r>
      <w:proofErr w:type="spellStart"/>
      <w:r w:rsidRPr="00DE6F9C">
        <w:rPr>
          <w:lang w:val="en-US"/>
        </w:rPr>
        <w:t>mh</w:t>
      </w:r>
      <w:proofErr w:type="spellEnd"/>
      <w:r w:rsidRPr="00DE6F9C">
        <w:rPr>
          <w:lang w:val="en-US"/>
        </w:rPr>
        <w:t xml:space="preserve"> j (.) is a generic specification of the conditional mean of (</w:t>
      </w:r>
      <w:proofErr w:type="spellStart"/>
      <w:r w:rsidRPr="00DE6F9C">
        <w:rPr>
          <w:lang w:val="en-US"/>
        </w:rPr>
        <w:t>yt+h</w:t>
      </w:r>
      <w:proofErr w:type="spellEnd"/>
      <w:r w:rsidRPr="00DE6F9C">
        <w:rPr>
          <w:lang w:val="en-US"/>
        </w:rPr>
        <w:t xml:space="preserve"> − </w:t>
      </w:r>
      <w:proofErr w:type="spellStart"/>
      <w:r w:rsidRPr="00DE6F9C">
        <w:rPr>
          <w:lang w:val="en-US"/>
        </w:rPr>
        <w:t>yt</w:t>
      </w:r>
      <w:proofErr w:type="spellEnd"/>
      <w:r w:rsidRPr="00DE6F9C">
        <w:rPr>
          <w:lang w:val="en-US"/>
        </w:rPr>
        <w:t xml:space="preserve">) in each subpopulation j = 1, 0 and </w:t>
      </w:r>
      <w:r>
        <w:t>θ</w:t>
      </w:r>
      <w:r w:rsidRPr="00DE6F9C">
        <w:rPr>
          <w:lang w:val="en-US"/>
        </w:rPr>
        <w:t xml:space="preserve"> h j = (</w:t>
      </w:r>
      <w:r>
        <w:t>α</w:t>
      </w:r>
      <w:r w:rsidRPr="00DE6F9C">
        <w:rPr>
          <w:lang w:val="en-US"/>
        </w:rPr>
        <w:t xml:space="preserve"> h j </w:t>
      </w:r>
      <w:r>
        <w:t>β</w:t>
      </w:r>
      <w:r w:rsidRPr="00DE6F9C">
        <w:rPr>
          <w:lang w:val="en-US"/>
        </w:rPr>
        <w:t xml:space="preserve"> h </w:t>
      </w:r>
      <w:proofErr w:type="gramStart"/>
      <w:r w:rsidRPr="00DE6F9C">
        <w:rPr>
          <w:lang w:val="en-US"/>
        </w:rPr>
        <w:t>j )</w:t>
      </w:r>
      <w:proofErr w:type="gramEnd"/>
      <w:r w:rsidRPr="00DE6F9C">
        <w:rPr>
          <w:lang w:val="en-US"/>
        </w:rPr>
        <w:t xml:space="preserve"> ′ for the regression example in (7). The n1 and n0 have been defined earlier. Note that this more general form of regression adjustment allows the conditional means to be different for the treated and control subpopulations and allows their effect on the outcome to differ as well.</w:t>
      </w:r>
    </w:p>
    <w:p w14:paraId="6ACA8F75" w14:textId="77777777" w:rsidR="00FC4C3C" w:rsidRPr="00F86A70" w:rsidRDefault="00FC4C3C" w:rsidP="005E2878">
      <w:pPr>
        <w:jc w:val="center"/>
        <w:rPr>
          <w:rFonts w:ascii="LM Roman 10" w:hAnsi="LM Roman 10"/>
          <w:lang w:val="en-US"/>
        </w:rPr>
      </w:pP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lastRenderedPageBreak/>
        <w:t xml:space="preserve">5.1. Re-randomization through the propensity score </w:t>
      </w:r>
    </w:p>
    <w:p w14:paraId="26FA5708" w14:textId="18244D81" w:rsidR="005E2878" w:rsidRPr="00F86A70" w:rsidRDefault="000D54D3" w:rsidP="005E2878">
      <w:pPr>
        <w:rPr>
          <w:rFonts w:ascii="LM Roman 10" w:hAnsi="LM Roman 10"/>
          <w:lang w:val="en-US"/>
        </w:rPr>
      </w:pPr>
      <w:r w:rsidRPr="000D54D3">
        <w:rPr>
          <w:rFonts w:ascii="LM Roman 10" w:hAnsi="LM Roman 10"/>
          <w:noProof/>
          <w:lang w:val="en-US"/>
        </w:rPr>
        <w:drawing>
          <wp:inline distT="0" distB="0" distL="0" distR="0" wp14:anchorId="4B28A6FB" wp14:editId="4DB44768">
            <wp:extent cx="540004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84905"/>
                    </a:xfrm>
                    <a:prstGeom prst="rect">
                      <a:avLst/>
                    </a:prstGeom>
                  </pic:spPr>
                </pic:pic>
              </a:graphicData>
            </a:graphic>
          </wp:inline>
        </w:drawing>
      </w:r>
    </w:p>
    <w:p w14:paraId="58B185E9" w14:textId="2CF405D0" w:rsidR="005E2878"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w:t>
      </w:r>
      <w:r w:rsidR="00314DAE">
        <w:rPr>
          <w:rFonts w:ascii="LM Roman 10" w:hAnsi="LM Roman 10"/>
          <w:lang w:val="en-US"/>
        </w:rPr>
        <w:t xml:space="preserve"> </w:t>
      </w:r>
      <w:r w:rsidRPr="00F86A70">
        <w:rPr>
          <w:rFonts w:ascii="LM Roman 10" w:hAnsi="LM Roman 10"/>
          <w:lang w:val="en-US"/>
        </w:rPr>
        <w:t xml:space="preserve">reduction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288FD342" w14:textId="7146D799" w:rsidR="00314DAE" w:rsidRPr="00F86A70" w:rsidRDefault="00314DAE" w:rsidP="005E2878">
      <w:pPr>
        <w:rPr>
          <w:rFonts w:ascii="LM Roman 10" w:hAnsi="LM Roman 10"/>
          <w:lang w:val="en-US"/>
        </w:rPr>
      </w:pPr>
      <w:r w:rsidRPr="00314DAE">
        <w:rPr>
          <w:rFonts w:ascii="LM Roman 10" w:hAnsi="LM Roman 10"/>
          <w:noProof/>
          <w:lang w:val="en-US"/>
        </w:rPr>
        <w:lastRenderedPageBreak/>
        <w:drawing>
          <wp:inline distT="0" distB="0" distL="0" distR="0" wp14:anchorId="45CA0723" wp14:editId="2AE827E2">
            <wp:extent cx="5400040" cy="639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95085"/>
                    </a:xfrm>
                    <a:prstGeom prst="rect">
                      <a:avLst/>
                    </a:prstGeom>
                  </pic:spPr>
                </pic:pic>
              </a:graphicData>
            </a:graphic>
          </wp:inline>
        </w:drawing>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32C1AF02" w14:textId="2C808174" w:rsidR="005D0AA2" w:rsidRDefault="005D0AA2">
      <w:pPr>
        <w:rPr>
          <w:rFonts w:ascii="LM Roman 10" w:hAnsi="LM Roman 10"/>
          <w:lang w:val="en-US"/>
        </w:rPr>
      </w:pPr>
      <w:r w:rsidRPr="005D0AA2">
        <w:rPr>
          <w:rFonts w:ascii="LM Roman 10" w:hAnsi="LM Roman 10"/>
          <w:noProof/>
          <w:lang w:val="en-US"/>
        </w:rPr>
        <w:lastRenderedPageBreak/>
        <w:drawing>
          <wp:inline distT="0" distB="0" distL="0" distR="0" wp14:anchorId="515F122F" wp14:editId="3C809929">
            <wp:extent cx="5400040"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88440"/>
                    </a:xfrm>
                    <a:prstGeom prst="rect">
                      <a:avLst/>
                    </a:prstGeom>
                  </pic:spPr>
                </pic:pic>
              </a:graphicData>
            </a:graphic>
          </wp:inline>
        </w:drawing>
      </w:r>
    </w:p>
    <w:p w14:paraId="58F30486" w14:textId="0AE1597E" w:rsidR="005D0AA2" w:rsidRPr="00F86A70" w:rsidRDefault="00972091">
      <w:pPr>
        <w:rPr>
          <w:rFonts w:ascii="LM Roman 10" w:hAnsi="LM Roman 10"/>
          <w:lang w:val="en-US"/>
        </w:rPr>
      </w:pPr>
      <w:r w:rsidRPr="00972091">
        <w:rPr>
          <w:rFonts w:ascii="LM Roman 10" w:hAnsi="LM Roman 10"/>
          <w:noProof/>
          <w:lang w:val="en-US"/>
        </w:rPr>
        <w:drawing>
          <wp:inline distT="0" distB="0" distL="0" distR="0" wp14:anchorId="0232FFFC" wp14:editId="55CBBE41">
            <wp:extent cx="540004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43250"/>
                    </a:xfrm>
                    <a:prstGeom prst="rect">
                      <a:avLst/>
                    </a:prstGeom>
                  </pic:spPr>
                </pic:pic>
              </a:graphicData>
            </a:graphic>
          </wp:inline>
        </w:drawing>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12F56F6C" w14:textId="77777777" w:rsidR="00D335B0" w:rsidRDefault="00D335B0">
      <w:pPr>
        <w:rPr>
          <w:lang w:val="en-US"/>
        </w:rPr>
      </w:pPr>
      <w:r w:rsidRPr="00D335B0">
        <w:rPr>
          <w:lang w:val="en-US"/>
        </w:rPr>
        <w:t xml:space="preserve">5.4. What We Do </w:t>
      </w:r>
    </w:p>
    <w:p w14:paraId="05CAC3ED" w14:textId="7974DAA9" w:rsidR="00D335B0" w:rsidRDefault="00D335B0">
      <w:pPr>
        <w:rPr>
          <w:lang w:val="en-US"/>
        </w:rPr>
      </w:pPr>
      <w:r w:rsidRPr="00D335B0">
        <w:rPr>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AIPW estimator are close to the IV results seen earlier. </w:t>
      </w:r>
      <w:proofErr w:type="gramStart"/>
      <w:r w:rsidRPr="00D335B0">
        <w:rPr>
          <w:lang w:val="en-US"/>
        </w:rPr>
        <w:t>Next</w:t>
      </w:r>
      <w:proofErr w:type="gramEnd"/>
      <w:r w:rsidRPr="00D335B0">
        <w:rPr>
          <w:lang w:val="en-US"/>
        </w:rPr>
        <w:t xml:space="preserve">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p>
    <w:p w14:paraId="150EF25F" w14:textId="7C9FE3F5" w:rsidR="00D335B0" w:rsidRDefault="006B32C1">
      <w:pPr>
        <w:rPr>
          <w:lang w:val="en-US"/>
        </w:rPr>
      </w:pPr>
      <w:r w:rsidRPr="006B32C1">
        <w:rPr>
          <w:lang w:val="en-US"/>
        </w:rPr>
        <w:lastRenderedPageBreak/>
        <w:t>6. Contractionary Austerity Revisited: Estimates of the Average Effect of Fiscal Consolidations</w:t>
      </w:r>
    </w:p>
    <w:p w14:paraId="1CF93361" w14:textId="72347BCE" w:rsidR="006B32C1" w:rsidRDefault="006B32C1">
      <w:pPr>
        <w:rPr>
          <w:lang w:val="en-US"/>
        </w:rPr>
      </w:pPr>
      <w:r w:rsidRPr="006B32C1">
        <w:rPr>
          <w:lang w:val="en-US"/>
        </w:rPr>
        <w:t xml:space="preserve">This section presents AIPW estimates of the ATE of fiscal consolidations. Following standard procedures, the propensity score used here is based on a saturated </w:t>
      </w:r>
      <w:proofErr w:type="spellStart"/>
      <w:r w:rsidRPr="006B32C1">
        <w:rPr>
          <w:lang w:val="en-US"/>
        </w:rPr>
        <w:t>probit</w:t>
      </w:r>
      <w:proofErr w:type="spellEnd"/>
      <w:r w:rsidRPr="006B32C1">
        <w:rPr>
          <w:lang w:val="en-US"/>
        </w:rPr>
        <w:t xml:space="preserve"> model that extends the set of controls used in Table 7 with the current and lagged values of the controls in Table 6.</w:t>
      </w:r>
    </w:p>
    <w:p w14:paraId="627E795B" w14:textId="3594F204" w:rsidR="006B32C1" w:rsidRDefault="006B32C1">
      <w:pPr>
        <w:rPr>
          <w:lang w:val="en-US"/>
        </w:rPr>
      </w:pPr>
      <w:r w:rsidRPr="006B32C1">
        <w:rPr>
          <w:lang w:val="en-US"/>
        </w:rPr>
        <w:t>Figure 2 provides smooth kernel density estimates of the distribution of the propensity score for the treated and control units to check for overlap. One way to think of overlap is to consider what overlap would be in the ideal RCT. The empirical distributions of the propensity score for treated and control units would be uniform and identical to each other. At the other extreme, suppose that treatment is allocated mechanically on the basis of controls. Then the distribution of treated units would spike at one and be zero elsewhere, and the distribution of control units would spike at zero and be zero elsewhere</w:t>
      </w:r>
      <w:r>
        <w:rPr>
          <w:lang w:val="en-US"/>
        </w:rPr>
        <w:t>.</w:t>
      </w:r>
    </w:p>
    <w:p w14:paraId="2E154B9C" w14:textId="240BBDF5" w:rsidR="006B32C1" w:rsidRPr="006B32C1" w:rsidRDefault="006B32C1">
      <w:pPr>
        <w:rPr>
          <w:rFonts w:ascii="LM Roman 10" w:hAnsi="LM Roman 10"/>
          <w:lang w:val="en-US"/>
        </w:rPr>
      </w:pPr>
      <w:commentRangeStart w:id="7"/>
      <w:r w:rsidRPr="006B32C1">
        <w:rPr>
          <w:lang w:val="en-US"/>
        </w:rPr>
        <w:t>However, the AIPW has the property that high weights in the IPW are compensated at the same rate by the augmentation term. Experiments not reported here indicate that this is indeed what happens in practice and that truncation is unnecessary in our application (see Appendix A.3).</w:t>
      </w:r>
      <w:commentRangeEnd w:id="7"/>
      <w:r>
        <w:rPr>
          <w:rStyle w:val="CommentReference"/>
        </w:rPr>
        <w:commentReference w:id="7"/>
      </w:r>
    </w:p>
    <w:p w14:paraId="2762AE3B" w14:textId="639EDFB1" w:rsidR="00155855" w:rsidRPr="00044875" w:rsidRDefault="00044875">
      <w:pPr>
        <w:rPr>
          <w:lang w:val="en-US"/>
        </w:rPr>
      </w:pPr>
      <w:r w:rsidRPr="00044875">
        <w:rPr>
          <w:lang w:val="en-US"/>
        </w:rPr>
        <w:t xml:space="preserve">Table 8 is organized into two rows. The first row reports the results based on imposing the restriction </w:t>
      </w:r>
      <w:r>
        <w:t>θ</w:t>
      </w:r>
      <w:r w:rsidRPr="00044875">
        <w:rPr>
          <w:lang w:val="en-US"/>
        </w:rPr>
        <w:t xml:space="preserve"> h 1 = </w:t>
      </w:r>
      <w:r>
        <w:t>θ</w:t>
      </w:r>
      <w:r w:rsidRPr="00044875">
        <w:rPr>
          <w:lang w:val="en-US"/>
        </w:rPr>
        <w:t xml:space="preserve"> h </w:t>
      </w:r>
      <w:proofErr w:type="gramStart"/>
      <w:r w:rsidRPr="00044875">
        <w:rPr>
          <w:lang w:val="en-US"/>
        </w:rPr>
        <w:t>0 ,</w:t>
      </w:r>
      <w:proofErr w:type="gramEnd"/>
      <w:r w:rsidRPr="00044875">
        <w:rPr>
          <w:lang w:val="en-US"/>
        </w:rPr>
        <w:t xml:space="preserve"> the usual implicit restriction used without hesitation in the macro-VAR empirical literature and the same restriction we imposed in reporting the results of Tables 1 and 3. The second row reports the results that do not impose the </w:t>
      </w:r>
      <w:r>
        <w:t>θ</w:t>
      </w:r>
      <w:r w:rsidRPr="00044875">
        <w:rPr>
          <w:lang w:val="en-US"/>
        </w:rPr>
        <w:t xml:space="preserve"> h 1 = </w:t>
      </w:r>
      <w:r>
        <w:t>θ</w:t>
      </w:r>
      <w:r w:rsidRPr="00044875">
        <w:rPr>
          <w:lang w:val="en-US"/>
        </w:rPr>
        <w:t xml:space="preserve"> h 0 restriction. The results are qualitatively similar to those reported in Table 3 in that we still find that austerity is contractionary. However, the estimated impacts of fiscal consolidations on output are now even bigger.</w:t>
      </w:r>
    </w:p>
    <w:p w14:paraId="60F86204" w14:textId="63FA072C" w:rsidR="00044875" w:rsidRPr="00044875" w:rsidRDefault="00044875">
      <w:pPr>
        <w:rPr>
          <w:lang w:val="en-US"/>
        </w:rPr>
      </w:pPr>
      <w:r w:rsidRPr="00044875">
        <w:rPr>
          <w:lang w:val="en-US"/>
        </w:rPr>
        <w:t>Recall that according to the IV estimates, the accumulated loss over five years was -2.94</w:t>
      </w:r>
      <w:r w:rsidRPr="00044875">
        <w:rPr>
          <w:rFonts w:ascii="Cambria Math" w:hAnsi="Cambria Math" w:cs="Cambria Math"/>
          <w:lang w:val="en-US"/>
        </w:rPr>
        <w:t>∗∗∗</w:t>
      </w:r>
      <w:r w:rsidRPr="00044875">
        <w:rPr>
          <w:lang w:val="en-US"/>
        </w:rPr>
        <w:t>. This would imply an average annual real GDP loss of about 0.59% of GDP per 1% of fiscal consolidation over each of the 5 years. Here our AIPW estimate with unrestricted coefficients has a sum effect of -3.61</w:t>
      </w:r>
      <w:r w:rsidRPr="00044875">
        <w:rPr>
          <w:rFonts w:ascii="Cambria Math" w:hAnsi="Cambria Math" w:cs="Cambria Math"/>
          <w:lang w:val="en-US"/>
        </w:rPr>
        <w:t>∗∗∗</w:t>
      </w:r>
      <w:r w:rsidRPr="00044875">
        <w:rPr>
          <w:lang w:val="en-US"/>
        </w:rPr>
        <w:t xml:space="preserve"> over 5 years. This would imply an average annual real GDP loss of about 0.74% of GDP per 1% of fiscal consolidation over each of the 5 years (using a 1/0.97 rescaling factor). </w:t>
      </w:r>
      <w:proofErr w:type="gramStart"/>
      <w:r w:rsidRPr="00044875">
        <w:rPr>
          <w:lang w:val="en-US"/>
        </w:rPr>
        <w:t>Thus</w:t>
      </w:r>
      <w:proofErr w:type="gramEnd"/>
      <w:r w:rsidRPr="00044875">
        <w:rPr>
          <w:lang w:val="en-US"/>
        </w:rPr>
        <w:t xml:space="preserve"> the implied output losses due to austerity are about 20% larger under our AIPW estimation than with IV estimation.</w:t>
      </w:r>
    </w:p>
    <w:p w14:paraId="09F201FF" w14:textId="2E24E7F3" w:rsidR="00044875" w:rsidRDefault="00044875">
      <w:pPr>
        <w:rPr>
          <w:lang w:val="en-US"/>
        </w:rPr>
      </w:pPr>
      <w:r w:rsidRPr="00044875">
        <w:rPr>
          <w:lang w:val="en-US"/>
        </w:rPr>
        <w:t xml:space="preserve">Table 9 presents these AIPW estimates based on the same saturated policy propensity score </w:t>
      </w:r>
      <w:proofErr w:type="spellStart"/>
      <w:r w:rsidRPr="00044875">
        <w:rPr>
          <w:lang w:val="en-US"/>
        </w:rPr>
        <w:t>probit</w:t>
      </w:r>
      <w:proofErr w:type="spellEnd"/>
      <w:r w:rsidRPr="00044875">
        <w:rPr>
          <w:lang w:val="en-US"/>
        </w:rPr>
        <w:t xml:space="preserve"> model described earlier. These results show that in a boom a fiscal consolidation has on average a small, negative, but imprecisely estimated effect. The first row of the table indicates that the accumulated loss over five years is -1.80 percent of GDP. In a slump, the results are about three times as strong and highly statistically significant: over five years, the accumulated loss is -3.54</w:t>
      </w:r>
      <w:r w:rsidRPr="00044875">
        <w:rPr>
          <w:rFonts w:ascii="Cambria Math" w:hAnsi="Cambria Math" w:cs="Cambria Math"/>
          <w:lang w:val="en-US"/>
        </w:rPr>
        <w:t>∗∗</w:t>
      </w:r>
      <w:r w:rsidRPr="00044875">
        <w:rPr>
          <w:lang w:val="en-US"/>
        </w:rPr>
        <w:t xml:space="preserve"> percent of GDP, as shown in the second row of the table. Scaling these effects for the average treatment size (0.97 percent of GDP) the average loss per 1% fiscal consolidation is 0.37% of GDP per year over the five-year window in booms, and 0.73% of GDP per year in slumps.</w:t>
      </w:r>
    </w:p>
    <w:p w14:paraId="0BC560F2" w14:textId="7CBE49FF" w:rsidR="00044875" w:rsidRDefault="00044875">
      <w:pPr>
        <w:rPr>
          <w:lang w:val="en-US"/>
        </w:rPr>
      </w:pPr>
      <w:r w:rsidRPr="00044875">
        <w:rPr>
          <w:lang w:val="en-US"/>
        </w:rPr>
        <w:t>Summing up our LP results, we always find more adverse paths when austerity is imposed in slumps rather than in booms, but there are sometimes big differences across specifications.</w:t>
      </w:r>
    </w:p>
    <w:p w14:paraId="2B29BC84" w14:textId="7ADD5285" w:rsidR="00AF4101" w:rsidRPr="00AF4101" w:rsidRDefault="00AF4101">
      <w:pPr>
        <w:rPr>
          <w:lang w:val="en-US"/>
        </w:rPr>
      </w:pPr>
      <w:r w:rsidRPr="00AF4101">
        <w:rPr>
          <w:lang w:val="en-US"/>
        </w:rPr>
        <w:t xml:space="preserve">. Given the data, there would be too few observations to obtain robust results (and in some cases, insufficient data to estimate the desired effects). Fortunately, as we have discussed </w:t>
      </w:r>
      <w:r w:rsidRPr="00AF4101">
        <w:rPr>
          <w:lang w:val="en-US"/>
        </w:rPr>
        <w:lastRenderedPageBreak/>
        <w:t>earlier, fiscal consolidations typically average about one percent relative to GDP with a tight range of variation, which greatly facilitates the interpretability of our findings</w:t>
      </w:r>
    </w:p>
    <w:p w14:paraId="17B3B573" w14:textId="374E4B3C" w:rsidR="00AF4101" w:rsidRDefault="00AF4101">
      <w:pPr>
        <w:rPr>
          <w:lang w:val="en-US"/>
        </w:rPr>
      </w:pPr>
      <w:r w:rsidRPr="00AF4101">
        <w:rPr>
          <w:lang w:val="en-US"/>
        </w:rPr>
        <w:t>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w:t>
      </w:r>
    </w:p>
    <w:p w14:paraId="51A91DAE" w14:textId="75D3FD60" w:rsidR="00B443C9" w:rsidRDefault="00B443C9">
      <w:pPr>
        <w:rPr>
          <w:lang w:val="en-US"/>
        </w:rPr>
      </w:pPr>
      <w:r>
        <w:rPr>
          <w:lang w:val="en-US"/>
        </w:rPr>
        <w:t>7. COUNTERFACTUAL</w:t>
      </w:r>
    </w:p>
    <w:p w14:paraId="60AC3A05" w14:textId="77777777" w:rsidR="00B443C9" w:rsidRPr="00AF4101" w:rsidRDefault="00B443C9">
      <w:pPr>
        <w:rPr>
          <w:lang w:val="en-US"/>
        </w:rPr>
      </w:pPr>
    </w:p>
    <w:p w14:paraId="33F84581" w14:textId="61721547" w:rsidR="00AF4101" w:rsidRDefault="00921DEB">
      <w:pPr>
        <w:rPr>
          <w:rFonts w:ascii="LM Roman 10" w:hAnsi="LM Roman 10"/>
          <w:lang w:val="en-US"/>
        </w:rPr>
      </w:pPr>
      <w:r>
        <w:rPr>
          <w:rFonts w:ascii="LM Roman 10" w:hAnsi="LM Roman 10"/>
          <w:lang w:val="en-US"/>
        </w:rPr>
        <w:t>8. CONCLUSIONS</w:t>
      </w:r>
    </w:p>
    <w:p w14:paraId="70A728F8" w14:textId="1ADAB363" w:rsidR="00921DEB" w:rsidRDefault="00921DEB">
      <w:pPr>
        <w:rPr>
          <w:lang w:val="en-US"/>
        </w:rPr>
      </w:pPr>
      <w:r w:rsidRPr="00921DEB">
        <w:rPr>
          <w:lang w:val="en-US"/>
        </w:rPr>
        <w:t>Rather, the main contribution is to harmonize dissonant views into a unified framework where the merits of each approach can be properly evaluated. The effect of fiscal consolidation on macroeconomic outcomes is ultimately an empirical question. In the absence of randomized controlled trials, we have to rely on observational data. And to measure the causal effect of fiscal consolidations on growth, it is critical that identification assumptions be properly evaluated and that empirical methods be suitably adjusted to the demands of the data.</w:t>
      </w:r>
    </w:p>
    <w:p w14:paraId="53209C21" w14:textId="473C5125" w:rsidR="00921DEB" w:rsidRPr="00921DEB" w:rsidRDefault="00921DEB">
      <w:pPr>
        <w:rPr>
          <w:rFonts w:ascii="LM Roman 10" w:hAnsi="LM Roman 10"/>
          <w:lang w:val="en-US"/>
        </w:rPr>
      </w:pPr>
      <w:r w:rsidRPr="00347ECF">
        <w:rPr>
          <w:lang w:val="en-US"/>
        </w:rPr>
        <w:t xml:space="preserve">This result provides some measure of comfort on the potential validity of the instrument. Our analysis suggests even larger austerity impacts than the IMF study when the economy is growing below its long-run trend, however. This is likely a result of correcting attenuation bias due to the omitted predictors of fiscal consolidation and the re-randomization methods that we use. Generally, in the slump, austerity prolongs the pain, much more so than in the boom. </w:t>
      </w:r>
      <w:proofErr w:type="spellStart"/>
      <w:r>
        <w:t>It</w:t>
      </w:r>
      <w:proofErr w:type="spellEnd"/>
      <w:r>
        <w:t xml:space="preserve"> </w:t>
      </w:r>
      <w:proofErr w:type="spellStart"/>
      <w:r>
        <w:t>appears</w:t>
      </w:r>
      <w:proofErr w:type="spellEnd"/>
      <w:r>
        <w:t xml:space="preserve"> </w:t>
      </w:r>
      <w:proofErr w:type="spellStart"/>
      <w:r>
        <w:t>that</w:t>
      </w:r>
      <w:proofErr w:type="spellEnd"/>
      <w:r>
        <w:t xml:space="preserve"> Keynes </w:t>
      </w:r>
      <w:proofErr w:type="spellStart"/>
      <w:r>
        <w:t>was</w:t>
      </w:r>
      <w:proofErr w:type="spellEnd"/>
      <w:r>
        <w:t xml:space="preserve"> </w:t>
      </w:r>
      <w:proofErr w:type="spellStart"/>
      <w:r>
        <w:t>right</w:t>
      </w:r>
      <w:proofErr w:type="spellEnd"/>
      <w:r>
        <w:t xml:space="preserve"> after </w:t>
      </w:r>
      <w:proofErr w:type="spellStart"/>
      <w:r>
        <w:t>all</w:t>
      </w:r>
      <w:proofErr w:type="spellEnd"/>
      <w:r>
        <w:t>.</w:t>
      </w:r>
    </w:p>
    <w:sectPr w:rsidR="00921DEB" w:rsidRPr="00921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2" w:author="dani" w:date="2022-06-12T21:39:00Z" w:initials="d">
    <w:p w14:paraId="30E81485" w14:textId="5F895512" w:rsidR="00EF66E2" w:rsidRDefault="00EF66E2">
      <w:pPr>
        <w:pStyle w:val="CommentText"/>
      </w:pPr>
      <w:r>
        <w:rPr>
          <w:rStyle w:val="CommentReference"/>
        </w:rPr>
        <w:annotationRef/>
      </w:r>
      <w:r>
        <w:t>Columna 6 es del LP para mí</w:t>
      </w:r>
    </w:p>
  </w:comment>
  <w:comment w:id="3" w:author="Dani" w:date="2022-07-09T20:40:00Z" w:initials="D">
    <w:p w14:paraId="3572626D" w14:textId="6A8A03FA" w:rsidR="00096A3C" w:rsidRDefault="00096A3C">
      <w:pPr>
        <w:pStyle w:val="CommentText"/>
      </w:pPr>
      <w:r>
        <w:rPr>
          <w:rStyle w:val="CommentReference"/>
        </w:rPr>
        <w:annotationRef/>
      </w:r>
      <w:proofErr w:type="spellStart"/>
      <w:r>
        <w:t>For</w:t>
      </w:r>
      <w:proofErr w:type="spellEnd"/>
      <w:r>
        <w:t xml:space="preserve"> table 4</w:t>
      </w:r>
    </w:p>
  </w:comment>
  <w:comment w:id="4" w:author="dani" w:date="2022-06-15T16:00:00Z" w:initials="d">
    <w:p w14:paraId="55109C61" w14:textId="77777777" w:rsidR="003019B1" w:rsidRDefault="003019B1">
      <w:pPr>
        <w:pStyle w:val="CommentText"/>
        <w:rPr>
          <w:lang w:val="en-US"/>
        </w:rPr>
      </w:pPr>
      <w:r>
        <w:rPr>
          <w:rStyle w:val="CommentReference"/>
        </w:rPr>
        <w:annotationRef/>
      </w:r>
      <w:r w:rsidRPr="003019B1">
        <w:rPr>
          <w:lang w:val="en-US"/>
        </w:rPr>
        <w:t>It is not forecast</w:t>
      </w:r>
      <w:r>
        <w:rPr>
          <w:lang w:val="en-US"/>
        </w:rPr>
        <w:t>able to me.</w:t>
      </w:r>
    </w:p>
    <w:p w14:paraId="3350AC93" w14:textId="26819A7E" w:rsidR="003019B1" w:rsidRPr="003019B1" w:rsidRDefault="003019B1">
      <w:pPr>
        <w:pStyle w:val="CommentText"/>
        <w:rPr>
          <w:lang w:val="en-US"/>
        </w:rPr>
      </w:pPr>
    </w:p>
  </w:comment>
  <w:comment w:id="5" w:author="dani" w:date="2022-06-15T16:35:00Z" w:initials="d">
    <w:p w14:paraId="0E98AC4E" w14:textId="642A055A" w:rsidR="00D94CFB" w:rsidRDefault="00D94CFB">
      <w:pPr>
        <w:pStyle w:val="CommentText"/>
      </w:pPr>
      <w:r>
        <w:rPr>
          <w:rStyle w:val="CommentReference"/>
        </w:rPr>
        <w:annotationRef/>
      </w:r>
      <w:r>
        <w:t>Supuesto 1</w:t>
      </w:r>
    </w:p>
  </w:comment>
  <w:comment w:id="6" w:author="dani" w:date="2022-06-15T16:35:00Z" w:initials="d">
    <w:p w14:paraId="5873D668" w14:textId="5A7AC351" w:rsidR="007025B2" w:rsidRDefault="007025B2">
      <w:pPr>
        <w:pStyle w:val="CommentText"/>
      </w:pPr>
      <w:r>
        <w:rPr>
          <w:rStyle w:val="CommentReference"/>
        </w:rPr>
        <w:annotationRef/>
      </w:r>
      <w:r>
        <w:t>Supuesto 2</w:t>
      </w:r>
    </w:p>
  </w:comment>
  <w:comment w:id="7" w:author="dani" w:date="2022-06-21T16:14:00Z" w:initials="d">
    <w:p w14:paraId="71832695" w14:textId="10D9D963" w:rsidR="006B32C1" w:rsidRDefault="006B32C1">
      <w:pPr>
        <w:pStyle w:val="CommentText"/>
      </w:pPr>
      <w:r>
        <w:rPr>
          <w:rStyle w:val="CommentReference"/>
        </w:rPr>
        <w:annotationRef/>
      </w:r>
      <w:proofErr w:type="spellStart"/>
      <w:r>
        <w:t>Grafico</w:t>
      </w:r>
      <w:proofErr w:type="spellEnd"/>
      <w:r>
        <w:t xml:space="preserve"> de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30E81485" w15:done="0"/>
  <w15:commentEx w15:paraId="3572626D" w15:done="0"/>
  <w15:commentEx w15:paraId="3350AC93" w15:done="0"/>
  <w15:commentEx w15:paraId="0E98AC4E" w15:done="0"/>
  <w15:commentEx w15:paraId="5873D668" w15:done="0"/>
  <w15:commentEx w15:paraId="7183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50DB8B" w16cex:dateUtc="2022-06-12T19:39:00Z"/>
  <w16cex:commentExtensible w16cex:durableId="26746657" w16cex:dateUtc="2022-07-09T18:40:00Z"/>
  <w16cex:commentExtensible w16cex:durableId="26548094" w16cex:dateUtc="2022-06-15T14:00:00Z"/>
  <w16cex:commentExtensible w16cex:durableId="265488E2" w16cex:dateUtc="2022-06-15T14:35:00Z"/>
  <w16cex:commentExtensible w16cex:durableId="265488BB" w16cex:dateUtc="2022-06-15T14:35:00Z"/>
  <w16cex:commentExtensible w16cex:durableId="265C6CFF" w16cex:dateUtc="2022-06-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30E81485" w16cid:durableId="2650DB8B"/>
  <w16cid:commentId w16cid:paraId="3572626D" w16cid:durableId="26746657"/>
  <w16cid:commentId w16cid:paraId="3350AC93" w16cid:durableId="26548094"/>
  <w16cid:commentId w16cid:paraId="0E98AC4E" w16cid:durableId="265488E2"/>
  <w16cid:commentId w16cid:paraId="5873D668" w16cid:durableId="265488BB"/>
  <w16cid:commentId w16cid:paraId="71832695" w16cid:durableId="265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NKsFAK+CYIktAAAA"/>
  </w:docVars>
  <w:rsids>
    <w:rsidRoot w:val="004B7D72"/>
    <w:rsid w:val="00001D53"/>
    <w:rsid w:val="00044875"/>
    <w:rsid w:val="00096A3C"/>
    <w:rsid w:val="000D54D3"/>
    <w:rsid w:val="000D7536"/>
    <w:rsid w:val="000E1502"/>
    <w:rsid w:val="000F2082"/>
    <w:rsid w:val="000F2F0B"/>
    <w:rsid w:val="00144423"/>
    <w:rsid w:val="00155855"/>
    <w:rsid w:val="001C703C"/>
    <w:rsid w:val="001D40C1"/>
    <w:rsid w:val="001D7F43"/>
    <w:rsid w:val="001F5CED"/>
    <w:rsid w:val="00262EC6"/>
    <w:rsid w:val="002F2E45"/>
    <w:rsid w:val="003019B1"/>
    <w:rsid w:val="00314DAE"/>
    <w:rsid w:val="00335F97"/>
    <w:rsid w:val="00347ECF"/>
    <w:rsid w:val="00382542"/>
    <w:rsid w:val="003E6C37"/>
    <w:rsid w:val="00433C50"/>
    <w:rsid w:val="00457F95"/>
    <w:rsid w:val="00476817"/>
    <w:rsid w:val="00481351"/>
    <w:rsid w:val="004A000F"/>
    <w:rsid w:val="004B7D72"/>
    <w:rsid w:val="004D59EA"/>
    <w:rsid w:val="005309C8"/>
    <w:rsid w:val="00554C43"/>
    <w:rsid w:val="00597925"/>
    <w:rsid w:val="005C6F09"/>
    <w:rsid w:val="005D0AA2"/>
    <w:rsid w:val="005E2878"/>
    <w:rsid w:val="005F269A"/>
    <w:rsid w:val="006855EE"/>
    <w:rsid w:val="006B32C1"/>
    <w:rsid w:val="006C5388"/>
    <w:rsid w:val="006E5778"/>
    <w:rsid w:val="007025B2"/>
    <w:rsid w:val="00785207"/>
    <w:rsid w:val="007A2C5B"/>
    <w:rsid w:val="007E6077"/>
    <w:rsid w:val="007E6120"/>
    <w:rsid w:val="008457E7"/>
    <w:rsid w:val="00850E33"/>
    <w:rsid w:val="0087115D"/>
    <w:rsid w:val="008E1F12"/>
    <w:rsid w:val="00921DEB"/>
    <w:rsid w:val="00972091"/>
    <w:rsid w:val="009943EB"/>
    <w:rsid w:val="009F4092"/>
    <w:rsid w:val="00AC6B0E"/>
    <w:rsid w:val="00AF4101"/>
    <w:rsid w:val="00B26BEA"/>
    <w:rsid w:val="00B338CC"/>
    <w:rsid w:val="00B443C9"/>
    <w:rsid w:val="00B718A5"/>
    <w:rsid w:val="00B933EF"/>
    <w:rsid w:val="00BA3B45"/>
    <w:rsid w:val="00BB09CE"/>
    <w:rsid w:val="00BC68D9"/>
    <w:rsid w:val="00BD5553"/>
    <w:rsid w:val="00CA676D"/>
    <w:rsid w:val="00CD00EE"/>
    <w:rsid w:val="00D335B0"/>
    <w:rsid w:val="00D86FE2"/>
    <w:rsid w:val="00D94CFB"/>
    <w:rsid w:val="00DA6BE5"/>
    <w:rsid w:val="00DC5BB1"/>
    <w:rsid w:val="00DE6F9C"/>
    <w:rsid w:val="00E55F6D"/>
    <w:rsid w:val="00E966E1"/>
    <w:rsid w:val="00EF66E2"/>
    <w:rsid w:val="00F21EF0"/>
    <w:rsid w:val="00F34E70"/>
    <w:rsid w:val="00F363B3"/>
    <w:rsid w:val="00F6495E"/>
    <w:rsid w:val="00F86A70"/>
    <w:rsid w:val="00FC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 w:type="character" w:styleId="Hyperlink">
    <w:name w:val="Hyperlink"/>
    <w:basedOn w:val="DefaultParagraphFont"/>
    <w:uiPriority w:val="99"/>
    <w:unhideWhenUsed/>
    <w:rsid w:val="001F5CED"/>
    <w:rPr>
      <w:color w:val="0563C1" w:themeColor="hyperlink"/>
      <w:u w:val="single"/>
    </w:rPr>
  </w:style>
  <w:style w:type="character" w:styleId="UnresolvedMention">
    <w:name w:val="Unresolved Mention"/>
    <w:basedOn w:val="DefaultParagraphFont"/>
    <w:uiPriority w:val="99"/>
    <w:semiHidden/>
    <w:unhideWhenUsed/>
    <w:rsid w:val="001F5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189219744">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bookdown.org/ccolonescu/RPoE4/RPo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Pages>
  <Words>3839</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51</cp:revision>
  <dcterms:created xsi:type="dcterms:W3CDTF">2022-04-22T14:28:00Z</dcterms:created>
  <dcterms:modified xsi:type="dcterms:W3CDTF">2022-07-09T19:16:00Z</dcterms:modified>
</cp:coreProperties>
</file>