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5843" w14:textId="77777777" w:rsidR="008E1F12" w:rsidRPr="00F86A70" w:rsidRDefault="008E1F12" w:rsidP="008E1F12">
      <w:pPr>
        <w:jc w:val="both"/>
        <w:rPr>
          <w:rFonts w:ascii="LM Roman 10" w:hAnsi="LM Roman 10"/>
          <w:b/>
          <w:bCs/>
          <w:lang w:val="en-US"/>
        </w:rPr>
      </w:pPr>
      <w:r w:rsidRPr="00F86A70">
        <w:rPr>
          <w:rFonts w:ascii="LM Roman 10" w:hAnsi="LM Roman 10"/>
          <w:b/>
          <w:bCs/>
          <w:lang w:val="en-US"/>
        </w:rPr>
        <w:t>Abstract</w:t>
      </w:r>
    </w:p>
    <w:p w14:paraId="62D8F87B" w14:textId="0D958154" w:rsidR="008E1F12" w:rsidRPr="00F86A70" w:rsidRDefault="008E1F12" w:rsidP="008E1F12">
      <w:pPr>
        <w:jc w:val="both"/>
        <w:rPr>
          <w:rFonts w:ascii="LM Roman 10" w:hAnsi="LM Roman 10"/>
          <w:lang w:val="en-US"/>
        </w:rPr>
      </w:pPr>
      <w:r w:rsidRPr="00F86A70">
        <w:rPr>
          <w:rFonts w:ascii="LM Roman 10" w:hAnsi="LM Roman 10"/>
          <w:lang w:val="en-US"/>
        </w:rPr>
        <w:t>We achieve</w:t>
      </w:r>
      <w:r w:rsidR="00DC5BB1" w:rsidRPr="00F86A70">
        <w:rPr>
          <w:rFonts w:ascii="LM Roman 10" w:hAnsi="LM Roman 10"/>
          <w:lang w:val="en-US"/>
        </w:rPr>
        <w:t xml:space="preserve"> </w:t>
      </w:r>
      <w:r w:rsidRPr="00F86A70">
        <w:rPr>
          <w:rFonts w:ascii="LM Roman 10" w:hAnsi="LM Roman 10"/>
          <w:lang w:val="en-US"/>
        </w:rPr>
        <w:t>identification of causal effects with new propensity-score based methods</w:t>
      </w:r>
      <w:r w:rsidR="00F86A70">
        <w:rPr>
          <w:rFonts w:ascii="LM Roman 10" w:hAnsi="LM Roman 10"/>
          <w:lang w:val="en-US"/>
        </w:rPr>
        <w:t>,</w:t>
      </w:r>
      <w:r w:rsidRPr="00F86A70">
        <w:rPr>
          <w:rFonts w:ascii="LM Roman 10" w:hAnsi="LM Roman 10"/>
          <w:lang w:val="en-US"/>
        </w:rPr>
        <w:t xml:space="preserve"> </w:t>
      </w:r>
      <w:r w:rsidR="00F86A70">
        <w:rPr>
          <w:rFonts w:ascii="LM Roman 10" w:hAnsi="LM Roman 10"/>
          <w:lang w:val="en-US"/>
        </w:rPr>
        <w:t>u</w:t>
      </w:r>
      <w:r w:rsidRPr="00F86A70">
        <w:rPr>
          <w:rFonts w:ascii="LM Roman 10" w:hAnsi="LM Roman 10"/>
          <w:lang w:val="en-US"/>
        </w:rPr>
        <w:t>sing</w:t>
      </w:r>
      <w:r w:rsidR="00DC5BB1" w:rsidRPr="00F86A70">
        <w:rPr>
          <w:rFonts w:ascii="LM Roman 10" w:hAnsi="LM Roman 10"/>
          <w:lang w:val="en-US"/>
        </w:rPr>
        <w:t xml:space="preserve"> </w:t>
      </w:r>
      <w:r w:rsidRPr="00F86A70">
        <w:rPr>
          <w:rFonts w:ascii="LM Roman 10" w:hAnsi="LM Roman 10"/>
          <w:lang w:val="en-US"/>
        </w:rPr>
        <w:t xml:space="preserve">this approach, we show that </w:t>
      </w:r>
      <w:r w:rsidR="00F86A70">
        <w:rPr>
          <w:rFonts w:ascii="LM Roman 10" w:hAnsi="LM Roman 10"/>
          <w:lang w:val="en-US"/>
        </w:rPr>
        <w:t>fiscal multipliers have different effects on income inequality</w:t>
      </w:r>
      <w:r w:rsidRPr="00F86A70">
        <w:rPr>
          <w:rFonts w:ascii="LM Roman 10" w:hAnsi="LM Roman 10"/>
          <w:lang w:val="en-US"/>
        </w:rPr>
        <w:t xml:space="preserve">, </w:t>
      </w:r>
      <w:r w:rsidRPr="00262EC6">
        <w:rPr>
          <w:rFonts w:ascii="LM Roman 10" w:hAnsi="LM Roman 10"/>
          <w:highlight w:val="yellow"/>
          <w:lang w:val="en-US"/>
        </w:rPr>
        <w:t>and especially so in depressed</w:t>
      </w:r>
      <w:r w:rsidR="00DC5BB1" w:rsidRPr="00262EC6">
        <w:rPr>
          <w:rFonts w:ascii="LM Roman 10" w:hAnsi="LM Roman 10"/>
          <w:highlight w:val="yellow"/>
          <w:lang w:val="en-US"/>
        </w:rPr>
        <w:t xml:space="preserve"> </w:t>
      </w:r>
      <w:r w:rsidRPr="00262EC6">
        <w:rPr>
          <w:rFonts w:ascii="LM Roman 10" w:hAnsi="LM Roman 10"/>
          <w:highlight w:val="yellow"/>
          <w:lang w:val="en-US"/>
        </w:rPr>
        <w:t>economies: a one percent of GDP fiscal consolidation translates into a loss of 4 percent of real GDP</w:t>
      </w:r>
      <w:r w:rsidR="00DC5BB1" w:rsidRPr="00262EC6">
        <w:rPr>
          <w:rFonts w:ascii="LM Roman 10" w:hAnsi="LM Roman 10"/>
          <w:highlight w:val="yellow"/>
          <w:lang w:val="en-US"/>
        </w:rPr>
        <w:t xml:space="preserve"> </w:t>
      </w:r>
      <w:r w:rsidRPr="00262EC6">
        <w:rPr>
          <w:rFonts w:ascii="LM Roman 10" w:hAnsi="LM Roman 10"/>
          <w:highlight w:val="yellow"/>
          <w:lang w:val="en-US"/>
        </w:rPr>
        <w:t>over five years</w:t>
      </w:r>
      <w:r w:rsidRPr="00F86A70">
        <w:rPr>
          <w:rFonts w:ascii="LM Roman 10" w:hAnsi="LM Roman 10"/>
          <w:lang w:val="en-US"/>
        </w:rPr>
        <w:t xml:space="preserve"> when implemented in a slump, rather than just 1 percent in a boom</w:t>
      </w:r>
      <w:r w:rsidR="00BA3B45" w:rsidRPr="00F86A70">
        <w:rPr>
          <w:rFonts w:ascii="LM Roman 10" w:hAnsi="LM Roman 10"/>
          <w:lang w:val="en-US"/>
        </w:rPr>
        <w:t>.</w:t>
      </w:r>
    </w:p>
    <w:p w14:paraId="206D327C" w14:textId="18367513" w:rsidR="00BA3B45" w:rsidRPr="00F86A70" w:rsidRDefault="00BA3B45" w:rsidP="008E1F12">
      <w:pPr>
        <w:jc w:val="both"/>
        <w:rPr>
          <w:rFonts w:ascii="LM Roman 10" w:hAnsi="LM Roman 10"/>
          <w:lang w:val="en-US"/>
        </w:rPr>
      </w:pPr>
    </w:p>
    <w:p w14:paraId="7C360BF3" w14:textId="1D231FD9" w:rsidR="00BA3B45" w:rsidRPr="00F86A70" w:rsidRDefault="00BA3B45" w:rsidP="008E1F12">
      <w:pPr>
        <w:jc w:val="both"/>
        <w:rPr>
          <w:rFonts w:ascii="LM Roman 10" w:hAnsi="LM Roman 10"/>
          <w:lang w:val="en-US"/>
        </w:rPr>
      </w:pPr>
      <w:r w:rsidRPr="00F86A70">
        <w:rPr>
          <w:rFonts w:ascii="LM Roman 10" w:hAnsi="LM Roman 10"/>
          <w:lang w:val="en-US"/>
        </w:rPr>
        <w:t xml:space="preserve">In this paper we </w:t>
      </w:r>
      <w:r w:rsidR="00262EC6">
        <w:rPr>
          <w:rFonts w:ascii="LM Roman 10" w:hAnsi="LM Roman 10"/>
          <w:lang w:val="en-US"/>
        </w:rPr>
        <w:t>research</w:t>
      </w:r>
      <w:r w:rsidRPr="00F86A70">
        <w:rPr>
          <w:rFonts w:ascii="LM Roman 10" w:hAnsi="LM Roman 10"/>
          <w:lang w:val="en-US"/>
        </w:rPr>
        <w:t xml:space="preserve"> </w:t>
      </w:r>
      <w:r w:rsidR="00262EC6">
        <w:rPr>
          <w:rFonts w:ascii="LM Roman 10" w:hAnsi="LM Roman 10"/>
          <w:lang w:val="en-US"/>
        </w:rPr>
        <w:t xml:space="preserve">also </w:t>
      </w:r>
      <w:r w:rsidRPr="00F86A70">
        <w:rPr>
          <w:rFonts w:ascii="LM Roman 10" w:hAnsi="LM Roman 10"/>
          <w:lang w:val="en-US"/>
        </w:rPr>
        <w:t>re-examine a key issue for macroeconomics</w:t>
      </w:r>
      <w:r w:rsidR="00262EC6">
        <w:rPr>
          <w:rFonts w:ascii="LM Roman 10" w:hAnsi="LM Roman 10"/>
          <w:lang w:val="en-US"/>
        </w:rPr>
        <w:t xml:space="preserve"> and statistical experiments</w:t>
      </w:r>
      <w:r w:rsidRPr="00F86A70">
        <w:rPr>
          <w:rFonts w:ascii="LM Roman 10" w:hAnsi="LM Roman 10"/>
          <w:lang w:val="en-US"/>
        </w:rPr>
        <w:t>, the need to ensure treatments</w:t>
      </w:r>
      <w:r w:rsidR="00262EC6">
        <w:rPr>
          <w:rFonts w:ascii="LM Roman 10" w:hAnsi="LM Roman 10"/>
          <w:lang w:val="en-US"/>
        </w:rPr>
        <w:t xml:space="preserve"> groups</w:t>
      </w:r>
      <w:r w:rsidRPr="00F86A70">
        <w:rPr>
          <w:rFonts w:ascii="LM Roman 10" w:hAnsi="LM Roman 10"/>
          <w:lang w:val="en-US"/>
        </w:rPr>
        <w:t xml:space="preserve"> are somehow re-randomized in non-experimental data. We do this in the context </w:t>
      </w:r>
      <w:r w:rsidR="00262EC6">
        <w:rPr>
          <w:rFonts w:ascii="LM Roman 10" w:hAnsi="LM Roman 10"/>
          <w:lang w:val="en-US"/>
        </w:rPr>
        <w:t xml:space="preserve">of studying </w:t>
      </w:r>
      <w:r w:rsidRPr="00F86A70">
        <w:rPr>
          <w:rFonts w:ascii="LM Roman 10" w:hAnsi="LM Roman 10"/>
          <w:lang w:val="en-US"/>
        </w:rPr>
        <w:t xml:space="preserve">the effects of fiscal policy shocks on </w:t>
      </w:r>
      <w:r w:rsidR="00262EC6">
        <w:rPr>
          <w:rFonts w:ascii="LM Roman 10" w:hAnsi="LM Roman 10"/>
          <w:lang w:val="en-US"/>
        </w:rPr>
        <w:t xml:space="preserve">income inequality </w:t>
      </w:r>
      <w:r w:rsidRPr="00262EC6">
        <w:rPr>
          <w:rFonts w:ascii="LM Roman 10" w:hAnsi="LM Roman 10"/>
          <w:highlight w:val="yellow"/>
          <w:lang w:val="en-US"/>
        </w:rPr>
        <w:t xml:space="preserve">(see, in particular, </w:t>
      </w:r>
      <w:proofErr w:type="spellStart"/>
      <w:r w:rsidRPr="00262EC6">
        <w:rPr>
          <w:rFonts w:ascii="LM Roman 10" w:hAnsi="LM Roman 10"/>
          <w:highlight w:val="yellow"/>
          <w:lang w:val="en-US"/>
        </w:rPr>
        <w:t>Alesina</w:t>
      </w:r>
      <w:proofErr w:type="spellEnd"/>
      <w:r w:rsidRPr="00262EC6">
        <w:rPr>
          <w:rFonts w:ascii="LM Roman 10" w:hAnsi="LM Roman 10"/>
          <w:highlight w:val="yellow"/>
          <w:lang w:val="en-US"/>
        </w:rPr>
        <w:t xml:space="preserve"> and </w:t>
      </w:r>
      <w:proofErr w:type="spellStart"/>
      <w:r w:rsidRPr="00262EC6">
        <w:rPr>
          <w:rFonts w:ascii="LM Roman 10" w:hAnsi="LM Roman 10"/>
          <w:highlight w:val="yellow"/>
          <w:lang w:val="en-US"/>
        </w:rPr>
        <w:t>Ardagna</w:t>
      </w:r>
      <w:proofErr w:type="spellEnd"/>
      <w:r w:rsidRPr="00262EC6">
        <w:rPr>
          <w:rFonts w:ascii="LM Roman 10" w:hAnsi="LM Roman 10"/>
          <w:highlight w:val="yellow"/>
          <w:lang w:val="en-US"/>
        </w:rPr>
        <w:t xml:space="preserve"> 2010; Guajardo, Leigh, and </w:t>
      </w:r>
      <w:proofErr w:type="spellStart"/>
      <w:r w:rsidRPr="00262EC6">
        <w:rPr>
          <w:rFonts w:ascii="LM Roman 10" w:hAnsi="LM Roman 10"/>
          <w:highlight w:val="yellow"/>
          <w:lang w:val="en-US"/>
        </w:rPr>
        <w:t>Pescatori</w:t>
      </w:r>
      <w:proofErr w:type="spellEnd"/>
      <w:r w:rsidRPr="00262EC6">
        <w:rPr>
          <w:rFonts w:ascii="LM Roman 10" w:hAnsi="LM Roman 10"/>
          <w:highlight w:val="yellow"/>
          <w:lang w:val="en-US"/>
        </w:rPr>
        <w:t xml:space="preserve"> 2014).</w:t>
      </w:r>
    </w:p>
    <w:p w14:paraId="0BD0A59E" w14:textId="6D62BA63" w:rsidR="00BA3B45" w:rsidRPr="00F86A70" w:rsidRDefault="00457F95" w:rsidP="008E1F12">
      <w:pPr>
        <w:jc w:val="both"/>
        <w:rPr>
          <w:rFonts w:ascii="LM Roman 10" w:hAnsi="LM Roman 10"/>
          <w:lang w:val="en-US"/>
        </w:rPr>
      </w:pPr>
      <w:r>
        <w:rPr>
          <w:rFonts w:ascii="LM Roman 10" w:hAnsi="LM Roman 10"/>
          <w:lang w:val="en-US"/>
        </w:rPr>
        <w:t>We followed a</w:t>
      </w:r>
      <w:r w:rsidR="00BA3B45" w:rsidRPr="00F86A70">
        <w:rPr>
          <w:rFonts w:ascii="LM Roman 10" w:hAnsi="LM Roman 10"/>
          <w:lang w:val="en-US"/>
        </w:rPr>
        <w:t xml:space="preserve"> promising direction</w:t>
      </w:r>
      <w:r>
        <w:rPr>
          <w:rFonts w:ascii="LM Roman 10" w:hAnsi="LM Roman 10"/>
          <w:lang w:val="en-US"/>
        </w:rPr>
        <w:t>,</w:t>
      </w:r>
      <w:r w:rsidR="00BA3B45" w:rsidRPr="00F86A70">
        <w:rPr>
          <w:rFonts w:ascii="LM Roman 10" w:hAnsi="LM Roman 10"/>
          <w:lang w:val="en-US"/>
        </w:rPr>
        <w:t xml:space="preserve"> based on the Rubin Causal Model. </w:t>
      </w:r>
      <w:r>
        <w:rPr>
          <w:rFonts w:ascii="LM Roman 10" w:hAnsi="LM Roman 10"/>
          <w:lang w:val="en-US"/>
        </w:rPr>
        <w:t xml:space="preserve">Considering semiparametric </w:t>
      </w:r>
      <w:r w:rsidR="00BA3B45" w:rsidRPr="00F86A70">
        <w:rPr>
          <w:rFonts w:ascii="LM Roman 10" w:hAnsi="LM Roman 10"/>
          <w:lang w:val="en-US"/>
        </w:rPr>
        <w:t xml:space="preserve">features </w:t>
      </w:r>
      <w:r>
        <w:rPr>
          <w:rFonts w:ascii="LM Roman 10" w:hAnsi="LM Roman 10"/>
          <w:lang w:val="en-US"/>
        </w:rPr>
        <w:t xml:space="preserve">are </w:t>
      </w:r>
      <w:r w:rsidR="00BA3B45" w:rsidRPr="00F86A70">
        <w:rPr>
          <w:rFonts w:ascii="LM Roman 10" w:hAnsi="LM Roman 10"/>
          <w:lang w:val="en-US"/>
        </w:rPr>
        <w:t xml:space="preserve">flexible with respect to </w:t>
      </w:r>
      <w:r>
        <w:rPr>
          <w:rFonts w:ascii="LM Roman 10" w:hAnsi="LM Roman 10"/>
          <w:lang w:val="en-US"/>
        </w:rPr>
        <w:t>its</w:t>
      </w:r>
      <w:r w:rsidR="00BA3B45" w:rsidRPr="00F86A70">
        <w:rPr>
          <w:rFonts w:ascii="LM Roman 10" w:hAnsi="LM Roman 10"/>
          <w:lang w:val="en-US"/>
        </w:rPr>
        <w:t xml:space="preserve"> functional form, providing better control for observables, and offering a more reliable alternative when the putative instrumental variables for policy action are themselves possibly endogenous. </w:t>
      </w:r>
    </w:p>
    <w:p w14:paraId="325AC095" w14:textId="6FEF5D31" w:rsidR="00BA3B45" w:rsidRPr="00F86A70" w:rsidRDefault="00BA3B45" w:rsidP="008E1F12">
      <w:pPr>
        <w:jc w:val="both"/>
        <w:rPr>
          <w:rFonts w:ascii="LM Roman 10" w:hAnsi="LM Roman 10"/>
          <w:lang w:val="en-US"/>
        </w:rPr>
      </w:pPr>
      <w:r w:rsidRPr="00F86A70">
        <w:rPr>
          <w:rFonts w:ascii="LM Roman 10" w:hAnsi="LM Roman 10"/>
          <w:lang w:val="en-US"/>
        </w:rPr>
        <w:t>We evaluate</w:t>
      </w:r>
      <w:r w:rsidR="005F269A">
        <w:rPr>
          <w:rFonts w:ascii="LM Roman 10" w:hAnsi="LM Roman 10"/>
          <w:lang w:val="en-US"/>
        </w:rPr>
        <w:t xml:space="preserve"> our model</w:t>
      </w:r>
      <w:r w:rsidRPr="00F86A70">
        <w:rPr>
          <w:rFonts w:ascii="LM Roman 10" w:hAnsi="LM Roman 10"/>
          <w:lang w:val="en-US"/>
        </w:rPr>
        <w:t xml:space="preserve"> follow</w:t>
      </w:r>
      <w:r w:rsidR="005F269A">
        <w:rPr>
          <w:rFonts w:ascii="LM Roman 10" w:hAnsi="LM Roman 10"/>
          <w:lang w:val="en-US"/>
        </w:rPr>
        <w:t>ing</w:t>
      </w:r>
      <w:r w:rsidRPr="00F86A70">
        <w:rPr>
          <w:rFonts w:ascii="LM Roman 10" w:hAnsi="LM Roman 10"/>
          <w:lang w:val="en-US"/>
        </w:rPr>
        <w:t xml:space="preserve"> several recent papers in the literature to improve comparability with the </w:t>
      </w:r>
      <w:r w:rsidR="005F269A">
        <w:rPr>
          <w:rFonts w:ascii="LM Roman 10" w:hAnsi="LM Roman 10"/>
          <w:lang w:val="en-US"/>
        </w:rPr>
        <w:t xml:space="preserve">statistical </w:t>
      </w:r>
      <w:r w:rsidRPr="00F86A70">
        <w:rPr>
          <w:rFonts w:ascii="LM Roman 10" w:hAnsi="LM Roman 10"/>
          <w:lang w:val="en-US"/>
        </w:rPr>
        <w:t xml:space="preserve">methods we introduce in this paper. In </w:t>
      </w:r>
      <w:r w:rsidR="000F2082" w:rsidRPr="00F86A70">
        <w:rPr>
          <w:rFonts w:ascii="LM Roman 10" w:hAnsi="LM Roman 10"/>
          <w:lang w:val="en-US"/>
        </w:rPr>
        <w:t>addition,</w:t>
      </w:r>
      <w:r w:rsidRPr="00F86A70">
        <w:rPr>
          <w:rFonts w:ascii="LM Roman 10" w:hAnsi="LM Roman 10"/>
          <w:lang w:val="en-US"/>
        </w:rPr>
        <w:t xml:space="preserve"> th</w:t>
      </w:r>
      <w:r w:rsidR="005F269A">
        <w:rPr>
          <w:rFonts w:ascii="LM Roman 10" w:hAnsi="LM Roman 10"/>
          <w:lang w:val="en-US"/>
        </w:rPr>
        <w:t>is</w:t>
      </w:r>
      <w:r w:rsidRPr="00F86A70">
        <w:rPr>
          <w:rFonts w:ascii="LM Roman 10" w:hAnsi="LM Roman 10"/>
          <w:lang w:val="en-US"/>
        </w:rPr>
        <w:t xml:space="preserve"> framework allows us to address the identification concerns via </w:t>
      </w:r>
      <w:r w:rsidR="00335F97">
        <w:rPr>
          <w:rFonts w:ascii="LM Roman 10" w:hAnsi="LM Roman 10"/>
          <w:lang w:val="en-US"/>
        </w:rPr>
        <w:t>t</w:t>
      </w:r>
      <w:r w:rsidRPr="00F86A70">
        <w:rPr>
          <w:rFonts w:ascii="LM Roman 10" w:hAnsi="LM Roman 10"/>
          <w:lang w:val="en-US"/>
        </w:rPr>
        <w:t>he application of a</w:t>
      </w:r>
      <w:r w:rsidR="00335F97">
        <w:rPr>
          <w:rFonts w:ascii="LM Roman 10" w:hAnsi="LM Roman 10"/>
          <w:lang w:val="en-US"/>
        </w:rPr>
        <w:t xml:space="preserve">n </w:t>
      </w:r>
      <w:r w:rsidRPr="00F86A70">
        <w:rPr>
          <w:rFonts w:ascii="LM Roman 10" w:hAnsi="LM Roman 10"/>
          <w:lang w:val="en-US"/>
        </w:rPr>
        <w:t>augmented inverse</w:t>
      </w:r>
      <w:r w:rsidR="005F269A">
        <w:rPr>
          <w:rFonts w:ascii="LM Roman 10" w:hAnsi="LM Roman 10"/>
          <w:lang w:val="en-US"/>
        </w:rPr>
        <w:t xml:space="preserve"> </w:t>
      </w:r>
      <w:r w:rsidRPr="00F86A70">
        <w:rPr>
          <w:rFonts w:ascii="LM Roman 10" w:hAnsi="LM Roman 10"/>
          <w:lang w:val="en-US"/>
        </w:rPr>
        <w:t xml:space="preserve">propensity-score weighted regression adjustment methods (Robins, </w:t>
      </w:r>
      <w:proofErr w:type="spellStart"/>
      <w:r w:rsidRPr="00F86A70">
        <w:rPr>
          <w:rFonts w:ascii="LM Roman 10" w:hAnsi="LM Roman 10"/>
          <w:lang w:val="en-US"/>
        </w:rPr>
        <w:t>Rotnizky</w:t>
      </w:r>
      <w:proofErr w:type="spellEnd"/>
      <w:r w:rsidRPr="00F86A70">
        <w:rPr>
          <w:rFonts w:ascii="LM Roman 10" w:hAnsi="LM Roman 10"/>
          <w:lang w:val="en-US"/>
        </w:rPr>
        <w:t xml:space="preserve">, and Zhao 1994; Robins 1999; </w:t>
      </w:r>
      <w:proofErr w:type="spellStart"/>
      <w:r w:rsidRPr="00F86A70">
        <w:rPr>
          <w:rFonts w:ascii="LM Roman 10" w:hAnsi="LM Roman 10"/>
          <w:lang w:val="en-US"/>
        </w:rPr>
        <w:t>Scharfstein</w:t>
      </w:r>
      <w:proofErr w:type="spellEnd"/>
      <w:r w:rsidRPr="00F86A70">
        <w:rPr>
          <w:rFonts w:ascii="LM Roman 10" w:hAnsi="LM Roman 10"/>
          <w:lang w:val="en-US"/>
        </w:rPr>
        <w:t xml:space="preserve">, </w:t>
      </w:r>
      <w:proofErr w:type="spellStart"/>
      <w:r w:rsidRPr="00F86A70">
        <w:rPr>
          <w:rFonts w:ascii="LM Roman 10" w:hAnsi="LM Roman 10"/>
          <w:lang w:val="en-US"/>
        </w:rPr>
        <w:t>Rotnitzky</w:t>
      </w:r>
      <w:proofErr w:type="spellEnd"/>
      <w:r w:rsidRPr="00F86A70">
        <w:rPr>
          <w:rFonts w:ascii="LM Roman 10" w:hAnsi="LM Roman 10"/>
          <w:lang w:val="en-US"/>
        </w:rPr>
        <w:t xml:space="preserve">, and Robins 1999; Hirano, </w:t>
      </w:r>
      <w:proofErr w:type="spellStart"/>
      <w:r w:rsidRPr="00F86A70">
        <w:rPr>
          <w:rFonts w:ascii="LM Roman 10" w:hAnsi="LM Roman 10"/>
          <w:lang w:val="en-US"/>
        </w:rPr>
        <w:t>Imbens</w:t>
      </w:r>
      <w:proofErr w:type="spellEnd"/>
      <w:r w:rsidRPr="00F86A70">
        <w:rPr>
          <w:rFonts w:ascii="LM Roman 10" w:hAnsi="LM Roman 10"/>
          <w:lang w:val="en-US"/>
        </w:rPr>
        <w:t xml:space="preserve">, and Ridder 2003; Lunceford and Davidian 2004; </w:t>
      </w:r>
      <w:proofErr w:type="spellStart"/>
      <w:r w:rsidRPr="00F86A70">
        <w:rPr>
          <w:rFonts w:ascii="LM Roman 10" w:hAnsi="LM Roman 10"/>
          <w:lang w:val="en-US"/>
        </w:rPr>
        <w:t>Imbens</w:t>
      </w:r>
      <w:proofErr w:type="spellEnd"/>
      <w:r w:rsidRPr="00F86A70">
        <w:rPr>
          <w:rFonts w:ascii="LM Roman 10" w:hAnsi="LM Roman 10"/>
          <w:lang w:val="en-US"/>
        </w:rPr>
        <w:t xml:space="preserve"> 2004; Glynn and Quinn 2010).</w:t>
      </w:r>
    </w:p>
    <w:p w14:paraId="6EAEFA31" w14:textId="30576D30" w:rsidR="008E1F12" w:rsidRPr="00F86A70" w:rsidRDefault="008E1F12" w:rsidP="008E1F12">
      <w:pPr>
        <w:jc w:val="both"/>
        <w:rPr>
          <w:rFonts w:ascii="LM Roman 10" w:hAnsi="LM Roman 10"/>
          <w:lang w:val="en-US"/>
        </w:rPr>
      </w:pPr>
    </w:p>
    <w:p w14:paraId="2504A4F4" w14:textId="68E8FDBA" w:rsidR="00BA3B45" w:rsidRPr="000F2082" w:rsidRDefault="00382542" w:rsidP="00382542">
      <w:pPr>
        <w:jc w:val="both"/>
        <w:rPr>
          <w:rFonts w:ascii="LM Roman 10" w:hAnsi="LM Roman 10"/>
          <w:b/>
          <w:bCs/>
          <w:i/>
          <w:iCs/>
          <w:lang w:val="en-US"/>
        </w:rPr>
      </w:pPr>
      <w:r w:rsidRPr="000F2082">
        <w:rPr>
          <w:rFonts w:ascii="LM Roman 10" w:hAnsi="LM Roman 10"/>
          <w:b/>
          <w:bCs/>
          <w:i/>
          <w:iCs/>
          <w:lang w:val="en-US"/>
        </w:rPr>
        <w:t>1.</w:t>
      </w:r>
    </w:p>
    <w:p w14:paraId="4D5AB00C" w14:textId="3E150AA3" w:rsidR="00382542" w:rsidRPr="00F86A70" w:rsidRDefault="00382542" w:rsidP="00382542">
      <w:pPr>
        <w:jc w:val="both"/>
        <w:rPr>
          <w:rFonts w:ascii="LM Roman 10" w:hAnsi="LM Roman 10"/>
          <w:lang w:val="en-US"/>
        </w:rPr>
      </w:pPr>
      <w:r w:rsidRPr="00F86A70">
        <w:rPr>
          <w:rFonts w:ascii="LM Roman 10" w:hAnsi="LM Roman 10"/>
          <w:lang w:val="en-US"/>
        </w:rPr>
        <w:t>Second, we use (</w:t>
      </w:r>
      <w:proofErr w:type="spellStart"/>
      <w:r w:rsidRPr="00F86A70">
        <w:rPr>
          <w:rFonts w:ascii="LM Roman 10" w:hAnsi="LM Roman 10"/>
          <w:lang w:val="en-US"/>
        </w:rPr>
        <w:t>Jorda</w:t>
      </w:r>
      <w:proofErr w:type="spellEnd"/>
      <w:r w:rsidRPr="00F86A70">
        <w:rPr>
          <w:rFonts w:ascii="LM Roman 10" w:hAnsi="LM Roman 10"/>
          <w:lang w:val="en-US"/>
        </w:rPr>
        <w:t xml:space="preserve"> 2005) local projections (LPs</w:t>
      </w:r>
      <w:r w:rsidR="000F2082">
        <w:rPr>
          <w:rFonts w:ascii="LM Roman 10" w:hAnsi="LM Roman 10"/>
          <w:lang w:val="en-US"/>
        </w:rPr>
        <w:t xml:space="preserve"> hereafter</w:t>
      </w:r>
      <w:r w:rsidRPr="00F86A70">
        <w:rPr>
          <w:rFonts w:ascii="LM Roman 10" w:hAnsi="LM Roman 10"/>
          <w:lang w:val="en-US"/>
        </w:rPr>
        <w:t xml:space="preserve">), rather than structural vector auto regressions (SVARs). 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 </w:t>
      </w:r>
      <w:r w:rsidRPr="000F2082">
        <w:rPr>
          <w:rFonts w:ascii="LM Roman 10" w:hAnsi="LM Roman 10"/>
          <w:highlight w:val="yellow"/>
          <w:lang w:val="en-US"/>
        </w:rPr>
        <w:t>LPs accommodate possibly nonlinear</w:t>
      </w:r>
      <w:r w:rsidR="000F2082" w:rsidRPr="000F2082">
        <w:rPr>
          <w:rFonts w:ascii="LM Roman 10" w:hAnsi="LM Roman 10"/>
          <w:highlight w:val="yellow"/>
          <w:lang w:val="en-US"/>
        </w:rPr>
        <w:t xml:space="preserve"> </w:t>
      </w:r>
      <w:r w:rsidRPr="000F2082">
        <w:rPr>
          <w:rFonts w:ascii="LM Roman 10" w:hAnsi="LM Roman 10"/>
          <w:highlight w:val="yellow"/>
          <w:lang w:val="en-US"/>
        </w:rPr>
        <w:t xml:space="preserve">responses easily, and indeed we find that the effects of fiscal policy can be very different in the boom and the slump, as emphasized by Keynes in the 1930s. State-dependent multipliers based on LPs have been taken up in some very recent papers (Auerbach and </w:t>
      </w:r>
      <w:proofErr w:type="spellStart"/>
      <w:r w:rsidRPr="000F2082">
        <w:rPr>
          <w:rFonts w:ascii="LM Roman 10" w:hAnsi="LM Roman 10"/>
          <w:highlight w:val="yellow"/>
          <w:lang w:val="en-US"/>
        </w:rPr>
        <w:t>Gorodnichenko</w:t>
      </w:r>
      <w:proofErr w:type="spellEnd"/>
      <w:r w:rsidRPr="000F2082">
        <w:rPr>
          <w:rFonts w:ascii="LM Roman 10" w:hAnsi="LM Roman 10"/>
          <w:highlight w:val="yellow"/>
          <w:lang w:val="en-US"/>
        </w:rPr>
        <w:t xml:space="preserve"> 2012, 2013, for the US and OECD</w:t>
      </w:r>
      <w:r w:rsidRPr="00F86A70">
        <w:rPr>
          <w:rFonts w:ascii="LM Roman 10" w:hAnsi="LM Roman 10"/>
          <w:lang w:val="en-US"/>
        </w:rPr>
        <w:t>.</w:t>
      </w:r>
      <w:r w:rsidR="000F2082">
        <w:rPr>
          <w:rFonts w:ascii="LM Roman 10" w:hAnsi="LM Roman 10"/>
          <w:lang w:val="en-US"/>
        </w:rPr>
        <w:t xml:space="preserve"> </w:t>
      </w:r>
      <w:r w:rsidRPr="00F86A70">
        <w:rPr>
          <w:rFonts w:ascii="LM Roman 10" w:hAnsi="LM Roman 10"/>
          <w:lang w:val="en-US"/>
        </w:rPr>
        <w:t xml:space="preserve">We calculate the impact of fiscal policy shocks based on LPs using </w:t>
      </w:r>
      <w:r w:rsidR="000F2082">
        <w:rPr>
          <w:rFonts w:ascii="LM Roman 10" w:hAnsi="LM Roman 10"/>
          <w:lang w:val="en-US"/>
        </w:rPr>
        <w:t xml:space="preserve">a set of social transfers, </w:t>
      </w:r>
      <w:r w:rsidR="00597925">
        <w:rPr>
          <w:rFonts w:ascii="LM Roman 10" w:hAnsi="LM Roman 10"/>
          <w:lang w:val="en-US"/>
        </w:rPr>
        <w:t xml:space="preserve">government expenditure and taxing. We also </w:t>
      </w:r>
      <w:r w:rsidRPr="00F86A70">
        <w:rPr>
          <w:rFonts w:ascii="LM Roman 10" w:hAnsi="LM Roman 10"/>
          <w:lang w:val="en-US"/>
        </w:rPr>
        <w:t xml:space="preserve">restrict </w:t>
      </w:r>
      <w:r w:rsidR="00597925">
        <w:rPr>
          <w:rFonts w:ascii="LM Roman 10" w:hAnsi="LM Roman 10"/>
          <w:lang w:val="en-US"/>
        </w:rPr>
        <w:t xml:space="preserve">our </w:t>
      </w:r>
      <w:r w:rsidRPr="00F86A70">
        <w:rPr>
          <w:rFonts w:ascii="LM Roman 10" w:hAnsi="LM Roman 10"/>
          <w:lang w:val="en-US"/>
        </w:rPr>
        <w:t xml:space="preserve">attention to “large” shocks </w:t>
      </w:r>
      <w:r w:rsidRPr="00F86A70">
        <w:rPr>
          <w:rFonts w:ascii="LM Roman 10" w:hAnsi="LM Roman 10"/>
          <w:lang w:val="en-US"/>
        </w:rPr>
        <w:lastRenderedPageBreak/>
        <w:t xml:space="preserve">(changes in GDP) </w:t>
      </w:r>
      <w:r w:rsidR="00597925">
        <w:rPr>
          <w:rFonts w:ascii="LM Roman 10" w:hAnsi="LM Roman 10"/>
          <w:lang w:val="en-US"/>
        </w:rPr>
        <w:t xml:space="preserve">to introduce and observe </w:t>
      </w:r>
      <w:r w:rsidRPr="00F86A70">
        <w:rPr>
          <w:rFonts w:ascii="LM Roman 10" w:hAnsi="LM Roman 10"/>
          <w:lang w:val="en-US"/>
        </w:rPr>
        <w:t>the “</w:t>
      </w:r>
      <w:r w:rsidR="00597925">
        <w:rPr>
          <w:rFonts w:ascii="LM Roman 10" w:hAnsi="LM Roman 10"/>
          <w:lang w:val="en-US"/>
        </w:rPr>
        <w:t>booms and bust</w:t>
      </w:r>
      <w:r w:rsidRPr="00F86A70">
        <w:rPr>
          <w:rFonts w:ascii="LM Roman 10" w:hAnsi="LM Roman 10"/>
          <w:lang w:val="en-US"/>
        </w:rPr>
        <w:t xml:space="preserve">” </w:t>
      </w:r>
      <w:r w:rsidRPr="00597925">
        <w:rPr>
          <w:rFonts w:ascii="LM Roman 10" w:hAnsi="LM Roman 10"/>
          <w:highlight w:val="yellow"/>
          <w:lang w:val="en-US"/>
        </w:rPr>
        <w:t>result</w:t>
      </w:r>
      <w:r w:rsidR="00597925" w:rsidRPr="00597925">
        <w:rPr>
          <w:rFonts w:ascii="LM Roman 10" w:hAnsi="LM Roman 10"/>
          <w:highlight w:val="yellow"/>
          <w:lang w:val="en-US"/>
        </w:rPr>
        <w:t>s</w:t>
      </w:r>
      <w:r w:rsidRPr="00597925">
        <w:rPr>
          <w:rFonts w:ascii="LM Roman 10" w:hAnsi="LM Roman 10"/>
          <w:highlight w:val="yellow"/>
          <w:lang w:val="en-US"/>
        </w:rPr>
        <w:t>. However, when we condition on the state of the economy, we find that this result is driven entirely by what happens during a boom. The expansionary effects of fiscal consolidation evaporate when the economy is in a slump.</w:t>
      </w:r>
    </w:p>
    <w:p w14:paraId="446814D4" w14:textId="2DC7AAEF" w:rsidR="006E5778" w:rsidRDefault="006E5778" w:rsidP="00382542">
      <w:pPr>
        <w:jc w:val="both"/>
        <w:rPr>
          <w:rFonts w:ascii="LM Roman 10" w:hAnsi="LM Roman 10"/>
          <w:lang w:val="en-US"/>
        </w:rPr>
      </w:pPr>
      <w:r w:rsidRPr="00F86A70">
        <w:rPr>
          <w:rFonts w:ascii="LM Roman 10" w:hAnsi="LM Roman 10"/>
          <w:lang w:val="en-US"/>
        </w:rPr>
        <w:t xml:space="preserve">Fifth, in order to purge remaining </w:t>
      </w:r>
      <w:r w:rsidR="001D7F43" w:rsidRPr="00F86A70">
        <w:rPr>
          <w:rFonts w:ascii="LM Roman 10" w:hAnsi="LM Roman 10"/>
          <w:lang w:val="en-US"/>
        </w:rPr>
        <w:t>allocation</w:t>
      </w:r>
      <w:r w:rsidRPr="00F86A70">
        <w:rPr>
          <w:rFonts w:ascii="LM Roman 10" w:hAnsi="LM Roman 10"/>
          <w:lang w:val="en-US"/>
        </w:rPr>
        <w:t xml:space="preserve"> bias</w:t>
      </w:r>
      <w:r w:rsidR="001D7F43">
        <w:rPr>
          <w:rFonts w:ascii="LM Roman 10" w:hAnsi="LM Roman 10"/>
          <w:lang w:val="en-US"/>
        </w:rPr>
        <w:t>,</w:t>
      </w:r>
      <w:r w:rsidRPr="00F86A70">
        <w:rPr>
          <w:rFonts w:ascii="LM Roman 10" w:hAnsi="LM Roman 10"/>
          <w:lang w:val="en-US"/>
        </w:rPr>
        <w:t xml:space="preserve"> we use inverse probability weighting (IPW) estimation based on a prediction model of the </w:t>
      </w:r>
      <w:r w:rsidR="006855EE">
        <w:rPr>
          <w:rFonts w:ascii="LM Roman 10" w:hAnsi="LM Roman 10"/>
          <w:lang w:val="en-US"/>
        </w:rPr>
        <w:t xml:space="preserve">GDP shocks </w:t>
      </w:r>
      <w:r w:rsidRPr="00F86A70">
        <w:rPr>
          <w:rFonts w:ascii="LM Roman 10" w:hAnsi="LM Roman 10"/>
          <w:lang w:val="en-US"/>
        </w:rPr>
        <w:t>variable to estimate the LP responses</w:t>
      </w:r>
      <w:r w:rsidR="006855EE">
        <w:rPr>
          <w:rFonts w:ascii="LM Roman 10" w:hAnsi="LM Roman 10"/>
          <w:lang w:val="en-US"/>
        </w:rPr>
        <w:t>,</w:t>
      </w:r>
      <w:r w:rsidRPr="00F86A70">
        <w:rPr>
          <w:rFonts w:ascii="LM Roman 10" w:hAnsi="LM Roman 10"/>
          <w:lang w:val="en-US"/>
        </w:rPr>
        <w:t xml:space="preserve"> </w:t>
      </w:r>
      <w:r w:rsidR="006855EE">
        <w:rPr>
          <w:rFonts w:ascii="LM Roman 10" w:hAnsi="LM Roman 10"/>
          <w:lang w:val="en-US"/>
        </w:rPr>
        <w:t>w</w:t>
      </w:r>
      <w:r w:rsidRPr="00F86A70">
        <w:rPr>
          <w:rFonts w:ascii="LM Roman 10" w:hAnsi="LM Roman 10"/>
          <w:lang w:val="en-US"/>
        </w:rPr>
        <w:t xml:space="preserve">e consider </w:t>
      </w:r>
      <w:r w:rsidR="006855EE" w:rsidRPr="00F86A70">
        <w:rPr>
          <w:rFonts w:ascii="LM Roman 10" w:hAnsi="LM Roman 10"/>
          <w:lang w:val="en-US"/>
        </w:rPr>
        <w:t>the</w:t>
      </w:r>
      <w:r w:rsidR="006855EE">
        <w:rPr>
          <w:rFonts w:ascii="LM Roman 10" w:hAnsi="LM Roman 10"/>
          <w:lang w:val="en-US"/>
        </w:rPr>
        <w:t>se</w:t>
      </w:r>
      <w:r w:rsidR="006855EE" w:rsidRPr="00F86A70">
        <w:rPr>
          <w:rFonts w:ascii="LM Roman 10" w:hAnsi="LM Roman 10"/>
          <w:lang w:val="en-US"/>
        </w:rPr>
        <w:t xml:space="preserve"> policy variables</w:t>
      </w:r>
      <w:r w:rsidRPr="00F86A70">
        <w:rPr>
          <w:rFonts w:ascii="LM Roman 10" w:hAnsi="LM Roman 10"/>
          <w:lang w:val="en-US"/>
        </w:rPr>
        <w:t xml:space="preserve"> as a “fiscal treatment”—i.e., a binary indicator rather than a continuous variable—and we are interested in characterizing a dynamic average treatment effect (ATE). We follow a</w:t>
      </w:r>
      <w:r w:rsidR="006855EE">
        <w:rPr>
          <w:rFonts w:ascii="LM Roman 10" w:hAnsi="LM Roman 10"/>
          <w:lang w:val="en-US"/>
        </w:rPr>
        <w:t>n</w:t>
      </w:r>
      <w:r w:rsidRPr="00F86A70">
        <w:rPr>
          <w:rFonts w:ascii="LM Roman 10" w:hAnsi="LM Roman 10"/>
          <w:lang w:val="en-US"/>
        </w:rPr>
        <w:t xml:space="preserve"> augmented regression-adjusted estimation instead, denoted AIPW, which combines inverse probability weighting with regression control </w:t>
      </w:r>
      <w:r w:rsidR="006855EE">
        <w:rPr>
          <w:rFonts w:ascii="LM Roman 10" w:hAnsi="LM Roman 10"/>
          <w:lang w:val="en-US"/>
        </w:rPr>
        <w:t>a</w:t>
      </w:r>
      <w:r w:rsidRPr="00F86A70">
        <w:rPr>
          <w:rFonts w:ascii="LM Roman 10" w:hAnsi="LM Roman 10"/>
          <w:lang w:val="en-US"/>
        </w:rPr>
        <w:t>djust</w:t>
      </w:r>
      <w:r w:rsidR="006855EE">
        <w:rPr>
          <w:rFonts w:ascii="LM Roman 10" w:hAnsi="LM Roman 10"/>
          <w:lang w:val="en-US"/>
        </w:rPr>
        <w:t>ing</w:t>
      </w:r>
      <w:r w:rsidRPr="00F86A70">
        <w:rPr>
          <w:rFonts w:ascii="LM Roman 10" w:hAnsi="LM Roman 10"/>
          <w:lang w:val="en-US"/>
        </w:rPr>
        <w:t xml:space="preserve"> the estimator to achieve semi-parametric efficiency (see, e.g., Lunceford and Davidian 2004). Our AIPW estimator falls into the broad class of “doubly robust” estimators of which Robins, </w:t>
      </w:r>
      <w:proofErr w:type="spellStart"/>
      <w:r w:rsidRPr="00F86A70">
        <w:rPr>
          <w:rFonts w:ascii="LM Roman 10" w:hAnsi="LM Roman 10"/>
          <w:lang w:val="en-US"/>
        </w:rPr>
        <w:t>Rotnitzky</w:t>
      </w:r>
      <w:proofErr w:type="spellEnd"/>
      <w:r w:rsidRPr="00F86A70">
        <w:rPr>
          <w:rFonts w:ascii="LM Roman 10" w:hAnsi="LM Roman 10"/>
          <w:lang w:val="en-US"/>
        </w:rPr>
        <w:t>, and Zhao (1994). The “doubly robust” property means that consistency of the estimated ATE can be proved in the special cases where either the propensity score model and/or the conditional mean is correctly specified</w:t>
      </w:r>
      <w:r w:rsidR="006855EE">
        <w:rPr>
          <w:rFonts w:ascii="LM Roman 10" w:hAnsi="LM Roman 10"/>
          <w:lang w:val="en-US"/>
        </w:rPr>
        <w:t>.</w:t>
      </w:r>
    </w:p>
    <w:p w14:paraId="5FF54DF1" w14:textId="32C2B7CA" w:rsidR="00E966E1" w:rsidRDefault="00E966E1" w:rsidP="00382542">
      <w:pPr>
        <w:jc w:val="both"/>
        <w:rPr>
          <w:rFonts w:ascii="LM Roman 10" w:hAnsi="LM Roman 10"/>
          <w:lang w:val="en-US"/>
        </w:rPr>
      </w:pPr>
      <w:r>
        <w:rPr>
          <w:rFonts w:ascii="LM Roman 10" w:hAnsi="LM Roman 10"/>
          <w:lang w:val="en-US"/>
        </w:rPr>
        <w:t>2.</w:t>
      </w:r>
    </w:p>
    <w:p w14:paraId="73117E32" w14:textId="06001BFB" w:rsidR="00E966E1" w:rsidRDefault="00E966E1" w:rsidP="00382542">
      <w:pPr>
        <w:jc w:val="both"/>
        <w:rPr>
          <w:rFonts w:ascii="LM Roman 10" w:hAnsi="LM Roman 10"/>
          <w:lang w:val="en-US"/>
        </w:rPr>
      </w:pPr>
      <w:r w:rsidRPr="00E966E1">
        <w:rPr>
          <w:rFonts w:ascii="LM Roman 10" w:hAnsi="LM Roman 10"/>
          <w:noProof/>
          <w:lang w:val="en-US"/>
        </w:rPr>
        <w:drawing>
          <wp:inline distT="0" distB="0" distL="0" distR="0" wp14:anchorId="7822D52A" wp14:editId="6800E939">
            <wp:extent cx="5400040" cy="2754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54630"/>
                    </a:xfrm>
                    <a:prstGeom prst="rect">
                      <a:avLst/>
                    </a:prstGeom>
                  </pic:spPr>
                </pic:pic>
              </a:graphicData>
            </a:graphic>
          </wp:inline>
        </w:drawing>
      </w:r>
    </w:p>
    <w:p w14:paraId="4D3E31B7" w14:textId="4C2F3D55" w:rsidR="00E966E1" w:rsidRPr="00E55F6D" w:rsidRDefault="00E966E1" w:rsidP="00382542">
      <w:pPr>
        <w:jc w:val="both"/>
        <w:rPr>
          <w:lang w:val="en-US"/>
        </w:rPr>
      </w:pPr>
      <w:r w:rsidRPr="00E966E1">
        <w:rPr>
          <w:lang w:val="en-US"/>
        </w:rPr>
        <w:t xml:space="preserve">Our choice of using the HP filter with </w:t>
      </w:r>
      <w:r>
        <w:t>λ</w:t>
      </w:r>
      <w:r w:rsidRPr="00E966E1">
        <w:rPr>
          <w:lang w:val="en-US"/>
        </w:rPr>
        <w:t xml:space="preserve"> = 100 was justified by a series of experiments undertaken with US postwar data (from FRED) which showed that a relatively high smoothing parameter was needed if the proposed proxy series (HP filtered log real GDP) was to come close to matching the official CBO output gap series. We also replicated this type of analysis using a bandpass filter tuned to various frequencies, and the conclusions were very similar. That is to say, we found that the conventional filter frequencies typically used in the business cycle literature are too low to provide a good match with the output gap, which is what we want in our model so as to control for reversion to trend. </w:t>
      </w:r>
      <w:r w:rsidRPr="00E55F6D">
        <w:rPr>
          <w:lang w:val="en-US"/>
        </w:rPr>
        <w:t>These experiments are available from the authors upon request.</w:t>
      </w:r>
    </w:p>
    <w:p w14:paraId="4B50B6CD" w14:textId="1FFF2C23" w:rsidR="00E966E1" w:rsidRPr="00E55F6D" w:rsidRDefault="00E966E1" w:rsidP="00382542">
      <w:pPr>
        <w:jc w:val="both"/>
        <w:rPr>
          <w:lang w:val="en-US"/>
        </w:rPr>
      </w:pPr>
    </w:p>
    <w:p w14:paraId="1B4D04A2" w14:textId="226A1016" w:rsidR="00B718A5" w:rsidRDefault="00B718A5" w:rsidP="00382542">
      <w:pPr>
        <w:jc w:val="both"/>
        <w:rPr>
          <w:lang w:val="en-US"/>
        </w:rPr>
      </w:pPr>
      <w:r w:rsidRPr="00B718A5">
        <w:rPr>
          <w:lang w:val="en-US"/>
        </w:rPr>
        <w:lastRenderedPageBreak/>
        <w:t>Note that this partition is meant to provide a more granular statistical summary of the main features of the data. We are not arguing whether or not a boom or a slump is more likely under a particular choice of fiscal policy or another.</w:t>
      </w:r>
    </w:p>
    <w:p w14:paraId="59F7D563" w14:textId="5220972D" w:rsidR="00001D53" w:rsidRPr="00B718A5" w:rsidRDefault="00001D53" w:rsidP="00382542">
      <w:pPr>
        <w:jc w:val="both"/>
        <w:rPr>
          <w:lang w:val="en-US"/>
        </w:rPr>
      </w:pPr>
      <w:commentRangeStart w:id="0"/>
      <w:r w:rsidRPr="00001D53">
        <w:rPr>
          <w:lang w:val="en-US"/>
        </w:rPr>
        <w:t>The results are reasonable and consistent with the literature, and particularly the GLP replication of the AA-type results. The OLS estimates suggest that fiscal austerity is expansionary, since the only statistically significant coefficients are ones that have a positive sign. However, our stratification of the results by the state of the cycle at time 0 brings out a new insight, and shows that this result is entirely driven by what happens in booms. It is only in the boom that we find a significant positive response of real GDP to fiscal tightening, with a coefficient or “multiplier” (the more general usage of the term, which we follow in the remainder of the paper) of nearly 0.25 in years 1 and 2. Over 5 years the sum of these effects is small, near 0.15. In the slump, the estimate of the policy response is not statistically different from zero and in many cases it is negative.</w:t>
      </w:r>
      <w:commentRangeEnd w:id="0"/>
      <w:r>
        <w:rPr>
          <w:rStyle w:val="CommentReference"/>
        </w:rPr>
        <w:commentReference w:id="0"/>
      </w:r>
    </w:p>
    <w:p w14:paraId="168BA4A9" w14:textId="427F8C5D" w:rsidR="00B718A5" w:rsidRDefault="00B718A5" w:rsidP="00382542">
      <w:pPr>
        <w:jc w:val="both"/>
        <w:rPr>
          <w:rFonts w:ascii="LM Roman 10" w:hAnsi="LM Roman 10"/>
          <w:lang w:val="en-US"/>
        </w:rPr>
      </w:pPr>
    </w:p>
    <w:p w14:paraId="3238A207" w14:textId="72E4A44A" w:rsidR="00001D53" w:rsidRDefault="00E55F6D" w:rsidP="00382542">
      <w:pPr>
        <w:jc w:val="both"/>
        <w:rPr>
          <w:rFonts w:ascii="LM Roman 10" w:hAnsi="LM Roman 10"/>
          <w:lang w:val="en-US"/>
        </w:rPr>
      </w:pPr>
      <w:r>
        <w:rPr>
          <w:rFonts w:ascii="LM Roman 10" w:hAnsi="LM Roman 10"/>
          <w:lang w:val="en-US"/>
        </w:rPr>
        <w:t xml:space="preserve">Table 3 –insert </w:t>
      </w:r>
      <w:proofErr w:type="spellStart"/>
      <w:r>
        <w:rPr>
          <w:rFonts w:ascii="LM Roman 10" w:hAnsi="LM Roman 10"/>
          <w:lang w:val="en-US"/>
        </w:rPr>
        <w:t>gere</w:t>
      </w:r>
      <w:proofErr w:type="spellEnd"/>
      <w:r>
        <w:rPr>
          <w:rFonts w:ascii="LM Roman 10" w:hAnsi="LM Roman 10"/>
          <w:lang w:val="en-US"/>
        </w:rPr>
        <w:t>—</w:t>
      </w:r>
    </w:p>
    <w:p w14:paraId="1F654AC8" w14:textId="0817E390" w:rsidR="00E55F6D" w:rsidRPr="00554C43" w:rsidRDefault="00554C43" w:rsidP="00382542">
      <w:pPr>
        <w:jc w:val="both"/>
        <w:rPr>
          <w:rFonts w:ascii="LM Roman 10" w:hAnsi="LM Roman 10"/>
          <w:lang w:val="en-US"/>
        </w:rPr>
      </w:pPr>
      <w:bookmarkStart w:id="1" w:name="_Hlk108021890"/>
      <w:r w:rsidRPr="00554C43">
        <w:rPr>
          <w:lang w:val="en-US"/>
        </w:rPr>
        <w:t xml:space="preserve">To bring this IMF approach into our framework, and consistent with our OLS replication of the AA results above, we present in Tables 3, and 4 our IV estimates which make use of the IMF narrative variable. We </w:t>
      </w:r>
      <w:proofErr w:type="spellStart"/>
      <w:r w:rsidRPr="00554C43">
        <w:rPr>
          <w:lang w:val="en-US"/>
        </w:rPr>
        <w:t>reestimate</w:t>
      </w:r>
      <w:proofErr w:type="spellEnd"/>
      <w:r w:rsidRPr="00554C43">
        <w:rPr>
          <w:lang w:val="en-US"/>
        </w:rPr>
        <w:t xml:space="preserve"> expression (1) using the IMF dates of fiscal consolidations as both binary and continuous instruments. This approach is parallel to the approach in Mertens and </w:t>
      </w:r>
      <w:proofErr w:type="spellStart"/>
      <w:r w:rsidRPr="00554C43">
        <w:rPr>
          <w:lang w:val="en-US"/>
        </w:rPr>
        <w:t>Ravn</w:t>
      </w:r>
      <w:proofErr w:type="spellEnd"/>
      <w:r w:rsidRPr="00554C43">
        <w:rPr>
          <w:lang w:val="en-US"/>
        </w:rPr>
        <w:t xml:space="preserve"> (2013, 2014) for the US and based on Stock and Watson (2012).</w:t>
      </w:r>
    </w:p>
    <w:p w14:paraId="04AD09BD" w14:textId="077CC017" w:rsidR="000D7536" w:rsidRPr="000D7536" w:rsidRDefault="000D7536" w:rsidP="00382542">
      <w:pPr>
        <w:jc w:val="both"/>
        <w:rPr>
          <w:lang w:val="en-US"/>
        </w:rPr>
      </w:pPr>
      <w:r w:rsidRPr="000D7536">
        <w:rPr>
          <w:lang w:val="en-US"/>
        </w:rPr>
        <w:t xml:space="preserve">If the IMF approach is correct and has found truly exogenous shocks to fiscal policy, then it would be a valid instrument for </w:t>
      </w:r>
      <w:proofErr w:type="spellStart"/>
      <w:proofErr w:type="gramStart"/>
      <w:r w:rsidRPr="000D7536">
        <w:rPr>
          <w:lang w:val="en-US"/>
        </w:rPr>
        <w:t>d.CAPB</w:t>
      </w:r>
      <w:proofErr w:type="spellEnd"/>
      <w:proofErr w:type="gramEnd"/>
      <w:r w:rsidRPr="000D7536">
        <w:rPr>
          <w:lang w:val="en-US"/>
        </w:rPr>
        <w:t xml:space="preserve">. It would also be a potentially strong instrument: the raw correlation between </w:t>
      </w:r>
      <w:proofErr w:type="spellStart"/>
      <w:proofErr w:type="gramStart"/>
      <w:r w:rsidRPr="000D7536">
        <w:rPr>
          <w:lang w:val="en-US"/>
        </w:rPr>
        <w:t>d.CAPB</w:t>
      </w:r>
      <w:proofErr w:type="spellEnd"/>
      <w:proofErr w:type="gramEnd"/>
      <w:r w:rsidRPr="000D7536">
        <w:rPr>
          <w:lang w:val="en-US"/>
        </w:rPr>
        <w:t xml:space="preserve"> (year 1 versus year 0) and Treatment (in year 1) is 0.31, and a bivariate regression has an F-statistic of over 50; the same applies when Treatment is replaced by Total (in year 1).</w:t>
      </w:r>
    </w:p>
    <w:p w14:paraId="57E1E814" w14:textId="3F6F8450" w:rsidR="000D7536" w:rsidRPr="00EF66E2" w:rsidRDefault="00EF66E2" w:rsidP="00382542">
      <w:pPr>
        <w:jc w:val="both"/>
        <w:rPr>
          <w:lang w:val="en-US"/>
        </w:rPr>
      </w:pPr>
      <w:commentRangeStart w:id="2"/>
      <w:r w:rsidRPr="00EF66E2">
        <w:rPr>
          <w:lang w:val="en-US"/>
        </w:rPr>
        <w:t xml:space="preserve">We begin by </w:t>
      </w:r>
      <w:proofErr w:type="spellStart"/>
      <w:r w:rsidRPr="00EF66E2">
        <w:rPr>
          <w:lang w:val="en-US"/>
        </w:rPr>
        <w:t>reestimating</w:t>
      </w:r>
      <w:proofErr w:type="spellEnd"/>
      <w:r w:rsidRPr="00EF66E2">
        <w:rPr>
          <w:lang w:val="en-US"/>
        </w:rPr>
        <w:t xml:space="preserve"> the full sample specification reported in the top panel of Table 1 using instrumental variables in two ways. </w:t>
      </w:r>
      <w:r w:rsidR="008457E7" w:rsidRPr="00EF66E2">
        <w:rPr>
          <w:lang w:val="en-US"/>
        </w:rPr>
        <w:t>First,</w:t>
      </w:r>
      <w:r w:rsidRPr="00EF66E2">
        <w:rPr>
          <w:lang w:val="en-US"/>
        </w:rPr>
        <w:t xml:space="preserve"> we use the IMF narrative variables on dates of fiscal consolidation as a binary instrument (first row). Second, for a continuous IV we use the size of the consolidation identified by the IMF (second row). The results are reported in Table 3. Strikingly, the message here completely overturns the findings in Table 1. This is of course a </w:t>
      </w:r>
      <w:r w:rsidR="008457E7" w:rsidRPr="00EF66E2">
        <w:rPr>
          <w:lang w:val="en-US"/>
        </w:rPr>
        <w:t>well-known</w:t>
      </w:r>
      <w:r w:rsidRPr="00EF66E2">
        <w:rPr>
          <w:lang w:val="en-US"/>
        </w:rPr>
        <w:t xml:space="preserve"> problem, consistent with the pronounced divergence between the AA and GLP 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2"/>
      <w:r>
        <w:rPr>
          <w:rStyle w:val="CommentReference"/>
        </w:rPr>
        <w:commentReference w:id="2"/>
      </w:r>
    </w:p>
    <w:bookmarkEnd w:id="1"/>
    <w:p w14:paraId="61CDD819" w14:textId="3433D59E" w:rsidR="00EF66E2" w:rsidRDefault="00EF66E2" w:rsidP="00382542">
      <w:pPr>
        <w:jc w:val="both"/>
        <w:rPr>
          <w:rFonts w:ascii="LM Roman 10" w:hAnsi="LM Roman 10"/>
          <w:lang w:val="en-US"/>
        </w:rPr>
      </w:pPr>
    </w:p>
    <w:p w14:paraId="4396DF19" w14:textId="4A225514" w:rsidR="008457E7" w:rsidRDefault="008457E7" w:rsidP="00382542">
      <w:pPr>
        <w:jc w:val="both"/>
        <w:rPr>
          <w:lang w:val="en-US"/>
        </w:rPr>
      </w:pPr>
      <w:r w:rsidRPr="008457E7">
        <w:rPr>
          <w:lang w:val="en-US"/>
        </w:rPr>
        <w:t>Before drawing any conclusions, we evaluate whether the IMF narrative variable might be a legitimate instrument. Have we identified the causal effect of fiscal consoli</w:t>
      </w:r>
      <w:r>
        <w:rPr>
          <w:lang w:val="en-US"/>
        </w:rPr>
        <w:t>d</w:t>
      </w:r>
      <w:r w:rsidRPr="008457E7">
        <w:rPr>
          <w:lang w:val="en-US"/>
        </w:rPr>
        <w:t xml:space="preserve">ations on output? We cannot formally test the validity of the IMF narrative instrument since the LPs are just identified. However, if the IMF’s narrative variable can be predicted by excluded controls, and those controls are correlated with the outcome, at a minimum the excluded controls should be added to the regression. At worst, predictability points to having failed to resolve the allocation bias in our estimates—episodes of consolidation identified by the IMF might be simply an </w:t>
      </w:r>
      <w:r w:rsidRPr="008457E7">
        <w:rPr>
          <w:lang w:val="en-US"/>
        </w:rPr>
        <w:lastRenderedPageBreak/>
        <w:t>endogenous response by the fiscal authority. This possible shortcoming of the “narrative identification” strategy has been noted before in the context of monetary policy (Leeper 1997) and we have the same concern here.</w:t>
      </w:r>
    </w:p>
    <w:p w14:paraId="2226B383" w14:textId="5C9EB8CA" w:rsidR="008457E7" w:rsidRDefault="008457E7" w:rsidP="00382542">
      <w:pPr>
        <w:jc w:val="both"/>
      </w:pPr>
      <w:r w:rsidRPr="008457E7">
        <w:rPr>
          <w:highlight w:val="yellow"/>
        </w:rPr>
        <w:t xml:space="preserve">Si me animo Tabla 5 (ks test in R), solo se menciona </w:t>
      </w:r>
      <w:r w:rsidR="007A2C5B">
        <w:rPr>
          <w:highlight w:val="yellow"/>
        </w:rPr>
        <w:t>1</w:t>
      </w:r>
      <w:r w:rsidRPr="008457E7">
        <w:rPr>
          <w:highlight w:val="yellow"/>
        </w:rPr>
        <w:t xml:space="preserve"> ve</w:t>
      </w:r>
      <w:r w:rsidR="007A2C5B">
        <w:rPr>
          <w:highlight w:val="yellow"/>
        </w:rPr>
        <w:t>z</w:t>
      </w:r>
      <w:r w:rsidRPr="008457E7">
        <w:rPr>
          <w:highlight w:val="yellow"/>
        </w:rPr>
        <w:t>.</w:t>
      </w:r>
    </w:p>
    <w:p w14:paraId="502415CB" w14:textId="0E8ACF48" w:rsidR="007A2C5B" w:rsidRDefault="001F5CED" w:rsidP="00382542">
      <w:pPr>
        <w:jc w:val="both"/>
      </w:pPr>
      <w:r>
        <w:t xml:space="preserve">Tabla 6: </w:t>
      </w:r>
      <w:hyperlink r:id="rId10" w:history="1">
        <w:r w:rsidRPr="002E0E53">
          <w:rPr>
            <w:rStyle w:val="Hyperlink"/>
          </w:rPr>
          <w:t>https://bookdown.org/ccolonescu/RPoE4/RPoE.pdf</w:t>
        </w:r>
      </w:hyperlink>
      <w:r>
        <w:t xml:space="preserve">  (pg. 75)</w:t>
      </w:r>
    </w:p>
    <w:p w14:paraId="7E3EAE28" w14:textId="0713955B" w:rsidR="00433C50" w:rsidRPr="003019B1" w:rsidRDefault="00433C50" w:rsidP="00382542">
      <w:pPr>
        <w:jc w:val="both"/>
        <w:rPr>
          <w:lang w:val="en-US"/>
        </w:rPr>
      </w:pPr>
      <w:proofErr w:type="spellStart"/>
      <w:r w:rsidRPr="003019B1">
        <w:rPr>
          <w:lang w:val="en-US"/>
        </w:rPr>
        <w:t>Tabla</w:t>
      </w:r>
      <w:proofErr w:type="spellEnd"/>
      <w:r w:rsidRPr="003019B1">
        <w:rPr>
          <w:lang w:val="en-US"/>
        </w:rPr>
        <w:t xml:space="preserve"> 7, </w:t>
      </w:r>
      <w:proofErr w:type="spellStart"/>
      <w:r w:rsidRPr="003019B1">
        <w:rPr>
          <w:lang w:val="en-US"/>
        </w:rPr>
        <w:t>Hacer</w:t>
      </w:r>
      <w:proofErr w:type="spellEnd"/>
    </w:p>
    <w:p w14:paraId="48703FC6" w14:textId="78A57833" w:rsidR="00433C50" w:rsidRDefault="003019B1" w:rsidP="00382542">
      <w:pPr>
        <w:jc w:val="both"/>
        <w:rPr>
          <w:lang w:val="en-US"/>
        </w:rPr>
      </w:pPr>
      <w:commentRangeStart w:id="3"/>
      <w:proofErr w:type="gramStart"/>
      <w:r w:rsidRPr="003019B1">
        <w:rPr>
          <w:lang w:val="en-US"/>
        </w:rPr>
        <w:t>Next</w:t>
      </w:r>
      <w:proofErr w:type="gramEnd"/>
      <w:r w:rsidRPr="003019B1">
        <w:rPr>
          <w:lang w:val="en-US"/>
        </w:rPr>
        <w:t xml:space="preserve"> we check for another condition: Do excluded controls predict fiscal consolidations? Table 7 asks whether variation in the IMF binary treatment variable identified by GLP can be predicted. The results indicate that we have a reasonable basis for this concern.</w:t>
      </w:r>
      <w:commentRangeEnd w:id="3"/>
      <w:r w:rsidR="00096A3C">
        <w:rPr>
          <w:rStyle w:val="CommentReference"/>
        </w:rPr>
        <w:commentReference w:id="3"/>
      </w:r>
    </w:p>
    <w:p w14:paraId="09526D7E" w14:textId="006332EE" w:rsidR="003019B1" w:rsidRPr="003019B1" w:rsidRDefault="003019B1" w:rsidP="00382542">
      <w:pPr>
        <w:jc w:val="both"/>
        <w:rPr>
          <w:lang w:val="en-US"/>
        </w:rPr>
      </w:pPr>
      <w:r w:rsidRPr="003019B1">
        <w:rPr>
          <w:lang w:val="en-US"/>
        </w:rPr>
        <w:t>Table 7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p>
    <w:p w14:paraId="6A574F86" w14:textId="596F13BD" w:rsidR="003019B1" w:rsidRDefault="003019B1" w:rsidP="00382542">
      <w:pPr>
        <w:jc w:val="both"/>
        <w:rPr>
          <w:lang w:val="en-US"/>
        </w:rPr>
      </w:pPr>
      <w:r w:rsidRPr="003019B1">
        <w:rPr>
          <w:lang w:val="en-US"/>
        </w:rPr>
        <w:t>Thus, the act of engaging in pro-cyclical fiscal policy is not a new</w:t>
      </w:r>
      <w:r>
        <w:rPr>
          <w:lang w:val="en-US"/>
        </w:rPr>
        <w:t>-</w:t>
      </w:r>
      <w:r w:rsidRPr="003019B1">
        <w:rPr>
          <w:lang w:val="en-US"/>
        </w:rPr>
        <w:t>fangled craze but more of a chronic tendency in advanced countries. 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2393DAA1" w14:textId="7F012F04" w:rsidR="003019B1" w:rsidRPr="000D54D3" w:rsidRDefault="003019B1" w:rsidP="00382542">
      <w:pPr>
        <w:jc w:val="both"/>
        <w:rPr>
          <w:lang w:val="en-US"/>
        </w:rPr>
      </w:pPr>
      <w:r w:rsidRPr="003019B1">
        <w:rPr>
          <w:lang w:val="en-US"/>
        </w:rPr>
        <w:t xml:space="preserve">Further confirmation of the predictive ability of these treatment regressions is provided by the AUC statistic.7 The AUC is commonly used in biostatistics and machine learning to evaluate classification ability (see, </w:t>
      </w:r>
      <w:proofErr w:type="gramStart"/>
      <w:r w:rsidRPr="003019B1">
        <w:rPr>
          <w:lang w:val="en-US"/>
        </w:rPr>
        <w:t>e.g.</w:t>
      </w:r>
      <w:proofErr w:type="gramEnd"/>
      <w:r w:rsidRPr="003019B1">
        <w:rPr>
          <w:lang w:val="en-US"/>
        </w:rPr>
        <w:t xml:space="preserve"> </w:t>
      </w:r>
      <w:proofErr w:type="spellStart"/>
      <w:r w:rsidRPr="003019B1">
        <w:rPr>
          <w:lang w:val="en-US"/>
        </w:rPr>
        <w:t>Jorda</w:t>
      </w:r>
      <w:proofErr w:type="spellEnd"/>
      <w:r w:rsidRPr="003019B1">
        <w:rPr>
          <w:lang w:val="en-US"/>
        </w:rPr>
        <w:t xml:space="preserve"> and Taylor ` 2011). Under the null that the covariates have no classification ability, AUC = 0.5. Perfect classification ability corresponds to AUC = 1. The AUC has an approximate Gaussian distribution in large samples. Table 7 measures the classification ability of each specification. The AUC statistics show that the </w:t>
      </w:r>
      <w:proofErr w:type="spellStart"/>
      <w:r w:rsidRPr="003019B1">
        <w:rPr>
          <w:lang w:val="en-US"/>
        </w:rPr>
        <w:t>probits</w:t>
      </w:r>
      <w:proofErr w:type="spellEnd"/>
      <w:r w:rsidRPr="003019B1">
        <w:rPr>
          <w:lang w:val="en-US"/>
        </w:rPr>
        <w:t xml:space="preserve"> have very good predictive ability, with AUC around 0.65 when lagged treatment is omitted (Column 2), and over 0.8 when lagged treatment is included (Columns 3 and 4). </w:t>
      </w:r>
      <w:r w:rsidRPr="000D54D3">
        <w:rPr>
          <w:lang w:val="en-US"/>
        </w:rPr>
        <w:t>The AUCs are all significantly different from 0.5.</w:t>
      </w:r>
    </w:p>
    <w:p w14:paraId="6B75A9A8" w14:textId="794C0F73" w:rsidR="003019B1" w:rsidRPr="000D54D3" w:rsidRDefault="003019B1" w:rsidP="00382542">
      <w:pPr>
        <w:jc w:val="both"/>
        <w:rPr>
          <w:lang w:val="en-US"/>
        </w:rPr>
      </w:pPr>
      <w:commentRangeStart w:id="4"/>
      <w:r w:rsidRPr="003019B1">
        <w:rPr>
          <w:lang w:val="en-US"/>
        </w:rPr>
        <w:t xml:space="preserve">The key lesson from Table 7 is simply that the IMF variable has a significant forecastable component.8 The question, then, is how to deal with the problem of potentially endogenous instruments. </w:t>
      </w:r>
      <w:r w:rsidRPr="000D54D3">
        <w:rPr>
          <w:lang w:val="en-US"/>
        </w:rPr>
        <w:t>The remainder of this paper provides one answer.</w:t>
      </w:r>
      <w:commentRangeEnd w:id="4"/>
      <w:r>
        <w:rPr>
          <w:rStyle w:val="CommentReference"/>
        </w:rPr>
        <w:commentReference w:id="4"/>
      </w:r>
    </w:p>
    <w:p w14:paraId="75F9A34A" w14:textId="77777777" w:rsidR="003019B1" w:rsidRPr="003019B1" w:rsidRDefault="003019B1" w:rsidP="00382542">
      <w:pPr>
        <w:jc w:val="both"/>
        <w:rPr>
          <w:lang w:val="en-US"/>
        </w:rPr>
      </w:pPr>
    </w:p>
    <w:p w14:paraId="3855BCC5" w14:textId="3672C5CB" w:rsidR="001C703C" w:rsidRDefault="003019B1">
      <w:pPr>
        <w:rPr>
          <w:rFonts w:ascii="LM Roman 10" w:hAnsi="LM Roman 10"/>
          <w:b/>
          <w:bCs/>
          <w:lang w:val="en-US"/>
        </w:rPr>
      </w:pPr>
      <w:r>
        <w:rPr>
          <w:rFonts w:ascii="LM Roman 10" w:hAnsi="LM Roman 10"/>
          <w:b/>
          <w:bCs/>
          <w:lang w:val="en-US"/>
        </w:rPr>
        <w:t>St</w:t>
      </w:r>
      <w:r w:rsidR="001C703C" w:rsidRPr="00F86A70">
        <w:rPr>
          <w:rFonts w:ascii="LM Roman 10" w:hAnsi="LM Roman 10"/>
          <w:b/>
          <w:bCs/>
          <w:lang w:val="en-US"/>
        </w:rPr>
        <w:t>atistical design</w:t>
      </w:r>
    </w:p>
    <w:p w14:paraId="5A35EF09" w14:textId="77729399" w:rsidR="00DA6BE5" w:rsidRPr="00F86A70" w:rsidRDefault="003019B1" w:rsidP="003019B1">
      <w:pPr>
        <w:rPr>
          <w:rFonts w:ascii="LM Roman 10" w:hAnsi="LM Roman 10"/>
          <w:lang w:val="en-US"/>
        </w:rPr>
      </w:pPr>
      <w:r w:rsidRPr="003019B1">
        <w:rPr>
          <w:lang w:val="en-U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w:t>
      </w:r>
      <w:r w:rsidRPr="003019B1">
        <w:rPr>
          <w:lang w:val="en-US"/>
        </w:rPr>
        <w:lastRenderedPageBreak/>
        <w:t xml:space="preserve">the LP of expression 1. Third, we use inverse propensity score weighting on this LP to re-randomize allocation of the IMF fiscal consolidation events. </w:t>
      </w:r>
    </w:p>
    <w:p w14:paraId="6A655C36" w14:textId="2DE5AAAF" w:rsidR="00BB09CE" w:rsidRDefault="001C703C">
      <w:pPr>
        <w:rPr>
          <w:rFonts w:ascii="LM Roman 10" w:hAnsi="LM Roman 10"/>
          <w:lang w:val="en-US"/>
        </w:rPr>
      </w:pPr>
      <w:r w:rsidRPr="00F86A70">
        <w:rPr>
          <w:rFonts w:ascii="LM Roman 10" w:hAnsi="LM Roman 10"/>
          <w:lang w:val="en-US"/>
        </w:rPr>
        <w:t xml:space="preserve">In order to facilitate the </w:t>
      </w:r>
      <w:r w:rsidR="00AC6B0E" w:rsidRPr="00F86A70">
        <w:rPr>
          <w:rFonts w:ascii="LM Roman 10" w:hAnsi="LM Roman 10"/>
          <w:lang w:val="en-US"/>
        </w:rPr>
        <w:t>exposition,</w:t>
      </w:r>
      <w:r w:rsidRPr="00F86A70">
        <w:rPr>
          <w:rFonts w:ascii="LM Roman 10" w:hAnsi="LM Roman 10"/>
          <w:lang w:val="en-US"/>
        </w:rPr>
        <w:t xml:space="preserve"> we momentarily drop the cross-sectional country index in the panel. Denote, as before, </w:t>
      </w:r>
      <w:proofErr w:type="spellStart"/>
      <w:r w:rsidRPr="00F86A70">
        <w:rPr>
          <w:rFonts w:ascii="LM Roman 10" w:hAnsi="LM Roman 10"/>
          <w:lang w:val="en-US"/>
        </w:rPr>
        <w:t>yt</w:t>
      </w:r>
      <w:proofErr w:type="spellEnd"/>
      <w:r w:rsidRPr="00F86A70">
        <w:rPr>
          <w:rFonts w:ascii="LM Roman 10" w:hAnsi="LM Roman 10"/>
          <w:lang w:val="en-US"/>
        </w:rPr>
        <w:t xml:space="preserve"> the outcome variable of interest, the log of real GDP. In other applications </w:t>
      </w:r>
      <w:proofErr w:type="spellStart"/>
      <w:r w:rsidRPr="00F86A70">
        <w:rPr>
          <w:rFonts w:ascii="LM Roman 10" w:hAnsi="LM Roman 10"/>
          <w:lang w:val="en-US"/>
        </w:rPr>
        <w:t>yt</w:t>
      </w:r>
      <w:proofErr w:type="spellEnd"/>
      <w:r w:rsidRPr="00F86A70">
        <w:rPr>
          <w:rFonts w:ascii="LM Roman 10" w:hAnsi="LM Roman 10"/>
          <w:lang w:val="en-US"/>
        </w:rPr>
        <w:t xml:space="preserve"> could be a </w:t>
      </w:r>
      <w:proofErr w:type="spellStart"/>
      <w:r w:rsidRPr="00F86A70">
        <w:rPr>
          <w:rFonts w:ascii="LM Roman 10" w:hAnsi="LM Roman 10"/>
          <w:lang w:val="en-US"/>
        </w:rPr>
        <w:t>ky</w:t>
      </w:r>
      <w:proofErr w:type="spellEnd"/>
      <w:r w:rsidRPr="00F86A70">
        <w:rPr>
          <w:rFonts w:ascii="LM Roman 10" w:hAnsi="LM Roman 10"/>
          <w:lang w:val="en-US"/>
        </w:rPr>
        <w:t xml:space="preserve">-dimensional vector. Let Dt denote the fiscal policy variable. Dt will now be a discrete random variable Dt </w:t>
      </w:r>
      <w:r w:rsidRPr="00F86A70">
        <w:rPr>
          <w:rFonts w:ascii="Cambria Math" w:hAnsi="Cambria Math" w:cs="Cambria Math"/>
          <w:lang w:val="en-US"/>
        </w:rPr>
        <w:t>∈</w:t>
      </w:r>
      <w:r w:rsidRPr="00F86A70">
        <w:rPr>
          <w:rFonts w:ascii="LM Roman 10" w:hAnsi="LM Roman 10"/>
          <w:lang w:val="en-US"/>
        </w:rPr>
        <w:t xml:space="preserve"> {0, 1} based on the IMF narrative indicator of exogenous fiscal consolidations, although earlier it was the continuous </w:t>
      </w:r>
      <w:proofErr w:type="spellStart"/>
      <w:proofErr w:type="gramStart"/>
      <w:r w:rsidRPr="00F86A70">
        <w:rPr>
          <w:rFonts w:ascii="LM Roman 10" w:hAnsi="LM Roman 10"/>
          <w:lang w:val="en-US"/>
        </w:rPr>
        <w:t>d.CAPB</w:t>
      </w:r>
      <w:proofErr w:type="spellEnd"/>
      <w:proofErr w:type="gramEnd"/>
      <w:r w:rsidRPr="00F86A70">
        <w:rPr>
          <w:rFonts w:ascii="LM Roman 10" w:hAnsi="LM Roman 10"/>
          <w:lang w:val="en-US"/>
        </w:rPr>
        <w:t xml:space="preserve"> variable.</w:t>
      </w:r>
    </w:p>
    <w:p w14:paraId="5ED1B4D1" w14:textId="77DC06A1" w:rsidR="00AC6B0E" w:rsidRDefault="00AC6B0E">
      <w:pPr>
        <w:rPr>
          <w:lang w:val="en-US"/>
        </w:rPr>
      </w:pPr>
      <w:r w:rsidRPr="00AC6B0E">
        <w:rPr>
          <w:lang w:val="en-US"/>
        </w:rPr>
        <w:t xml:space="preserve">The methods that we present next can be extended to settings in which the policy variable takes on a small number of discrete values. Next we allow for a kw-dimensional vector of variables, </w:t>
      </w:r>
      <w:proofErr w:type="spellStart"/>
      <w:r w:rsidRPr="00AC6B0E">
        <w:rPr>
          <w:lang w:val="en-US"/>
        </w:rPr>
        <w:t>wt</w:t>
      </w:r>
      <w:proofErr w:type="spellEnd"/>
      <w:r w:rsidRPr="00AC6B0E">
        <w:rPr>
          <w:lang w:val="en-US"/>
        </w:rPr>
        <w:t xml:space="preserve"> that are not included in the vector </w:t>
      </w:r>
      <w:proofErr w:type="spellStart"/>
      <w:proofErr w:type="gramStart"/>
      <w:r w:rsidRPr="00AC6B0E">
        <w:rPr>
          <w:lang w:val="en-US"/>
        </w:rPr>
        <w:t>yt</w:t>
      </w:r>
      <w:proofErr w:type="spellEnd"/>
      <w:r w:rsidRPr="00AC6B0E">
        <w:rPr>
          <w:lang w:val="en-US"/>
        </w:rPr>
        <w:t xml:space="preserve"> ,</w:t>
      </w:r>
      <w:proofErr w:type="gramEnd"/>
      <w:r w:rsidRPr="00AC6B0E">
        <w:rPr>
          <w:lang w:val="en-US"/>
        </w:rPr>
        <w:t xml:space="preserve"> but which could be relevant predictors of the policy variable Dt . Finally, denote </w:t>
      </w:r>
      <w:proofErr w:type="spellStart"/>
      <w:r w:rsidRPr="00AC6B0E">
        <w:rPr>
          <w:lang w:val="en-US"/>
        </w:rPr>
        <w:t>Xt</w:t>
      </w:r>
      <w:proofErr w:type="spellEnd"/>
      <w:r w:rsidRPr="00AC6B0E">
        <w:rPr>
          <w:lang w:val="en-US"/>
        </w:rPr>
        <w:t xml:space="preserve"> the rich conditioning set given by ∆yt−1, ∆yt−2, ...; Dt−1</w:t>
      </w:r>
      <w:proofErr w:type="gramStart"/>
      <w:r w:rsidRPr="00AC6B0E">
        <w:rPr>
          <w:lang w:val="en-US"/>
        </w:rPr>
        <w:t>, .Dt</w:t>
      </w:r>
      <w:proofErr w:type="gramEnd"/>
      <w:r w:rsidRPr="00AC6B0E">
        <w:rPr>
          <w:lang w:val="en-US"/>
        </w:rPr>
        <w:t>−2, ...; and wt</w:t>
      </w:r>
      <w:r>
        <w:rPr>
          <w:lang w:val="en-US"/>
        </w:rPr>
        <w:t>.</w:t>
      </w:r>
    </w:p>
    <w:p w14:paraId="4EF733A4" w14:textId="5F060CCA" w:rsidR="00AC6B0E" w:rsidRPr="00AC6B0E" w:rsidRDefault="00AC6B0E">
      <w:pPr>
        <w:rPr>
          <w:lang w:val="en-US"/>
        </w:rPr>
      </w:pPr>
      <w:commentRangeStart w:id="5"/>
      <w:r w:rsidRPr="00AC6B0E">
        <w:rPr>
          <w:lang w:val="en-US"/>
        </w:rPr>
        <w:t>The causal effect of a policy intervention is defined as the unobservable random variable given by the difference (</w:t>
      </w:r>
      <w:proofErr w:type="spellStart"/>
      <w:proofErr w:type="gramStart"/>
      <w:r w:rsidRPr="00AC6B0E">
        <w:rPr>
          <w:lang w:val="en-US"/>
        </w:rPr>
        <w:t>yt,h</w:t>
      </w:r>
      <w:proofErr w:type="spellEnd"/>
      <w:proofErr w:type="gramEnd"/>
      <w:r w:rsidRPr="00AC6B0E">
        <w:rPr>
          <w:lang w:val="en-US"/>
        </w:rPr>
        <w:t xml:space="preserve"> (1) − </w:t>
      </w:r>
      <w:proofErr w:type="spellStart"/>
      <w:r w:rsidRPr="00AC6B0E">
        <w:rPr>
          <w:lang w:val="en-US"/>
        </w:rPr>
        <w:t>yt</w:t>
      </w:r>
      <w:proofErr w:type="spellEnd"/>
      <w:r w:rsidRPr="00AC6B0E">
        <w:rPr>
          <w:lang w:val="en-US"/>
        </w:rPr>
        <w:t>) − (</w:t>
      </w:r>
      <w:proofErr w:type="spellStart"/>
      <w:r w:rsidRPr="00AC6B0E">
        <w:rPr>
          <w:lang w:val="en-US"/>
        </w:rPr>
        <w:t>yt,h</w:t>
      </w:r>
      <w:proofErr w:type="spellEnd"/>
      <w:r w:rsidRPr="00AC6B0E">
        <w:rPr>
          <w:lang w:val="en-US"/>
        </w:rPr>
        <w:t xml:space="preserve"> (0) − </w:t>
      </w:r>
      <w:proofErr w:type="spellStart"/>
      <w:r w:rsidRPr="00AC6B0E">
        <w:rPr>
          <w:lang w:val="en-US"/>
        </w:rPr>
        <w:t>yt</w:t>
      </w:r>
      <w:proofErr w:type="spellEnd"/>
      <w:r w:rsidRPr="00AC6B0E">
        <w:rPr>
          <w:lang w:val="en-US"/>
        </w:rPr>
        <w:t xml:space="preserve">). Notice that </w:t>
      </w:r>
      <w:proofErr w:type="spellStart"/>
      <w:r w:rsidRPr="00AC6B0E">
        <w:rPr>
          <w:lang w:val="en-US"/>
        </w:rPr>
        <w:t>yt</w:t>
      </w:r>
      <w:proofErr w:type="spellEnd"/>
      <w:r w:rsidRPr="00AC6B0E">
        <w:rPr>
          <w:lang w:val="en-US"/>
        </w:rPr>
        <w:t xml:space="preserve"> is only used to benchmark the cumulative change and it is observed at time t. We assume that the parameters of the policy function do not change.</w:t>
      </w:r>
      <w:commentRangeEnd w:id="5"/>
      <w:r w:rsidR="00D94CFB">
        <w:rPr>
          <w:rStyle w:val="CommentReference"/>
        </w:rPr>
        <w:commentReference w:id="5"/>
      </w:r>
    </w:p>
    <w:p w14:paraId="0515ED37" w14:textId="77777777" w:rsidR="002F2E45" w:rsidRDefault="002F2E45">
      <w:pPr>
        <w:rPr>
          <w:rFonts w:ascii="LM Roman 10" w:hAnsi="LM Roman 10"/>
          <w:lang w:val="en-US"/>
        </w:rPr>
      </w:pPr>
    </w:p>
    <w:p w14:paraId="786EA0AF" w14:textId="0414F6B2" w:rsidR="00F21EF0" w:rsidRPr="00F86A70" w:rsidRDefault="002F2E45">
      <w:pPr>
        <w:rPr>
          <w:rFonts w:ascii="LM Roman 10" w:hAnsi="LM Roman 10"/>
          <w:lang w:val="en-US"/>
        </w:rPr>
      </w:pPr>
      <w:r w:rsidRPr="002F2E45">
        <w:rPr>
          <w:rFonts w:ascii="LM Roman 10" w:hAnsi="LM Roman 10"/>
          <w:noProof/>
          <w:lang w:val="en-US"/>
        </w:rPr>
        <w:drawing>
          <wp:inline distT="0" distB="0" distL="0" distR="0" wp14:anchorId="4FCA00F4" wp14:editId="2E01548A">
            <wp:extent cx="540004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57275"/>
                    </a:xfrm>
                    <a:prstGeom prst="rect">
                      <a:avLst/>
                    </a:prstGeom>
                  </pic:spPr>
                </pic:pic>
              </a:graphicData>
            </a:graphic>
          </wp:inline>
        </w:drawing>
      </w:r>
    </w:p>
    <w:p w14:paraId="70472C16" w14:textId="658943A8"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ED240E4" wp14:editId="73A6EAC4">
            <wp:extent cx="5400040" cy="490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90855"/>
                    </a:xfrm>
                    <a:prstGeom prst="rect">
                      <a:avLst/>
                    </a:prstGeom>
                  </pic:spPr>
                </pic:pic>
              </a:graphicData>
            </a:graphic>
          </wp:inline>
        </w:drawing>
      </w:r>
    </w:p>
    <w:p w14:paraId="5DF577F2" w14:textId="3E90F5E2" w:rsidR="007E6120" w:rsidRPr="00F86A70" w:rsidRDefault="007E6120">
      <w:pPr>
        <w:rPr>
          <w:rFonts w:ascii="LM Roman 10" w:hAnsi="LM Roman 10"/>
          <w:lang w:val="en-US"/>
        </w:rPr>
      </w:pPr>
      <w:r w:rsidRPr="00F86A70">
        <w:rPr>
          <w:rFonts w:ascii="LM Roman 10" w:hAnsi="LM Roman 10"/>
          <w:lang w:val="en-US"/>
        </w:rPr>
        <w:t xml:space="preserve">where n1 = </w:t>
      </w:r>
      <w:r w:rsidRPr="00F86A70">
        <w:rPr>
          <w:rFonts w:ascii="Courier New" w:hAnsi="Courier New" w:cs="Courier New"/>
          <w:lang w:val="en-US"/>
        </w:rPr>
        <w:t>∑</w:t>
      </w:r>
      <w:r w:rsidRPr="00F86A70">
        <w:rPr>
          <w:rFonts w:ascii="LM Roman 10" w:hAnsi="LM Roman 10"/>
          <w:lang w:val="en-US"/>
        </w:rPr>
        <w:t xml:space="preserve">t Dt and n0 = </w:t>
      </w:r>
      <w:r w:rsidRPr="00F86A70">
        <w:rPr>
          <w:rFonts w:ascii="Courier New" w:hAnsi="Courier New" w:cs="Courier New"/>
          <w:lang w:val="en-US"/>
        </w:rPr>
        <w:t>∑</w:t>
      </w:r>
      <w:r w:rsidRPr="00F86A70">
        <w:rPr>
          <w:rFonts w:ascii="LM Roman 10" w:hAnsi="LM Roman 10"/>
          <w:lang w:val="en-US"/>
        </w:rPr>
        <w:t xml:space="preserve">t (1 </w:t>
      </w:r>
      <w:r w:rsidRPr="00F86A70">
        <w:rPr>
          <w:rFonts w:ascii="LM Roman 10" w:hAnsi="LM Roman 10" w:cs="LM Roman 10"/>
          <w:lang w:val="en-US"/>
        </w:rPr>
        <w:t>−</w:t>
      </w:r>
      <w:r w:rsidRPr="00F86A70">
        <w:rPr>
          <w:rFonts w:ascii="LM Roman 10" w:hAnsi="LM Roman 10"/>
          <w:lang w:val="en-US"/>
        </w:rPr>
        <w:t xml:space="preserve"> Dt) are the number of observations in treatment and control groups, respectively. Alternatively, the average treatment effect, </w:t>
      </w:r>
      <w:r w:rsidRPr="00F86A70">
        <w:rPr>
          <w:rFonts w:ascii="LM Roman 10" w:hAnsi="LM Roman 10"/>
        </w:rPr>
        <w:t>Λ</w:t>
      </w:r>
      <w:proofErr w:type="gramStart"/>
      <w:r w:rsidRPr="00F86A70">
        <w:rPr>
          <w:rFonts w:ascii="LM Roman 10" w:hAnsi="LM Roman 10"/>
          <w:lang w:val="en-US"/>
        </w:rPr>
        <w:t>h ,</w:t>
      </w:r>
      <w:proofErr w:type="gramEnd"/>
      <w:r w:rsidRPr="00F86A70">
        <w:rPr>
          <w:rFonts w:ascii="LM Roman 10" w:hAnsi="LM Roman 10"/>
          <w:lang w:val="en-US"/>
        </w:rPr>
        <w:t xml:space="preserve"> could be calculated from the auxiliary regression</w:t>
      </w:r>
    </w:p>
    <w:p w14:paraId="5A35A921" w14:textId="3D5C9B3D"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621A320A" wp14:editId="21FE8C64">
            <wp:extent cx="35528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371475"/>
                    </a:xfrm>
                    <a:prstGeom prst="rect">
                      <a:avLst/>
                    </a:prstGeom>
                  </pic:spPr>
                </pic:pic>
              </a:graphicData>
            </a:graphic>
          </wp:inline>
        </w:drawing>
      </w:r>
    </w:p>
    <w:p w14:paraId="24BC54DE" w14:textId="58FE433C" w:rsidR="007E6120" w:rsidRDefault="002F2E45">
      <w:pPr>
        <w:rPr>
          <w:lang w:val="en-US"/>
        </w:rPr>
      </w:pPr>
      <w:r w:rsidRPr="002F2E45">
        <w:rPr>
          <w:lang w:val="en-US"/>
        </w:rPr>
        <w:t xml:space="preserve">Even when data are randomly allocated across the treatment and control subpopulations, it would be natural to condition on the </w:t>
      </w:r>
      <w:proofErr w:type="spellStart"/>
      <w:r w:rsidRPr="002F2E45">
        <w:rPr>
          <w:lang w:val="en-US"/>
        </w:rPr>
        <w:t>Xt</w:t>
      </w:r>
      <w:proofErr w:type="spellEnd"/>
      <w:r w:rsidRPr="002F2E45">
        <w:rPr>
          <w:lang w:val="en-US"/>
        </w:rPr>
        <w:t xml:space="preserve"> to adjust for small-sample differences in subpopulation characteristics and therefore to gain in efficiency. 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56AD915A" w14:textId="5BAE016F" w:rsidR="007025B2" w:rsidRPr="007025B2" w:rsidRDefault="002F2E45">
      <w:pPr>
        <w:rPr>
          <w:lang w:val="en-US"/>
        </w:rPr>
      </w:pPr>
      <w:commentRangeStart w:id="6"/>
      <w:r w:rsidRPr="002F2E45">
        <w:rPr>
          <w:lang w:val="en-US"/>
        </w:rPr>
        <w:t xml:space="preserve">Assume that a linear regression control strategy suffices to do the appropriate conditioning for the </w:t>
      </w:r>
      <w:proofErr w:type="spellStart"/>
      <w:r w:rsidRPr="002F2E45">
        <w:rPr>
          <w:lang w:val="en-US"/>
        </w:rPr>
        <w:t>Xt</w:t>
      </w:r>
      <w:proofErr w:type="spellEnd"/>
      <w:r w:rsidRPr="002F2E45">
        <w:rPr>
          <w:lang w:val="en-US"/>
        </w:rPr>
        <w:t xml:space="preserve"> and hence obtain a consistent estimate of </w:t>
      </w:r>
      <w:proofErr w:type="gramStart"/>
      <w:r w:rsidRPr="002F2E45">
        <w:rPr>
          <w:lang w:val="en-US"/>
        </w:rPr>
        <w:t>E[</w:t>
      </w:r>
      <w:proofErr w:type="spellStart"/>
      <w:proofErr w:type="gramEnd"/>
      <w:r w:rsidRPr="002F2E45">
        <w:rPr>
          <w:lang w:val="en-US"/>
        </w:rPr>
        <w:t>yt+h</w:t>
      </w:r>
      <w:proofErr w:type="spellEnd"/>
      <w:r w:rsidRPr="002F2E45">
        <w:rPr>
          <w:lang w:val="en-US"/>
        </w:rPr>
        <w:t xml:space="preserve"> − </w:t>
      </w:r>
      <w:proofErr w:type="spellStart"/>
      <w:r w:rsidRPr="002F2E45">
        <w:rPr>
          <w:lang w:val="en-US"/>
        </w:rPr>
        <w:t>yt</w:t>
      </w:r>
      <w:proofErr w:type="spellEnd"/>
      <w:r w:rsidRPr="002F2E45">
        <w:rPr>
          <w:lang w:val="en-US"/>
        </w:rPr>
        <w:t xml:space="preserve"> |Dt , </w:t>
      </w:r>
      <w:proofErr w:type="spellStart"/>
      <w:r w:rsidRPr="002F2E45">
        <w:rPr>
          <w:lang w:val="en-US"/>
        </w:rPr>
        <w:t>Xt</w:t>
      </w:r>
      <w:proofErr w:type="spellEnd"/>
      <w:r w:rsidRPr="002F2E45">
        <w:rPr>
          <w:lang w:val="en-US"/>
        </w:rPr>
        <w:t xml:space="preserve"> ]. This is a big assumption </w:t>
      </w:r>
      <w:r w:rsidRPr="002F2E45">
        <w:rPr>
          <w:lang w:val="en-US"/>
        </w:rPr>
        <w:lastRenderedPageBreak/>
        <w:t>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commentRangeEnd w:id="6"/>
      <w:r w:rsidR="007025B2">
        <w:rPr>
          <w:rStyle w:val="CommentReference"/>
        </w:rPr>
        <w:commentReference w:id="6"/>
      </w:r>
    </w:p>
    <w:p w14:paraId="6662E7A6" w14:textId="3A7F5BE7"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500BAB1" wp14:editId="42EDDE8B">
            <wp:extent cx="5400040" cy="130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02385"/>
                    </a:xfrm>
                    <a:prstGeom prst="rect">
                      <a:avLst/>
                    </a:prstGeom>
                  </pic:spPr>
                </pic:pic>
              </a:graphicData>
            </a:graphic>
          </wp:inline>
        </w:drawing>
      </w:r>
    </w:p>
    <w:p w14:paraId="42F58BDA" w14:textId="5E49607A" w:rsidR="007E6120" w:rsidRPr="00F86A70" w:rsidRDefault="007E6120">
      <w:pPr>
        <w:rPr>
          <w:rFonts w:ascii="LM Roman 10" w:hAnsi="LM Roman 10"/>
          <w:lang w:val="en-US"/>
        </w:rPr>
      </w:pPr>
      <w:r w:rsidRPr="00F86A70">
        <w:rPr>
          <w:rFonts w:ascii="LM Roman 10" w:hAnsi="LM Roman 10"/>
          <w:lang w:val="en-US"/>
        </w:rPr>
        <w:t xml:space="preserve">This </w:t>
      </w:r>
      <w:r w:rsidR="00FC4C3C" w:rsidRPr="00F86A70">
        <w:rPr>
          <w:rFonts w:ascii="LM Roman 10" w:hAnsi="LM Roman 10"/>
          <w:lang w:val="en-US"/>
        </w:rPr>
        <w:t>naïve</w:t>
      </w:r>
      <w:r w:rsidRPr="00F86A70">
        <w:rPr>
          <w:rFonts w:ascii="LM Roman 10" w:hAnsi="LM Roman 10"/>
          <w:lang w:val="en-US"/>
        </w:rPr>
        <w:t xml:space="preserve"> constrained specification, which characterizes responses derived from a VAR, imposes two implicit assumptions. First, the effect of the controls </w:t>
      </w:r>
      <w:proofErr w:type="spellStart"/>
      <w:r w:rsidRPr="00F86A70">
        <w:rPr>
          <w:rFonts w:ascii="LM Roman 10" w:hAnsi="LM Roman 10"/>
          <w:lang w:val="en-US"/>
        </w:rPr>
        <w:t>Xt</w:t>
      </w:r>
      <w:proofErr w:type="spellEnd"/>
      <w:r w:rsidRPr="00F86A70">
        <w:rPr>
          <w:rFonts w:ascii="LM Roman 10" w:hAnsi="LM Roman 10"/>
          <w:lang w:val="en-US"/>
        </w:rPr>
        <w:t xml:space="preserve"> on the outcomes is assumed to be stable across the treated and control subpopulations. Second, the expected value of </w:t>
      </w:r>
      <w:proofErr w:type="spellStart"/>
      <w:r w:rsidRPr="00F86A70">
        <w:rPr>
          <w:rFonts w:ascii="LM Roman 10" w:hAnsi="LM Roman 10"/>
          <w:lang w:val="en-US"/>
        </w:rPr>
        <w:t>Xt</w:t>
      </w:r>
      <w:proofErr w:type="spellEnd"/>
      <w:r w:rsidRPr="00F86A70">
        <w:rPr>
          <w:rFonts w:ascii="LM Roman 10" w:hAnsi="LM Roman 10"/>
          <w:lang w:val="en-US"/>
        </w:rPr>
        <w:t xml:space="preserve">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200F3358" w14:textId="7786DC8B" w:rsidR="007E6120" w:rsidRDefault="00D86FE2">
      <w:pPr>
        <w:rPr>
          <w:lang w:val="en-US"/>
        </w:rPr>
      </w:pPr>
      <w:r w:rsidRPr="00D86FE2">
        <w:rPr>
          <w:lang w:val="en-US"/>
        </w:rPr>
        <w:t xml:space="preserve">When instruments are available one can further achieve identification using instrumental variable methods as in Stock and Watson (2012) and Mertens and </w:t>
      </w:r>
      <w:proofErr w:type="spellStart"/>
      <w:r w:rsidRPr="00D86FE2">
        <w:rPr>
          <w:lang w:val="en-US"/>
        </w:rPr>
        <w:t>Ravn</w:t>
      </w:r>
      <w:proofErr w:type="spellEnd"/>
      <w:r w:rsidRPr="00D86FE2">
        <w:rPr>
          <w:lang w:val="en-US"/>
        </w:rPr>
        <w:t xml:space="preserve"> (2013, 2014). We have shown above how IV methods can be used with the LP approach in a more natural way. 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p>
    <w:p w14:paraId="0BC7B803" w14:textId="72449E29" w:rsidR="005C6F09" w:rsidRPr="005C6F09" w:rsidRDefault="005C6F09">
      <w:pPr>
        <w:rPr>
          <w:rFonts w:ascii="LM Roman 10" w:hAnsi="LM Roman 10"/>
          <w:lang w:val="en-US"/>
        </w:rPr>
      </w:pPr>
      <w:r w:rsidRPr="005C6F09">
        <w:rPr>
          <w:lang w:val="en-US"/>
        </w:rPr>
        <w:t xml:space="preserve">More generally, if we do not impose the implicit assumptions of the </w:t>
      </w:r>
      <w:proofErr w:type="spellStart"/>
      <w:r w:rsidRPr="005C6F09">
        <w:rPr>
          <w:lang w:val="en-US"/>
        </w:rPr>
        <w:t>na¨ıve</w:t>
      </w:r>
      <w:proofErr w:type="spellEnd"/>
      <w:r w:rsidRPr="005C6F09">
        <w:rPr>
          <w:lang w:val="en-US"/>
        </w:rPr>
        <w:t xml:space="preserve"> LP specification, the analogous representation to the group means expression (3) is</w:t>
      </w:r>
    </w:p>
    <w:p w14:paraId="56605B40" w14:textId="0B35144E" w:rsidR="005E2878" w:rsidRDefault="005E2878" w:rsidP="005E2878">
      <w:pPr>
        <w:jc w:val="center"/>
        <w:rPr>
          <w:rFonts w:ascii="LM Roman 10" w:hAnsi="LM Roman 10"/>
          <w:lang w:val="en-US"/>
        </w:rPr>
      </w:pPr>
      <w:r w:rsidRPr="00F86A70">
        <w:rPr>
          <w:rFonts w:ascii="LM Roman 10" w:hAnsi="LM Roman 10"/>
          <w:noProof/>
          <w:lang w:val="en-US"/>
        </w:rPr>
        <w:drawing>
          <wp:inline distT="0" distB="0" distL="0" distR="0" wp14:anchorId="3701CD4B" wp14:editId="7BC90BDB">
            <wp:extent cx="4699240" cy="549911"/>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492" cy="553568"/>
                    </a:xfrm>
                    <a:prstGeom prst="rect">
                      <a:avLst/>
                    </a:prstGeom>
                  </pic:spPr>
                </pic:pic>
              </a:graphicData>
            </a:graphic>
          </wp:inline>
        </w:drawing>
      </w:r>
    </w:p>
    <w:p w14:paraId="0E58AA36" w14:textId="03959661" w:rsidR="00DE6F9C" w:rsidRPr="00DE6F9C" w:rsidRDefault="00DE6F9C" w:rsidP="00DE6F9C">
      <w:pPr>
        <w:rPr>
          <w:rFonts w:ascii="LM Roman 10" w:hAnsi="LM Roman 10"/>
          <w:lang w:val="en-US"/>
        </w:rPr>
      </w:pPr>
      <w:r w:rsidRPr="00DE6F9C">
        <w:rPr>
          <w:lang w:val="en-US"/>
        </w:rPr>
        <w:t xml:space="preserve">where </w:t>
      </w:r>
      <w:proofErr w:type="spellStart"/>
      <w:r w:rsidRPr="00DE6F9C">
        <w:rPr>
          <w:lang w:val="en-US"/>
        </w:rPr>
        <w:t>mh</w:t>
      </w:r>
      <w:proofErr w:type="spellEnd"/>
      <w:r w:rsidRPr="00DE6F9C">
        <w:rPr>
          <w:lang w:val="en-US"/>
        </w:rPr>
        <w:t xml:space="preserve"> j (.) is a generic specification of the conditional mean of (</w:t>
      </w:r>
      <w:proofErr w:type="spellStart"/>
      <w:r w:rsidRPr="00DE6F9C">
        <w:rPr>
          <w:lang w:val="en-US"/>
        </w:rPr>
        <w:t>yt+h</w:t>
      </w:r>
      <w:proofErr w:type="spellEnd"/>
      <w:r w:rsidRPr="00DE6F9C">
        <w:rPr>
          <w:lang w:val="en-US"/>
        </w:rPr>
        <w:t xml:space="preserve"> − </w:t>
      </w:r>
      <w:proofErr w:type="spellStart"/>
      <w:r w:rsidRPr="00DE6F9C">
        <w:rPr>
          <w:lang w:val="en-US"/>
        </w:rPr>
        <w:t>yt</w:t>
      </w:r>
      <w:proofErr w:type="spellEnd"/>
      <w:r w:rsidRPr="00DE6F9C">
        <w:rPr>
          <w:lang w:val="en-US"/>
        </w:rPr>
        <w:t xml:space="preserve">) in each subpopulation j = 1, 0 and </w:t>
      </w:r>
      <w:r>
        <w:t>θ</w:t>
      </w:r>
      <w:r w:rsidRPr="00DE6F9C">
        <w:rPr>
          <w:lang w:val="en-US"/>
        </w:rPr>
        <w:t xml:space="preserve"> h j = (</w:t>
      </w:r>
      <w:r>
        <w:t>α</w:t>
      </w:r>
      <w:r w:rsidRPr="00DE6F9C">
        <w:rPr>
          <w:lang w:val="en-US"/>
        </w:rPr>
        <w:t xml:space="preserve"> h j </w:t>
      </w:r>
      <w:r>
        <w:t>β</w:t>
      </w:r>
      <w:r w:rsidRPr="00DE6F9C">
        <w:rPr>
          <w:lang w:val="en-US"/>
        </w:rPr>
        <w:t xml:space="preserve"> h </w:t>
      </w:r>
      <w:proofErr w:type="gramStart"/>
      <w:r w:rsidRPr="00DE6F9C">
        <w:rPr>
          <w:lang w:val="en-US"/>
        </w:rPr>
        <w:t>j )</w:t>
      </w:r>
      <w:proofErr w:type="gramEnd"/>
      <w:r w:rsidRPr="00DE6F9C">
        <w:rPr>
          <w:lang w:val="en-US"/>
        </w:rPr>
        <w:t xml:space="preserve"> ′ for the regression example in (7). The n1 and n0 have been defined earlier. Note that this more general form of regression adjustment allows the conditional means to be different for the treated and control subpopulations and allows their effect on the outcome to differ as well.</w:t>
      </w:r>
    </w:p>
    <w:p w14:paraId="6ACA8F75" w14:textId="77777777" w:rsidR="00FC4C3C" w:rsidRPr="00F86A70" w:rsidRDefault="00FC4C3C" w:rsidP="005E2878">
      <w:pPr>
        <w:jc w:val="center"/>
        <w:rPr>
          <w:rFonts w:ascii="LM Roman 10" w:hAnsi="LM Roman 10"/>
          <w:lang w:val="en-US"/>
        </w:rPr>
      </w:pPr>
    </w:p>
    <w:p w14:paraId="7D6EB4E3" w14:textId="77777777" w:rsidR="00BC68D9" w:rsidRPr="00F86A70" w:rsidRDefault="005E2878" w:rsidP="005E2878">
      <w:pPr>
        <w:rPr>
          <w:rFonts w:ascii="LM Roman 10" w:hAnsi="LM Roman 10"/>
          <w:b/>
          <w:bCs/>
          <w:lang w:val="en-US"/>
        </w:rPr>
      </w:pPr>
      <w:r w:rsidRPr="00F86A70">
        <w:rPr>
          <w:rFonts w:ascii="LM Roman 10" w:hAnsi="LM Roman 10"/>
          <w:b/>
          <w:bCs/>
          <w:lang w:val="en-US"/>
        </w:rPr>
        <w:lastRenderedPageBreak/>
        <w:t xml:space="preserve">5.1. Re-randomization through the propensity score </w:t>
      </w:r>
    </w:p>
    <w:p w14:paraId="26FA5708" w14:textId="18244D81" w:rsidR="005E2878" w:rsidRPr="00F86A70" w:rsidRDefault="000D54D3" w:rsidP="005E2878">
      <w:pPr>
        <w:rPr>
          <w:rFonts w:ascii="LM Roman 10" w:hAnsi="LM Roman 10"/>
          <w:lang w:val="en-US"/>
        </w:rPr>
      </w:pPr>
      <w:r w:rsidRPr="000D54D3">
        <w:rPr>
          <w:rFonts w:ascii="LM Roman 10" w:hAnsi="LM Roman 10"/>
          <w:noProof/>
          <w:lang w:val="en-US"/>
        </w:rPr>
        <w:drawing>
          <wp:inline distT="0" distB="0" distL="0" distR="0" wp14:anchorId="4B28A6FB" wp14:editId="4DB44768">
            <wp:extent cx="5400040" cy="3684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84905"/>
                    </a:xfrm>
                    <a:prstGeom prst="rect">
                      <a:avLst/>
                    </a:prstGeom>
                  </pic:spPr>
                </pic:pic>
              </a:graphicData>
            </a:graphic>
          </wp:inline>
        </w:drawing>
      </w:r>
    </w:p>
    <w:p w14:paraId="58B185E9" w14:textId="2CF405D0" w:rsidR="005E2878" w:rsidRDefault="006C5388" w:rsidP="005E2878">
      <w:pPr>
        <w:rPr>
          <w:rFonts w:ascii="LM Roman 10" w:hAnsi="LM Roman 10"/>
          <w:lang w:val="en-US"/>
        </w:rPr>
      </w:pPr>
      <w:r w:rsidRPr="00F86A70">
        <w:rPr>
          <w:rFonts w:ascii="LM Roman 10" w:hAnsi="LM Roman 10"/>
          <w:lang w:val="en-US"/>
        </w:rPr>
        <w:t xml:space="preserve">Angrist and </w:t>
      </w:r>
      <w:proofErr w:type="spellStart"/>
      <w:r w:rsidRPr="00F86A70">
        <w:rPr>
          <w:rFonts w:ascii="LM Roman 10" w:hAnsi="LM Roman 10"/>
          <w:lang w:val="en-US"/>
        </w:rPr>
        <w:t>Kuersteiner</w:t>
      </w:r>
      <w:proofErr w:type="spellEnd"/>
      <w:r w:rsidRPr="00F86A70">
        <w:rPr>
          <w:rFonts w:ascii="LM Roman 10" w:hAnsi="LM Roman 10"/>
          <w:lang w:val="en-US"/>
        </w:rPr>
        <w:t xml:space="preserve">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dimension</w:t>
      </w:r>
      <w:r w:rsidR="00314DAE">
        <w:rPr>
          <w:rFonts w:ascii="LM Roman 10" w:hAnsi="LM Roman 10"/>
          <w:lang w:val="en-US"/>
        </w:rPr>
        <w:t xml:space="preserve"> </w:t>
      </w:r>
      <w:r w:rsidRPr="00F86A70">
        <w:rPr>
          <w:rFonts w:ascii="LM Roman 10" w:hAnsi="LM Roman 10"/>
          <w:lang w:val="en-US"/>
        </w:rPr>
        <w:t xml:space="preserve">reduction device. Ideally, any predictor of policy should be included, regardless of whether that predictor is a fundamental variable in a macroeconomic model. The </w:t>
      </w:r>
      <w:proofErr w:type="spellStart"/>
      <w:r w:rsidRPr="00F86A70">
        <w:rPr>
          <w:rFonts w:ascii="LM Roman 10" w:hAnsi="LM Roman 10"/>
          <w:lang w:val="en-US"/>
        </w:rPr>
        <w:t>probit</w:t>
      </w:r>
      <w:proofErr w:type="spellEnd"/>
      <w:r w:rsidRPr="00F86A70">
        <w:rPr>
          <w:rFonts w:ascii="LM Roman 10" w:hAnsi="LM Roman 10"/>
          <w:lang w:val="en-US"/>
        </w:rPr>
        <w:t xml:space="preserve"> results reported in Table 7 can be seen as candidate estimates of this policy propensity score. We will instead construct the policy propensity score using a richer specification that includes all the controls used in Table 6 as well</w:t>
      </w:r>
      <w:r w:rsidR="00CD00EE" w:rsidRPr="00F86A70">
        <w:rPr>
          <w:rFonts w:ascii="LM Roman 10" w:hAnsi="LM Roman 10"/>
          <w:lang w:val="en-US"/>
        </w:rPr>
        <w:t>.</w:t>
      </w:r>
    </w:p>
    <w:p w14:paraId="288FD342" w14:textId="7146D799" w:rsidR="00314DAE" w:rsidRPr="00F86A70" w:rsidRDefault="00314DAE" w:rsidP="005E2878">
      <w:pPr>
        <w:rPr>
          <w:rFonts w:ascii="LM Roman 10" w:hAnsi="LM Roman 10"/>
          <w:lang w:val="en-US"/>
        </w:rPr>
      </w:pPr>
      <w:r w:rsidRPr="00314DAE">
        <w:rPr>
          <w:rFonts w:ascii="LM Roman 10" w:hAnsi="LM Roman 10"/>
          <w:noProof/>
          <w:lang w:val="en-US"/>
        </w:rPr>
        <w:lastRenderedPageBreak/>
        <w:drawing>
          <wp:inline distT="0" distB="0" distL="0" distR="0" wp14:anchorId="45CA0723" wp14:editId="2AE827E2">
            <wp:extent cx="5400040" cy="6395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395085"/>
                    </a:xfrm>
                    <a:prstGeom prst="rect">
                      <a:avLst/>
                    </a:prstGeom>
                  </pic:spPr>
                </pic:pic>
              </a:graphicData>
            </a:graphic>
          </wp:inline>
        </w:drawing>
      </w:r>
    </w:p>
    <w:p w14:paraId="774D540E" w14:textId="102F4B84" w:rsidR="00CD00EE" w:rsidRPr="00F86A70" w:rsidRDefault="00CD00EE" w:rsidP="005E2878">
      <w:pPr>
        <w:rPr>
          <w:rFonts w:ascii="LM Roman 10" w:hAnsi="LM Roman 10"/>
          <w:lang w:val="en-US"/>
        </w:rPr>
      </w:pPr>
    </w:p>
    <w:p w14:paraId="524D461A" w14:textId="77777777" w:rsidR="00476817" w:rsidRPr="00F86A70" w:rsidRDefault="00850E33" w:rsidP="005E2878">
      <w:pPr>
        <w:rPr>
          <w:rFonts w:ascii="LM Roman 10" w:hAnsi="LM Roman 10"/>
          <w:b/>
          <w:bCs/>
          <w:lang w:val="en-US"/>
        </w:rPr>
      </w:pPr>
      <w:r w:rsidRPr="00F86A70">
        <w:rPr>
          <w:rFonts w:ascii="LM Roman 10" w:hAnsi="LM Roman 10"/>
          <w:b/>
          <w:bCs/>
          <w:lang w:val="en-US"/>
        </w:rPr>
        <w:t xml:space="preserve">5.2. Regression adjustment (IPWRA) and Augmented IPW (AIPW) </w:t>
      </w:r>
    </w:p>
    <w:p w14:paraId="0170B065" w14:textId="0552BDF0" w:rsidR="00850E33" w:rsidRPr="00F86A70" w:rsidRDefault="00850E33" w:rsidP="005E2878">
      <w:pPr>
        <w:rPr>
          <w:rFonts w:ascii="LM Roman 10" w:hAnsi="LM Roman 10"/>
          <w:lang w:val="en-US"/>
        </w:rPr>
      </w:pPr>
      <w:r w:rsidRPr="00F86A70">
        <w:rPr>
          <w:rFonts w:ascii="LM Roman 10" w:hAnsi="LM Roman 10"/>
          <w:lang w:val="en-US"/>
        </w:rPr>
        <w:t>As a way to enhance robustness, researchers have derived estimators with a regression adjustment component added to the standard IPW estimator presented above. This estimator parallels that in expression (8) but using inverse probability weighting. To further enhance efficiency, the augmented IPW or AIPW estimator combines the IPW and IPWRA estimators in a manner to be discussed shortly.</w:t>
      </w:r>
    </w:p>
    <w:p w14:paraId="6328E1B7" w14:textId="568E6360" w:rsidR="005E2878" w:rsidRPr="00F86A70" w:rsidRDefault="00476817">
      <w:pPr>
        <w:rPr>
          <w:rFonts w:ascii="LM Roman 10" w:hAnsi="LM Roman 10"/>
          <w:lang w:val="en-US"/>
        </w:rPr>
      </w:pPr>
      <w:r w:rsidRPr="00F86A70">
        <w:rPr>
          <w:rFonts w:ascii="LM Roman 10" w:hAnsi="LM Roman 10"/>
          <w:lang w:val="en-US"/>
        </w:rPr>
        <w:t>The inverse propensity-score weighted estimator with regression adjustment (IPWRA)</w:t>
      </w:r>
    </w:p>
    <w:p w14:paraId="32C1AF02" w14:textId="2C808174" w:rsidR="005D0AA2" w:rsidRDefault="005D0AA2">
      <w:pPr>
        <w:rPr>
          <w:rFonts w:ascii="LM Roman 10" w:hAnsi="LM Roman 10"/>
          <w:lang w:val="en-US"/>
        </w:rPr>
      </w:pPr>
      <w:r w:rsidRPr="005D0AA2">
        <w:rPr>
          <w:rFonts w:ascii="LM Roman 10" w:hAnsi="LM Roman 10"/>
          <w:noProof/>
          <w:lang w:val="en-US"/>
        </w:rPr>
        <w:lastRenderedPageBreak/>
        <w:drawing>
          <wp:inline distT="0" distB="0" distL="0" distR="0" wp14:anchorId="515F122F" wp14:editId="3C809929">
            <wp:extent cx="5400040" cy="1488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88440"/>
                    </a:xfrm>
                    <a:prstGeom prst="rect">
                      <a:avLst/>
                    </a:prstGeom>
                  </pic:spPr>
                </pic:pic>
              </a:graphicData>
            </a:graphic>
          </wp:inline>
        </w:drawing>
      </w:r>
    </w:p>
    <w:p w14:paraId="58F30486" w14:textId="0AE1597E" w:rsidR="005D0AA2" w:rsidRPr="00F86A70" w:rsidRDefault="00972091">
      <w:pPr>
        <w:rPr>
          <w:rFonts w:ascii="LM Roman 10" w:hAnsi="LM Roman 10"/>
          <w:lang w:val="en-US"/>
        </w:rPr>
      </w:pPr>
      <w:r w:rsidRPr="00972091">
        <w:rPr>
          <w:rFonts w:ascii="LM Roman 10" w:hAnsi="LM Roman 10"/>
          <w:noProof/>
          <w:lang w:val="en-US"/>
        </w:rPr>
        <w:drawing>
          <wp:inline distT="0" distB="0" distL="0" distR="0" wp14:anchorId="0232FFFC" wp14:editId="55CBBE41">
            <wp:extent cx="5400040"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43250"/>
                    </a:xfrm>
                    <a:prstGeom prst="rect">
                      <a:avLst/>
                    </a:prstGeom>
                  </pic:spPr>
                </pic:pic>
              </a:graphicData>
            </a:graphic>
          </wp:inline>
        </w:drawing>
      </w:r>
    </w:p>
    <w:p w14:paraId="5D2F0FD4" w14:textId="77777777" w:rsidR="00155855" w:rsidRPr="00F86A70" w:rsidRDefault="00476817">
      <w:pPr>
        <w:rPr>
          <w:rFonts w:ascii="LM Roman 10" w:hAnsi="LM Roman 10"/>
          <w:b/>
          <w:bCs/>
          <w:lang w:val="en-US"/>
        </w:rPr>
      </w:pPr>
      <w:r w:rsidRPr="00F86A70">
        <w:rPr>
          <w:rFonts w:ascii="LM Roman 10" w:hAnsi="LM Roman 10"/>
          <w:b/>
          <w:bCs/>
          <w:lang w:val="en-US"/>
        </w:rPr>
        <w:t>5.3. Intuition</w:t>
      </w:r>
    </w:p>
    <w:p w14:paraId="0DB52711" w14:textId="7D18421A" w:rsidR="00476817" w:rsidRPr="00F86A70" w:rsidRDefault="00476817">
      <w:pPr>
        <w:rPr>
          <w:rFonts w:ascii="LM Roman 10" w:hAnsi="LM Roman 10"/>
          <w:lang w:val="en-US"/>
        </w:rPr>
      </w:pPr>
      <w:r w:rsidRPr="00F86A70">
        <w:rPr>
          <w:rFonts w:ascii="LM Roman 10" w:hAnsi="LM Roman 10"/>
          <w:lang w:val="en-US"/>
        </w:rPr>
        <w:t xml:space="preserve"> Although these techniques are relatively new to macroeconomics, matching estimators using inverse propensity score weighting have been frequently implemented in applied</w:t>
      </w:r>
      <w:r w:rsidR="00155855" w:rsidRPr="00F86A70">
        <w:rPr>
          <w:rFonts w:ascii="LM Roman 10" w:hAnsi="LM Roman 10"/>
          <w:lang w:val="en-US"/>
        </w:rPr>
        <w:t xml:space="preserve">. microeconomics with cross-sectional data. Matching methods more generally constitute a benchmark within the medical research literature when trials are suspected of being contaminated by allocation bias. The provenance of the particular inverse </w:t>
      </w:r>
      <w:proofErr w:type="spellStart"/>
      <w:r w:rsidR="00155855" w:rsidRPr="00F86A70">
        <w:rPr>
          <w:rFonts w:ascii="LM Roman 10" w:hAnsi="LM Roman 10"/>
          <w:lang w:val="en-US"/>
        </w:rPr>
        <w:t>propensityscore</w:t>
      </w:r>
      <w:proofErr w:type="spellEnd"/>
      <w:r w:rsidR="00155855" w:rsidRPr="00F86A70">
        <w:rPr>
          <w:rFonts w:ascii="LM Roman 10" w:hAnsi="LM Roman 10"/>
          <w:lang w:val="en-US"/>
        </w:rPr>
        <w:t xml:space="preserve"> weighting method we employ is thus well established.</w:t>
      </w:r>
    </w:p>
    <w:p w14:paraId="12F56F6C" w14:textId="77777777" w:rsidR="00D335B0" w:rsidRDefault="00D335B0">
      <w:pPr>
        <w:rPr>
          <w:lang w:val="en-US"/>
        </w:rPr>
      </w:pPr>
      <w:r w:rsidRPr="00D335B0">
        <w:rPr>
          <w:lang w:val="en-US"/>
        </w:rPr>
        <w:t xml:space="preserve">5.4. What We Do </w:t>
      </w:r>
    </w:p>
    <w:p w14:paraId="05CAC3ED" w14:textId="7974DAA9" w:rsidR="00D335B0" w:rsidRDefault="00D335B0">
      <w:pPr>
        <w:rPr>
          <w:lang w:val="en-US"/>
        </w:rPr>
      </w:pPr>
      <w:r w:rsidRPr="00D335B0">
        <w:rPr>
          <w:lang w:val="en-US"/>
        </w:rPr>
        <w:t xml:space="preserve">The next section reports the results of applying the AIPW estimator (18) to measure the average treatment effect of fiscal consolidations as a counterpoint to the conventional OLS and IV results reported earlier. As a way to understand where the differences come from, we first implement the AIPW estimator by restricting the parameters of the regression (based on LPs) to be the same in the treated and control subpopulations, as is implicit in the OLS and IV approaches. Under that constraint, the results from the AIPW estimator are close to the IV results seen earlier. </w:t>
      </w:r>
      <w:proofErr w:type="gramStart"/>
      <w:r w:rsidRPr="00D335B0">
        <w:rPr>
          <w:lang w:val="en-US"/>
        </w:rPr>
        <w:t>Next</w:t>
      </w:r>
      <w:proofErr w:type="gramEnd"/>
      <w:r w:rsidRPr="00D335B0">
        <w:rPr>
          <w:lang w:val="en-US"/>
        </w:rPr>
        <w:t xml:space="preserve"> we allow for the parameters to vary across subpopulations, adhering to the way expression (18) is typically applied in the policy evaluation literature. These results deliver the same qualitative implication of contractionary austerity, but show that the effects of consolidations are quantitatively even more painful.</w:t>
      </w:r>
    </w:p>
    <w:p w14:paraId="150EF25F" w14:textId="7C9FE3F5" w:rsidR="00D335B0" w:rsidRDefault="006B32C1">
      <w:pPr>
        <w:rPr>
          <w:lang w:val="en-US"/>
        </w:rPr>
      </w:pPr>
      <w:r w:rsidRPr="006B32C1">
        <w:rPr>
          <w:lang w:val="en-US"/>
        </w:rPr>
        <w:lastRenderedPageBreak/>
        <w:t>6. Contractionary Austerity Revisited: Estimates of the Average Effect of Fiscal Consolidations</w:t>
      </w:r>
    </w:p>
    <w:p w14:paraId="1CF93361" w14:textId="72347BCE" w:rsidR="006B32C1" w:rsidRDefault="006B32C1">
      <w:pPr>
        <w:rPr>
          <w:lang w:val="en-US"/>
        </w:rPr>
      </w:pPr>
      <w:r w:rsidRPr="006B32C1">
        <w:rPr>
          <w:lang w:val="en-US"/>
        </w:rPr>
        <w:t xml:space="preserve">This section presents AIPW estimates of the ATE of fiscal consolidations. Following standard procedures, the propensity score used here is based on a saturated </w:t>
      </w:r>
      <w:proofErr w:type="spellStart"/>
      <w:r w:rsidRPr="006B32C1">
        <w:rPr>
          <w:lang w:val="en-US"/>
        </w:rPr>
        <w:t>probit</w:t>
      </w:r>
      <w:proofErr w:type="spellEnd"/>
      <w:r w:rsidRPr="006B32C1">
        <w:rPr>
          <w:lang w:val="en-US"/>
        </w:rPr>
        <w:t xml:space="preserve"> model that extends the set of controls used in Table 7 with the current and lagged values of the controls in Table 6.</w:t>
      </w:r>
    </w:p>
    <w:p w14:paraId="627E795B" w14:textId="3594F204" w:rsidR="006B32C1" w:rsidRDefault="006B32C1">
      <w:pPr>
        <w:rPr>
          <w:lang w:val="en-US"/>
        </w:rPr>
      </w:pPr>
      <w:r w:rsidRPr="006B32C1">
        <w:rPr>
          <w:lang w:val="en-US"/>
        </w:rPr>
        <w:t>Figure 2 provides smooth kernel density estimates of the distribution of the propensity score for the treated and control units to check for overlap. One way to think of overlap is to consider what overlap would be in the ideal RCT. The empirical distributions of the propensity score for treated and control units would be uniform and identical to each other. At the other extreme, suppose that treatment is allocated mechanically on the basis of controls. Then the distribution of treated units would spike at one and be zero elsewhere, and the distribution of control units would spike at zero and be zero elsewhere</w:t>
      </w:r>
      <w:r>
        <w:rPr>
          <w:lang w:val="en-US"/>
        </w:rPr>
        <w:t>.</w:t>
      </w:r>
    </w:p>
    <w:p w14:paraId="2E154B9C" w14:textId="240BBDF5" w:rsidR="006B32C1" w:rsidRPr="006B32C1" w:rsidRDefault="006B32C1">
      <w:pPr>
        <w:rPr>
          <w:rFonts w:ascii="LM Roman 10" w:hAnsi="LM Roman 10"/>
          <w:lang w:val="en-US"/>
        </w:rPr>
      </w:pPr>
      <w:commentRangeStart w:id="7"/>
      <w:r w:rsidRPr="006B32C1">
        <w:rPr>
          <w:lang w:val="en-US"/>
        </w:rPr>
        <w:t>However, the AIPW has the property that high weights in the IPW are compensated at the same rate by the augmentation term. Experiments not reported here indicate that this is indeed what happens in practice and that truncation is unnecessary in our application (see Appendix A.3).</w:t>
      </w:r>
      <w:commentRangeEnd w:id="7"/>
      <w:r>
        <w:rPr>
          <w:rStyle w:val="CommentReference"/>
        </w:rPr>
        <w:commentReference w:id="7"/>
      </w:r>
    </w:p>
    <w:p w14:paraId="2762AE3B" w14:textId="639EDFB1" w:rsidR="00155855" w:rsidRPr="00044875" w:rsidRDefault="00044875">
      <w:pPr>
        <w:rPr>
          <w:lang w:val="en-US"/>
        </w:rPr>
      </w:pPr>
      <w:r w:rsidRPr="00044875">
        <w:rPr>
          <w:lang w:val="en-US"/>
        </w:rPr>
        <w:t xml:space="preserve">Table 8 is organized into two rows. The first row reports the results based on imposing the restriction </w:t>
      </w:r>
      <w:r>
        <w:t>θ</w:t>
      </w:r>
      <w:r w:rsidRPr="00044875">
        <w:rPr>
          <w:lang w:val="en-US"/>
        </w:rPr>
        <w:t xml:space="preserve"> h 1 = </w:t>
      </w:r>
      <w:r>
        <w:t>θ</w:t>
      </w:r>
      <w:r w:rsidRPr="00044875">
        <w:rPr>
          <w:lang w:val="en-US"/>
        </w:rPr>
        <w:t xml:space="preserve"> h </w:t>
      </w:r>
      <w:proofErr w:type="gramStart"/>
      <w:r w:rsidRPr="00044875">
        <w:rPr>
          <w:lang w:val="en-US"/>
        </w:rPr>
        <w:t>0 ,</w:t>
      </w:r>
      <w:proofErr w:type="gramEnd"/>
      <w:r w:rsidRPr="00044875">
        <w:rPr>
          <w:lang w:val="en-US"/>
        </w:rPr>
        <w:t xml:space="preserve"> the usual implicit restriction used without hesitation in the macro-VAR empirical literature and the same restriction we imposed in reporting the results of Tables 1 and 3. The second row reports the results that do not impose the </w:t>
      </w:r>
      <w:r>
        <w:t>θ</w:t>
      </w:r>
      <w:r w:rsidRPr="00044875">
        <w:rPr>
          <w:lang w:val="en-US"/>
        </w:rPr>
        <w:t xml:space="preserve"> h 1 = </w:t>
      </w:r>
      <w:r>
        <w:t>θ</w:t>
      </w:r>
      <w:r w:rsidRPr="00044875">
        <w:rPr>
          <w:lang w:val="en-US"/>
        </w:rPr>
        <w:t xml:space="preserve"> h 0 restriction. The results are qualitatively similar to those reported in Table 3 in that we still find that austerity is contractionary. However, the estimated impacts of fiscal consolidations on output are now even bigger.</w:t>
      </w:r>
    </w:p>
    <w:p w14:paraId="60F86204" w14:textId="63FA072C" w:rsidR="00044875" w:rsidRPr="00044875" w:rsidRDefault="00044875">
      <w:pPr>
        <w:rPr>
          <w:lang w:val="en-US"/>
        </w:rPr>
      </w:pPr>
      <w:r w:rsidRPr="00044875">
        <w:rPr>
          <w:lang w:val="en-US"/>
        </w:rPr>
        <w:t>Recall that according to the IV estimates, the accumulated loss over five years was -2.94</w:t>
      </w:r>
      <w:r w:rsidRPr="00044875">
        <w:rPr>
          <w:rFonts w:ascii="Cambria Math" w:hAnsi="Cambria Math" w:cs="Cambria Math"/>
          <w:lang w:val="en-US"/>
        </w:rPr>
        <w:t>∗∗∗</w:t>
      </w:r>
      <w:r w:rsidRPr="00044875">
        <w:rPr>
          <w:lang w:val="en-US"/>
        </w:rPr>
        <w:t>. This would imply an average annual real GDP loss of about 0.59% of GDP per 1% of fiscal consolidation over each of the 5 years. Here our AIPW estimate with unrestricted coefficients has a sum effect of -3.61</w:t>
      </w:r>
      <w:r w:rsidRPr="00044875">
        <w:rPr>
          <w:rFonts w:ascii="Cambria Math" w:hAnsi="Cambria Math" w:cs="Cambria Math"/>
          <w:lang w:val="en-US"/>
        </w:rPr>
        <w:t>∗∗∗</w:t>
      </w:r>
      <w:r w:rsidRPr="00044875">
        <w:rPr>
          <w:lang w:val="en-US"/>
        </w:rPr>
        <w:t xml:space="preserve"> over 5 years. This would imply an average annual real GDP loss of about 0.74% of GDP per 1% of fiscal consolidation over each of the 5 years (using a 1/0.97 rescaling factor). </w:t>
      </w:r>
      <w:proofErr w:type="gramStart"/>
      <w:r w:rsidRPr="00044875">
        <w:rPr>
          <w:lang w:val="en-US"/>
        </w:rPr>
        <w:t>Thus</w:t>
      </w:r>
      <w:proofErr w:type="gramEnd"/>
      <w:r w:rsidRPr="00044875">
        <w:rPr>
          <w:lang w:val="en-US"/>
        </w:rPr>
        <w:t xml:space="preserve"> the implied output losses due to austerity are about 20% larger under our AIPW estimation than with IV estimation.</w:t>
      </w:r>
    </w:p>
    <w:p w14:paraId="09F201FF" w14:textId="2E24E7F3" w:rsidR="00044875" w:rsidRDefault="00044875">
      <w:pPr>
        <w:rPr>
          <w:lang w:val="en-US"/>
        </w:rPr>
      </w:pPr>
      <w:r w:rsidRPr="00044875">
        <w:rPr>
          <w:lang w:val="en-US"/>
        </w:rPr>
        <w:t xml:space="preserve">Table 9 presents these AIPW estimates based on the same saturated policy propensity score </w:t>
      </w:r>
      <w:proofErr w:type="spellStart"/>
      <w:r w:rsidRPr="00044875">
        <w:rPr>
          <w:lang w:val="en-US"/>
        </w:rPr>
        <w:t>probit</w:t>
      </w:r>
      <w:proofErr w:type="spellEnd"/>
      <w:r w:rsidRPr="00044875">
        <w:rPr>
          <w:lang w:val="en-US"/>
        </w:rPr>
        <w:t xml:space="preserve"> model described earlier. These results show that in a boom a fiscal consolidation has on average a small, negative, but imprecisely estimated effect. The first row of the table indicates that the accumulated loss over five years is -1.80 percent of GDP. In a slump, the results are about three times as strong and highly statistically significant: over five years, the accumulated loss is -3.54</w:t>
      </w:r>
      <w:r w:rsidRPr="00044875">
        <w:rPr>
          <w:rFonts w:ascii="Cambria Math" w:hAnsi="Cambria Math" w:cs="Cambria Math"/>
          <w:lang w:val="en-US"/>
        </w:rPr>
        <w:t>∗∗</w:t>
      </w:r>
      <w:r w:rsidRPr="00044875">
        <w:rPr>
          <w:lang w:val="en-US"/>
        </w:rPr>
        <w:t xml:space="preserve"> percent of GDP, as shown in the second row of the table. Scaling these effects for the average treatment size (0.97 percent of GDP) the average loss per 1% fiscal consolidation is 0.37% of GDP per year over the five-year window in booms, and 0.73% of GDP per year in slumps.</w:t>
      </w:r>
    </w:p>
    <w:p w14:paraId="0BC560F2" w14:textId="7CBE49FF" w:rsidR="00044875" w:rsidRDefault="00044875">
      <w:pPr>
        <w:rPr>
          <w:lang w:val="en-US"/>
        </w:rPr>
      </w:pPr>
      <w:r w:rsidRPr="00044875">
        <w:rPr>
          <w:lang w:val="en-US"/>
        </w:rPr>
        <w:t>Summing up our LP results, we always find more adverse paths when austerity is imposed in slumps rather than in booms, but there are sometimes big differences across specifications.</w:t>
      </w:r>
    </w:p>
    <w:p w14:paraId="2B29BC84" w14:textId="7ADD5285" w:rsidR="00AF4101" w:rsidRPr="00AF4101" w:rsidRDefault="00AF4101">
      <w:pPr>
        <w:rPr>
          <w:lang w:val="en-US"/>
        </w:rPr>
      </w:pPr>
      <w:r w:rsidRPr="00AF4101">
        <w:rPr>
          <w:lang w:val="en-US"/>
        </w:rPr>
        <w:t xml:space="preserve">. Given the data, there would be too few observations to obtain robust results (and in some cases, insufficient data to estimate the desired effects). Fortunately, as we have discussed </w:t>
      </w:r>
      <w:r w:rsidRPr="00AF4101">
        <w:rPr>
          <w:lang w:val="en-US"/>
        </w:rPr>
        <w:lastRenderedPageBreak/>
        <w:t>earlier, fiscal consolidations typically average about one percent relative to GDP with a tight range of variation, which greatly facilitates the interpretability of our findings</w:t>
      </w:r>
    </w:p>
    <w:p w14:paraId="17B3B573" w14:textId="374E4B3C" w:rsidR="00AF4101" w:rsidRDefault="00AF4101">
      <w:pPr>
        <w:rPr>
          <w:lang w:val="en-US"/>
        </w:rPr>
      </w:pPr>
      <w:r w:rsidRPr="00AF4101">
        <w:rPr>
          <w:lang w:val="en-US"/>
        </w:rPr>
        <w:t>Figure 3 displays the coefficients reported in Table 9, with appropriate rescaling in the case of AIPW to allow for the average treatment size, to show the dynamic ATE impacts of fiscal consolidations in graphical form and compares them with the responses obtained using the IV coefficient estimates which were reported earlier in Table 4. Our results underscore that austerity tends to be painful, but that timing matters: the least painful fiscal consolidations, from a growth and hence budgetary perspective, will tend to be those launched from a position of strength, that is, in the boom not the slump. This would seem to require moderately wise policymaking and/or fiscal regimes (councils, rules, etc.), not to mention an ability to stay below any debt limit so as to maintain capital market access to permit smoothing.</w:t>
      </w:r>
    </w:p>
    <w:p w14:paraId="51A91DAE" w14:textId="75D3FD60" w:rsidR="00B443C9" w:rsidRDefault="00B443C9">
      <w:pPr>
        <w:rPr>
          <w:lang w:val="en-US"/>
        </w:rPr>
      </w:pPr>
      <w:r>
        <w:rPr>
          <w:lang w:val="en-US"/>
        </w:rPr>
        <w:t>7. COUNTERFACTUAL</w:t>
      </w:r>
    </w:p>
    <w:p w14:paraId="60AC3A05" w14:textId="77777777" w:rsidR="00B443C9" w:rsidRPr="00AF4101" w:rsidRDefault="00B443C9">
      <w:pPr>
        <w:rPr>
          <w:lang w:val="en-US"/>
        </w:rPr>
      </w:pPr>
    </w:p>
    <w:p w14:paraId="33F84581" w14:textId="61721547" w:rsidR="00AF4101" w:rsidRDefault="00921DEB">
      <w:pPr>
        <w:rPr>
          <w:rFonts w:ascii="LM Roman 10" w:hAnsi="LM Roman 10"/>
          <w:lang w:val="en-US"/>
        </w:rPr>
      </w:pPr>
      <w:r>
        <w:rPr>
          <w:rFonts w:ascii="LM Roman 10" w:hAnsi="LM Roman 10"/>
          <w:lang w:val="en-US"/>
        </w:rPr>
        <w:t>8. CONCLUSIONS</w:t>
      </w:r>
    </w:p>
    <w:p w14:paraId="70A728F8" w14:textId="1ADAB363" w:rsidR="00921DEB" w:rsidRDefault="00921DEB">
      <w:pPr>
        <w:rPr>
          <w:lang w:val="en-US"/>
        </w:rPr>
      </w:pPr>
      <w:r w:rsidRPr="00921DEB">
        <w:rPr>
          <w:lang w:val="en-US"/>
        </w:rPr>
        <w:t>Rather, the main contribution is to harmonize dissonant views into a unified framework where the merits of each approach can be properly evaluated. The effect of fiscal consolidation on macroeconomic outcomes is ultimately an empirical question. In the absence of randomized controlled trials, we have to rely on observational data. And to measure the causal effect of fiscal consolidations on growth, it is critical that identification assumptions be properly evaluated and that empirical methods be suitably adjusted to the demands of the data.</w:t>
      </w:r>
    </w:p>
    <w:p w14:paraId="53209C21" w14:textId="473C5125" w:rsidR="00921DEB" w:rsidRPr="00921DEB" w:rsidRDefault="00921DEB">
      <w:pPr>
        <w:rPr>
          <w:rFonts w:ascii="LM Roman 10" w:hAnsi="LM Roman 10"/>
          <w:lang w:val="en-US"/>
        </w:rPr>
      </w:pPr>
      <w:r w:rsidRPr="00347ECF">
        <w:rPr>
          <w:lang w:val="en-US"/>
        </w:rPr>
        <w:t xml:space="preserve">This result provides some measure of comfort on the potential validity of the instrument. Our analysis suggests even larger austerity impacts than the IMF study when the economy is growing below its long-run trend, however. This is likely a result of correcting attenuation bias due to the omitted predictors of fiscal consolidation and the re-randomization methods that we use. Generally, in the slump, austerity prolongs the pain, much more so than in the boom. </w:t>
      </w:r>
      <w:proofErr w:type="spellStart"/>
      <w:r>
        <w:t>It</w:t>
      </w:r>
      <w:proofErr w:type="spellEnd"/>
      <w:r>
        <w:t xml:space="preserve"> </w:t>
      </w:r>
      <w:proofErr w:type="spellStart"/>
      <w:r>
        <w:t>appears</w:t>
      </w:r>
      <w:proofErr w:type="spellEnd"/>
      <w:r>
        <w:t xml:space="preserve"> </w:t>
      </w:r>
      <w:proofErr w:type="spellStart"/>
      <w:r>
        <w:t>that</w:t>
      </w:r>
      <w:proofErr w:type="spellEnd"/>
      <w:r>
        <w:t xml:space="preserve"> Keynes </w:t>
      </w:r>
      <w:proofErr w:type="spellStart"/>
      <w:r>
        <w:t>was</w:t>
      </w:r>
      <w:proofErr w:type="spellEnd"/>
      <w:r>
        <w:t xml:space="preserve"> </w:t>
      </w:r>
      <w:proofErr w:type="spellStart"/>
      <w:r>
        <w:t>right</w:t>
      </w:r>
      <w:proofErr w:type="spellEnd"/>
      <w:r>
        <w:t xml:space="preserve"> after </w:t>
      </w:r>
      <w:proofErr w:type="spellStart"/>
      <w:r>
        <w:t>all</w:t>
      </w:r>
      <w:proofErr w:type="spellEnd"/>
      <w:r>
        <w:t>.</w:t>
      </w:r>
    </w:p>
    <w:sectPr w:rsidR="00921DEB" w:rsidRPr="00921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2-06-09T13:08:00Z" w:initials="d">
    <w:p w14:paraId="475468EC" w14:textId="7FA6F12F" w:rsidR="00001D53" w:rsidRDefault="00001D53">
      <w:pPr>
        <w:pStyle w:val="CommentText"/>
      </w:pPr>
      <w:r>
        <w:rPr>
          <w:rStyle w:val="CommentReference"/>
        </w:rPr>
        <w:annotationRef/>
      </w:r>
      <w:proofErr w:type="spellStart"/>
      <w:r>
        <w:t>For</w:t>
      </w:r>
      <w:proofErr w:type="spellEnd"/>
      <w:r>
        <w:t xml:space="preserve"> </w:t>
      </w:r>
      <w:proofErr w:type="spellStart"/>
      <w:r>
        <w:t>results</w:t>
      </w:r>
      <w:proofErr w:type="spellEnd"/>
    </w:p>
  </w:comment>
  <w:comment w:id="2" w:author="dani" w:date="2022-06-12T21:39:00Z" w:initials="d">
    <w:p w14:paraId="30E81485" w14:textId="5F895512" w:rsidR="00EF66E2" w:rsidRDefault="00EF66E2">
      <w:pPr>
        <w:pStyle w:val="CommentText"/>
      </w:pPr>
      <w:r>
        <w:rPr>
          <w:rStyle w:val="CommentReference"/>
        </w:rPr>
        <w:annotationRef/>
      </w:r>
      <w:r>
        <w:t>Columna 6 es del LP para mí</w:t>
      </w:r>
    </w:p>
  </w:comment>
  <w:comment w:id="3" w:author="dani" w:date="2022-07-09T20:40:00Z" w:initials="D">
    <w:p w14:paraId="3572626D" w14:textId="6A8A03FA" w:rsidR="00096A3C" w:rsidRDefault="00096A3C">
      <w:pPr>
        <w:pStyle w:val="CommentText"/>
      </w:pPr>
      <w:r>
        <w:rPr>
          <w:rStyle w:val="CommentReference"/>
        </w:rPr>
        <w:annotationRef/>
      </w:r>
      <w:proofErr w:type="spellStart"/>
      <w:r>
        <w:t>For</w:t>
      </w:r>
      <w:proofErr w:type="spellEnd"/>
      <w:r>
        <w:t xml:space="preserve"> table 4</w:t>
      </w:r>
    </w:p>
  </w:comment>
  <w:comment w:id="4" w:author="dani" w:date="2022-06-15T16:00:00Z" w:initials="d">
    <w:p w14:paraId="55109C61" w14:textId="77777777" w:rsidR="003019B1" w:rsidRDefault="003019B1">
      <w:pPr>
        <w:pStyle w:val="CommentText"/>
        <w:rPr>
          <w:lang w:val="en-US"/>
        </w:rPr>
      </w:pPr>
      <w:r>
        <w:rPr>
          <w:rStyle w:val="CommentReference"/>
        </w:rPr>
        <w:annotationRef/>
      </w:r>
      <w:r w:rsidRPr="003019B1">
        <w:rPr>
          <w:lang w:val="en-US"/>
        </w:rPr>
        <w:t>It is not forecast</w:t>
      </w:r>
      <w:r>
        <w:rPr>
          <w:lang w:val="en-US"/>
        </w:rPr>
        <w:t>able to me.</w:t>
      </w:r>
    </w:p>
    <w:p w14:paraId="3350AC93" w14:textId="26819A7E" w:rsidR="003019B1" w:rsidRPr="003019B1" w:rsidRDefault="003019B1">
      <w:pPr>
        <w:pStyle w:val="CommentText"/>
        <w:rPr>
          <w:lang w:val="en-US"/>
        </w:rPr>
      </w:pPr>
    </w:p>
  </w:comment>
  <w:comment w:id="5" w:author="dani" w:date="2022-06-15T16:35:00Z" w:initials="d">
    <w:p w14:paraId="0E98AC4E" w14:textId="642A055A" w:rsidR="00D94CFB" w:rsidRDefault="00D94CFB">
      <w:pPr>
        <w:pStyle w:val="CommentText"/>
      </w:pPr>
      <w:r>
        <w:rPr>
          <w:rStyle w:val="CommentReference"/>
        </w:rPr>
        <w:annotationRef/>
      </w:r>
      <w:r>
        <w:t>Supuesto 1</w:t>
      </w:r>
    </w:p>
  </w:comment>
  <w:comment w:id="6" w:author="dani" w:date="2022-06-15T16:35:00Z" w:initials="d">
    <w:p w14:paraId="5873D668" w14:textId="5A7AC351" w:rsidR="007025B2" w:rsidRDefault="007025B2">
      <w:pPr>
        <w:pStyle w:val="CommentText"/>
      </w:pPr>
      <w:r>
        <w:rPr>
          <w:rStyle w:val="CommentReference"/>
        </w:rPr>
        <w:annotationRef/>
      </w:r>
      <w:r>
        <w:t>Supuesto 2</w:t>
      </w:r>
    </w:p>
  </w:comment>
  <w:comment w:id="7" w:author="dani" w:date="2022-06-21T16:14:00Z" w:initials="d">
    <w:p w14:paraId="71832695" w14:textId="10D9D963" w:rsidR="006B32C1" w:rsidRDefault="006B32C1">
      <w:pPr>
        <w:pStyle w:val="CommentText"/>
      </w:pPr>
      <w:r>
        <w:rPr>
          <w:rStyle w:val="CommentReference"/>
        </w:rPr>
        <w:annotationRef/>
      </w:r>
      <w:proofErr w:type="spellStart"/>
      <w:r>
        <w:t>Grafico</w:t>
      </w:r>
      <w:proofErr w:type="spellEnd"/>
      <w:r>
        <w:t xml:space="preserve"> de pesos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5468EC" w15:done="0"/>
  <w15:commentEx w15:paraId="30E81485" w15:done="0"/>
  <w15:commentEx w15:paraId="3572626D" w15:done="0"/>
  <w15:commentEx w15:paraId="3350AC93" w15:done="0"/>
  <w15:commentEx w15:paraId="0E98AC4E" w15:done="0"/>
  <w15:commentEx w15:paraId="5873D668" w15:done="0"/>
  <w15:commentEx w15:paraId="718326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6F61" w16cex:dateUtc="2022-06-09T11:08:00Z"/>
  <w16cex:commentExtensible w16cex:durableId="2650DB8B" w16cex:dateUtc="2022-06-12T19:39:00Z"/>
  <w16cex:commentExtensible w16cex:durableId="26746657" w16cex:dateUtc="2022-07-09T18:40:00Z"/>
  <w16cex:commentExtensible w16cex:durableId="26548094" w16cex:dateUtc="2022-06-15T14:00:00Z"/>
  <w16cex:commentExtensible w16cex:durableId="265488E2" w16cex:dateUtc="2022-06-15T14:35:00Z"/>
  <w16cex:commentExtensible w16cex:durableId="265488BB" w16cex:dateUtc="2022-06-15T14:35:00Z"/>
  <w16cex:commentExtensible w16cex:durableId="265C6CFF" w16cex:dateUtc="2022-06-21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468EC" w16cid:durableId="264C6F61"/>
  <w16cid:commentId w16cid:paraId="30E81485" w16cid:durableId="2650DB8B"/>
  <w16cid:commentId w16cid:paraId="3572626D" w16cid:durableId="26746657"/>
  <w16cid:commentId w16cid:paraId="3350AC93" w16cid:durableId="26548094"/>
  <w16cid:commentId w16cid:paraId="0E98AC4E" w16cid:durableId="265488E2"/>
  <w16cid:commentId w16cid:paraId="5873D668" w16cid:durableId="265488BB"/>
  <w16cid:commentId w16cid:paraId="71832695" w16cid:durableId="265C6C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F3184"/>
    <w:multiLevelType w:val="hybridMultilevel"/>
    <w:tmpl w:val="5C767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NDSyMDYwMzUyMjNQ0lEKTi0uzszPAykwtKwFAGCe+A4tAAAA"/>
  </w:docVars>
  <w:rsids>
    <w:rsidRoot w:val="004B7D72"/>
    <w:rsid w:val="00001D53"/>
    <w:rsid w:val="00044875"/>
    <w:rsid w:val="00096A3C"/>
    <w:rsid w:val="000D54D3"/>
    <w:rsid w:val="000D7536"/>
    <w:rsid w:val="000E1502"/>
    <w:rsid w:val="000F2082"/>
    <w:rsid w:val="000F2F0B"/>
    <w:rsid w:val="00144423"/>
    <w:rsid w:val="00155855"/>
    <w:rsid w:val="001C703C"/>
    <w:rsid w:val="001D40C1"/>
    <w:rsid w:val="001D7F43"/>
    <w:rsid w:val="001F5CED"/>
    <w:rsid w:val="00262EC6"/>
    <w:rsid w:val="002F2E45"/>
    <w:rsid w:val="003019B1"/>
    <w:rsid w:val="00314DAE"/>
    <w:rsid w:val="00335F97"/>
    <w:rsid w:val="00347ECF"/>
    <w:rsid w:val="00382542"/>
    <w:rsid w:val="003E6C37"/>
    <w:rsid w:val="00433C50"/>
    <w:rsid w:val="00457F95"/>
    <w:rsid w:val="00476817"/>
    <w:rsid w:val="00481351"/>
    <w:rsid w:val="004A000F"/>
    <w:rsid w:val="004B7D72"/>
    <w:rsid w:val="004D59EA"/>
    <w:rsid w:val="005309C8"/>
    <w:rsid w:val="00554C43"/>
    <w:rsid w:val="00597925"/>
    <w:rsid w:val="005C6F09"/>
    <w:rsid w:val="005D0AA2"/>
    <w:rsid w:val="005E2878"/>
    <w:rsid w:val="005F269A"/>
    <w:rsid w:val="006855EE"/>
    <w:rsid w:val="006B32C1"/>
    <w:rsid w:val="006C5388"/>
    <w:rsid w:val="006E5778"/>
    <w:rsid w:val="007025B2"/>
    <w:rsid w:val="00785207"/>
    <w:rsid w:val="007A2C5B"/>
    <w:rsid w:val="007D516C"/>
    <w:rsid w:val="007E6077"/>
    <w:rsid w:val="007E6120"/>
    <w:rsid w:val="008457E7"/>
    <w:rsid w:val="00850E33"/>
    <w:rsid w:val="0087115D"/>
    <w:rsid w:val="008E1F12"/>
    <w:rsid w:val="00921DEB"/>
    <w:rsid w:val="00972091"/>
    <w:rsid w:val="009943EB"/>
    <w:rsid w:val="009F4092"/>
    <w:rsid w:val="00AC6B0E"/>
    <w:rsid w:val="00AF4101"/>
    <w:rsid w:val="00B26BEA"/>
    <w:rsid w:val="00B338CC"/>
    <w:rsid w:val="00B443C9"/>
    <w:rsid w:val="00B718A5"/>
    <w:rsid w:val="00B933EF"/>
    <w:rsid w:val="00BA3B45"/>
    <w:rsid w:val="00BB09CE"/>
    <w:rsid w:val="00BC68D9"/>
    <w:rsid w:val="00BD5553"/>
    <w:rsid w:val="00CA676D"/>
    <w:rsid w:val="00CD00EE"/>
    <w:rsid w:val="00D335B0"/>
    <w:rsid w:val="00D86FE2"/>
    <w:rsid w:val="00D94CFB"/>
    <w:rsid w:val="00DA6BE5"/>
    <w:rsid w:val="00DC5BB1"/>
    <w:rsid w:val="00DE6F9C"/>
    <w:rsid w:val="00E55F6D"/>
    <w:rsid w:val="00E966E1"/>
    <w:rsid w:val="00ED20B1"/>
    <w:rsid w:val="00EF66E2"/>
    <w:rsid w:val="00F21EF0"/>
    <w:rsid w:val="00F34E70"/>
    <w:rsid w:val="00F363B3"/>
    <w:rsid w:val="00F638C0"/>
    <w:rsid w:val="00F6495E"/>
    <w:rsid w:val="00F86A70"/>
    <w:rsid w:val="00FC4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9DC"/>
  <w15:chartTrackingRefBased/>
  <w15:docId w15:val="{D9F021D3-D148-4399-A5FB-0E96FBF8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45"/>
    <w:pPr>
      <w:ind w:left="720"/>
      <w:contextualSpacing/>
    </w:pPr>
  </w:style>
  <w:style w:type="character" w:styleId="CommentReference">
    <w:name w:val="annotation reference"/>
    <w:basedOn w:val="DefaultParagraphFont"/>
    <w:uiPriority w:val="99"/>
    <w:semiHidden/>
    <w:unhideWhenUsed/>
    <w:rsid w:val="00B718A5"/>
    <w:rPr>
      <w:sz w:val="16"/>
      <w:szCs w:val="16"/>
    </w:rPr>
  </w:style>
  <w:style w:type="paragraph" w:styleId="CommentText">
    <w:name w:val="annotation text"/>
    <w:basedOn w:val="Normal"/>
    <w:link w:val="CommentTextChar"/>
    <w:uiPriority w:val="99"/>
    <w:semiHidden/>
    <w:unhideWhenUsed/>
    <w:rsid w:val="00B718A5"/>
    <w:pPr>
      <w:spacing w:line="240" w:lineRule="auto"/>
    </w:pPr>
    <w:rPr>
      <w:sz w:val="20"/>
      <w:szCs w:val="20"/>
    </w:rPr>
  </w:style>
  <w:style w:type="character" w:customStyle="1" w:styleId="CommentTextChar">
    <w:name w:val="Comment Text Char"/>
    <w:basedOn w:val="DefaultParagraphFont"/>
    <w:link w:val="CommentText"/>
    <w:uiPriority w:val="99"/>
    <w:semiHidden/>
    <w:rsid w:val="00B718A5"/>
    <w:rPr>
      <w:sz w:val="20"/>
      <w:szCs w:val="20"/>
    </w:rPr>
  </w:style>
  <w:style w:type="paragraph" w:styleId="CommentSubject">
    <w:name w:val="annotation subject"/>
    <w:basedOn w:val="CommentText"/>
    <w:next w:val="CommentText"/>
    <w:link w:val="CommentSubjectChar"/>
    <w:uiPriority w:val="99"/>
    <w:semiHidden/>
    <w:unhideWhenUsed/>
    <w:rsid w:val="00B718A5"/>
    <w:rPr>
      <w:b/>
      <w:bCs/>
    </w:rPr>
  </w:style>
  <w:style w:type="character" w:customStyle="1" w:styleId="CommentSubjectChar">
    <w:name w:val="Comment Subject Char"/>
    <w:basedOn w:val="CommentTextChar"/>
    <w:link w:val="CommentSubject"/>
    <w:uiPriority w:val="99"/>
    <w:semiHidden/>
    <w:rsid w:val="00B718A5"/>
    <w:rPr>
      <w:b/>
      <w:bCs/>
      <w:sz w:val="20"/>
      <w:szCs w:val="20"/>
    </w:rPr>
  </w:style>
  <w:style w:type="character" w:styleId="Hyperlink">
    <w:name w:val="Hyperlink"/>
    <w:basedOn w:val="DefaultParagraphFont"/>
    <w:uiPriority w:val="99"/>
    <w:unhideWhenUsed/>
    <w:rsid w:val="001F5CED"/>
    <w:rPr>
      <w:color w:val="0563C1" w:themeColor="hyperlink"/>
      <w:u w:val="single"/>
    </w:rPr>
  </w:style>
  <w:style w:type="character" w:styleId="UnresolvedMention">
    <w:name w:val="Unresolved Mention"/>
    <w:basedOn w:val="DefaultParagraphFont"/>
    <w:uiPriority w:val="99"/>
    <w:semiHidden/>
    <w:unhideWhenUsed/>
    <w:rsid w:val="001F5CED"/>
    <w:rPr>
      <w:color w:val="605E5C"/>
      <w:shd w:val="clear" w:color="auto" w:fill="E1DFDD"/>
    </w:rPr>
  </w:style>
  <w:style w:type="character" w:styleId="FollowedHyperlink">
    <w:name w:val="FollowedHyperlink"/>
    <w:basedOn w:val="DefaultParagraphFont"/>
    <w:uiPriority w:val="99"/>
    <w:semiHidden/>
    <w:unhideWhenUsed/>
    <w:rsid w:val="007D51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511">
      <w:bodyDiv w:val="1"/>
      <w:marLeft w:val="0"/>
      <w:marRight w:val="0"/>
      <w:marTop w:val="0"/>
      <w:marBottom w:val="0"/>
      <w:divBdr>
        <w:top w:val="none" w:sz="0" w:space="0" w:color="auto"/>
        <w:left w:val="none" w:sz="0" w:space="0" w:color="auto"/>
        <w:bottom w:val="none" w:sz="0" w:space="0" w:color="auto"/>
        <w:right w:val="none" w:sz="0" w:space="0" w:color="auto"/>
      </w:divBdr>
    </w:div>
    <w:div w:id="241834831">
      <w:bodyDiv w:val="1"/>
      <w:marLeft w:val="0"/>
      <w:marRight w:val="0"/>
      <w:marTop w:val="0"/>
      <w:marBottom w:val="0"/>
      <w:divBdr>
        <w:top w:val="none" w:sz="0" w:space="0" w:color="auto"/>
        <w:left w:val="none" w:sz="0" w:space="0" w:color="auto"/>
        <w:bottom w:val="none" w:sz="0" w:space="0" w:color="auto"/>
        <w:right w:val="none" w:sz="0" w:space="0" w:color="auto"/>
      </w:divBdr>
    </w:div>
    <w:div w:id="301227648">
      <w:bodyDiv w:val="1"/>
      <w:marLeft w:val="0"/>
      <w:marRight w:val="0"/>
      <w:marTop w:val="0"/>
      <w:marBottom w:val="0"/>
      <w:divBdr>
        <w:top w:val="none" w:sz="0" w:space="0" w:color="auto"/>
        <w:left w:val="none" w:sz="0" w:space="0" w:color="auto"/>
        <w:bottom w:val="none" w:sz="0" w:space="0" w:color="auto"/>
        <w:right w:val="none" w:sz="0" w:space="0" w:color="auto"/>
      </w:divBdr>
    </w:div>
    <w:div w:id="333383281">
      <w:bodyDiv w:val="1"/>
      <w:marLeft w:val="0"/>
      <w:marRight w:val="0"/>
      <w:marTop w:val="0"/>
      <w:marBottom w:val="0"/>
      <w:divBdr>
        <w:top w:val="none" w:sz="0" w:space="0" w:color="auto"/>
        <w:left w:val="none" w:sz="0" w:space="0" w:color="auto"/>
        <w:bottom w:val="none" w:sz="0" w:space="0" w:color="auto"/>
        <w:right w:val="none" w:sz="0" w:space="0" w:color="auto"/>
      </w:divBdr>
    </w:div>
    <w:div w:id="473134089">
      <w:bodyDiv w:val="1"/>
      <w:marLeft w:val="0"/>
      <w:marRight w:val="0"/>
      <w:marTop w:val="0"/>
      <w:marBottom w:val="0"/>
      <w:divBdr>
        <w:top w:val="none" w:sz="0" w:space="0" w:color="auto"/>
        <w:left w:val="none" w:sz="0" w:space="0" w:color="auto"/>
        <w:bottom w:val="none" w:sz="0" w:space="0" w:color="auto"/>
        <w:right w:val="none" w:sz="0" w:space="0" w:color="auto"/>
      </w:divBdr>
    </w:div>
    <w:div w:id="475488946">
      <w:bodyDiv w:val="1"/>
      <w:marLeft w:val="0"/>
      <w:marRight w:val="0"/>
      <w:marTop w:val="0"/>
      <w:marBottom w:val="0"/>
      <w:divBdr>
        <w:top w:val="none" w:sz="0" w:space="0" w:color="auto"/>
        <w:left w:val="none" w:sz="0" w:space="0" w:color="auto"/>
        <w:bottom w:val="none" w:sz="0" w:space="0" w:color="auto"/>
        <w:right w:val="none" w:sz="0" w:space="0" w:color="auto"/>
      </w:divBdr>
    </w:div>
    <w:div w:id="869685954">
      <w:bodyDiv w:val="1"/>
      <w:marLeft w:val="0"/>
      <w:marRight w:val="0"/>
      <w:marTop w:val="0"/>
      <w:marBottom w:val="0"/>
      <w:divBdr>
        <w:top w:val="none" w:sz="0" w:space="0" w:color="auto"/>
        <w:left w:val="none" w:sz="0" w:space="0" w:color="auto"/>
        <w:bottom w:val="none" w:sz="0" w:space="0" w:color="auto"/>
        <w:right w:val="none" w:sz="0" w:space="0" w:color="auto"/>
      </w:divBdr>
    </w:div>
    <w:div w:id="938292541">
      <w:bodyDiv w:val="1"/>
      <w:marLeft w:val="0"/>
      <w:marRight w:val="0"/>
      <w:marTop w:val="0"/>
      <w:marBottom w:val="0"/>
      <w:divBdr>
        <w:top w:val="none" w:sz="0" w:space="0" w:color="auto"/>
        <w:left w:val="none" w:sz="0" w:space="0" w:color="auto"/>
        <w:bottom w:val="none" w:sz="0" w:space="0" w:color="auto"/>
        <w:right w:val="none" w:sz="0" w:space="0" w:color="auto"/>
      </w:divBdr>
    </w:div>
    <w:div w:id="963850383">
      <w:bodyDiv w:val="1"/>
      <w:marLeft w:val="0"/>
      <w:marRight w:val="0"/>
      <w:marTop w:val="0"/>
      <w:marBottom w:val="0"/>
      <w:divBdr>
        <w:top w:val="none" w:sz="0" w:space="0" w:color="auto"/>
        <w:left w:val="none" w:sz="0" w:space="0" w:color="auto"/>
        <w:bottom w:val="none" w:sz="0" w:space="0" w:color="auto"/>
        <w:right w:val="none" w:sz="0" w:space="0" w:color="auto"/>
      </w:divBdr>
    </w:div>
    <w:div w:id="1051461680">
      <w:bodyDiv w:val="1"/>
      <w:marLeft w:val="0"/>
      <w:marRight w:val="0"/>
      <w:marTop w:val="0"/>
      <w:marBottom w:val="0"/>
      <w:divBdr>
        <w:top w:val="none" w:sz="0" w:space="0" w:color="auto"/>
        <w:left w:val="none" w:sz="0" w:space="0" w:color="auto"/>
        <w:bottom w:val="none" w:sz="0" w:space="0" w:color="auto"/>
        <w:right w:val="none" w:sz="0" w:space="0" w:color="auto"/>
      </w:divBdr>
    </w:div>
    <w:div w:id="1073549149">
      <w:bodyDiv w:val="1"/>
      <w:marLeft w:val="0"/>
      <w:marRight w:val="0"/>
      <w:marTop w:val="0"/>
      <w:marBottom w:val="0"/>
      <w:divBdr>
        <w:top w:val="none" w:sz="0" w:space="0" w:color="auto"/>
        <w:left w:val="none" w:sz="0" w:space="0" w:color="auto"/>
        <w:bottom w:val="none" w:sz="0" w:space="0" w:color="auto"/>
        <w:right w:val="none" w:sz="0" w:space="0" w:color="auto"/>
      </w:divBdr>
    </w:div>
    <w:div w:id="1093861627">
      <w:bodyDiv w:val="1"/>
      <w:marLeft w:val="0"/>
      <w:marRight w:val="0"/>
      <w:marTop w:val="0"/>
      <w:marBottom w:val="0"/>
      <w:divBdr>
        <w:top w:val="none" w:sz="0" w:space="0" w:color="auto"/>
        <w:left w:val="none" w:sz="0" w:space="0" w:color="auto"/>
        <w:bottom w:val="none" w:sz="0" w:space="0" w:color="auto"/>
        <w:right w:val="none" w:sz="0" w:space="0" w:color="auto"/>
      </w:divBdr>
    </w:div>
    <w:div w:id="1189219744">
      <w:bodyDiv w:val="1"/>
      <w:marLeft w:val="0"/>
      <w:marRight w:val="0"/>
      <w:marTop w:val="0"/>
      <w:marBottom w:val="0"/>
      <w:divBdr>
        <w:top w:val="none" w:sz="0" w:space="0" w:color="auto"/>
        <w:left w:val="none" w:sz="0" w:space="0" w:color="auto"/>
        <w:bottom w:val="none" w:sz="0" w:space="0" w:color="auto"/>
        <w:right w:val="none" w:sz="0" w:space="0" w:color="auto"/>
      </w:divBdr>
    </w:div>
    <w:div w:id="1327975144">
      <w:bodyDiv w:val="1"/>
      <w:marLeft w:val="0"/>
      <w:marRight w:val="0"/>
      <w:marTop w:val="0"/>
      <w:marBottom w:val="0"/>
      <w:divBdr>
        <w:top w:val="none" w:sz="0" w:space="0" w:color="auto"/>
        <w:left w:val="none" w:sz="0" w:space="0" w:color="auto"/>
        <w:bottom w:val="none" w:sz="0" w:space="0" w:color="auto"/>
        <w:right w:val="none" w:sz="0" w:space="0" w:color="auto"/>
      </w:divBdr>
    </w:div>
    <w:div w:id="1370374852">
      <w:bodyDiv w:val="1"/>
      <w:marLeft w:val="0"/>
      <w:marRight w:val="0"/>
      <w:marTop w:val="0"/>
      <w:marBottom w:val="0"/>
      <w:divBdr>
        <w:top w:val="none" w:sz="0" w:space="0" w:color="auto"/>
        <w:left w:val="none" w:sz="0" w:space="0" w:color="auto"/>
        <w:bottom w:val="none" w:sz="0" w:space="0" w:color="auto"/>
        <w:right w:val="none" w:sz="0" w:space="0" w:color="auto"/>
      </w:divBdr>
    </w:div>
    <w:div w:id="1407453589">
      <w:bodyDiv w:val="1"/>
      <w:marLeft w:val="0"/>
      <w:marRight w:val="0"/>
      <w:marTop w:val="0"/>
      <w:marBottom w:val="0"/>
      <w:divBdr>
        <w:top w:val="none" w:sz="0" w:space="0" w:color="auto"/>
        <w:left w:val="none" w:sz="0" w:space="0" w:color="auto"/>
        <w:bottom w:val="none" w:sz="0" w:space="0" w:color="auto"/>
        <w:right w:val="none" w:sz="0" w:space="0" w:color="auto"/>
      </w:divBdr>
    </w:div>
    <w:div w:id="1586038170">
      <w:bodyDiv w:val="1"/>
      <w:marLeft w:val="0"/>
      <w:marRight w:val="0"/>
      <w:marTop w:val="0"/>
      <w:marBottom w:val="0"/>
      <w:divBdr>
        <w:top w:val="none" w:sz="0" w:space="0" w:color="auto"/>
        <w:left w:val="none" w:sz="0" w:space="0" w:color="auto"/>
        <w:bottom w:val="none" w:sz="0" w:space="0" w:color="auto"/>
        <w:right w:val="none" w:sz="0" w:space="0" w:color="auto"/>
      </w:divBdr>
    </w:div>
    <w:div w:id="1623654703">
      <w:bodyDiv w:val="1"/>
      <w:marLeft w:val="0"/>
      <w:marRight w:val="0"/>
      <w:marTop w:val="0"/>
      <w:marBottom w:val="0"/>
      <w:divBdr>
        <w:top w:val="none" w:sz="0" w:space="0" w:color="auto"/>
        <w:left w:val="none" w:sz="0" w:space="0" w:color="auto"/>
        <w:bottom w:val="none" w:sz="0" w:space="0" w:color="auto"/>
        <w:right w:val="none" w:sz="0" w:space="0" w:color="auto"/>
      </w:divBdr>
    </w:div>
    <w:div w:id="1747147587">
      <w:bodyDiv w:val="1"/>
      <w:marLeft w:val="0"/>
      <w:marRight w:val="0"/>
      <w:marTop w:val="0"/>
      <w:marBottom w:val="0"/>
      <w:divBdr>
        <w:top w:val="none" w:sz="0" w:space="0" w:color="auto"/>
        <w:left w:val="none" w:sz="0" w:space="0" w:color="auto"/>
        <w:bottom w:val="none" w:sz="0" w:space="0" w:color="auto"/>
        <w:right w:val="none" w:sz="0" w:space="0" w:color="auto"/>
      </w:divBdr>
    </w:div>
    <w:div w:id="1837571644">
      <w:bodyDiv w:val="1"/>
      <w:marLeft w:val="0"/>
      <w:marRight w:val="0"/>
      <w:marTop w:val="0"/>
      <w:marBottom w:val="0"/>
      <w:divBdr>
        <w:top w:val="none" w:sz="0" w:space="0" w:color="auto"/>
        <w:left w:val="none" w:sz="0" w:space="0" w:color="auto"/>
        <w:bottom w:val="none" w:sz="0" w:space="0" w:color="auto"/>
        <w:right w:val="none" w:sz="0" w:space="0" w:color="auto"/>
      </w:divBdr>
    </w:div>
    <w:div w:id="2133161791">
      <w:bodyDiv w:val="1"/>
      <w:marLeft w:val="0"/>
      <w:marRight w:val="0"/>
      <w:marTop w:val="0"/>
      <w:marBottom w:val="0"/>
      <w:divBdr>
        <w:top w:val="none" w:sz="0" w:space="0" w:color="auto"/>
        <w:left w:val="none" w:sz="0" w:space="0" w:color="auto"/>
        <w:bottom w:val="none" w:sz="0" w:space="0" w:color="auto"/>
        <w:right w:val="none" w:sz="0" w:space="0" w:color="auto"/>
      </w:divBdr>
    </w:div>
    <w:div w:id="2142721236">
      <w:bodyDiv w:val="1"/>
      <w:marLeft w:val="0"/>
      <w:marRight w:val="0"/>
      <w:marTop w:val="0"/>
      <w:marBottom w:val="0"/>
      <w:divBdr>
        <w:top w:val="none" w:sz="0" w:space="0" w:color="auto"/>
        <w:left w:val="none" w:sz="0" w:space="0" w:color="auto"/>
        <w:bottom w:val="none" w:sz="0" w:space="0" w:color="auto"/>
        <w:right w:val="none" w:sz="0" w:space="0" w:color="auto"/>
      </w:divBdr>
    </w:div>
    <w:div w:id="21433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bookdown.org/ccolonescu/RPoE4/RPoE.pdf"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11</Pages>
  <Words>3839</Words>
  <Characters>21116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54</cp:revision>
  <dcterms:created xsi:type="dcterms:W3CDTF">2022-04-22T14:28:00Z</dcterms:created>
  <dcterms:modified xsi:type="dcterms:W3CDTF">2022-08-20T12:06:00Z</dcterms:modified>
</cp:coreProperties>
</file>