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(see, in particular, Alesina and Ardagna 2010; Guajardo, Leigh, and Pescatori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propensity-score weighted regression adjustment methods (Robins, Rotnizky, and Zhao 1994; Robins 1999; Scharfstein, Rotnitzky, and Robins 1999; Hirano, Imbens, and Ridder 2003; Lunceford and Davidian 2004; Imbens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(Jorda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responses easily, and indeed we find that the effects of fiscal policy can be very different in the boom and the slump, as emphasized by Keynes in the 1930s. State-dependent multipliers based on LPs have been taken up in some very recent papers (Auerbach and Gorodnichenko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73C77BF9" w:rsidR="006E5778" w:rsidRPr="00F86A70"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62BB70F1" w14:textId="77777777" w:rsidR="001D7F43" w:rsidRPr="001D7F43" w:rsidRDefault="004B7D72" w:rsidP="001D7F43">
      <w:pPr>
        <w:jc w:val="both"/>
        <w:rPr>
          <w:rFonts w:ascii="LM Roman 10" w:hAnsi="LM Roman 10"/>
          <w:lang w:val="en-US"/>
        </w:rPr>
      </w:pPr>
      <w:r w:rsidRPr="00F86A70">
        <w:fldChar w:fldCharType="begin"/>
      </w:r>
      <w:r w:rsidRPr="00F86A70">
        <w:rPr>
          <w:lang w:val="en-US"/>
        </w:rPr>
        <w:instrText xml:space="preserve"> LINK </w:instrText>
      </w:r>
      <w:r w:rsidR="00262EC6">
        <w:rPr>
          <w:lang w:val="en-US"/>
        </w:rPr>
        <w:instrText xml:space="preserve">Excel.Sheet.12 "D:\\GitRepo\\Inequality\\LP tables.xlsx" Sheet1!R2C1:R36C6 </w:instrText>
      </w:r>
      <w:r w:rsidRPr="00F86A70">
        <w:rPr>
          <w:lang w:val="en-US"/>
        </w:rPr>
        <w:instrText xml:space="preserve">\a \f 4 \h  \* MERGEFORMAT </w:instrText>
      </w:r>
      <w:r w:rsidR="001D7F43" w:rsidRPr="00F86A70">
        <w:fldChar w:fldCharType="separate"/>
      </w:r>
    </w:p>
    <w:tbl>
      <w:tblPr>
        <w:tblW w:w="7691" w:type="dxa"/>
        <w:jc w:val="center"/>
        <w:tblCellMar>
          <w:left w:w="70" w:type="dxa"/>
          <w:right w:w="70" w:type="dxa"/>
        </w:tblCellMar>
        <w:tblLook w:val="04A0" w:firstRow="1" w:lastRow="0" w:firstColumn="1" w:lastColumn="0" w:noHBand="0" w:noVBand="1"/>
      </w:tblPr>
      <w:tblGrid>
        <w:gridCol w:w="1980"/>
        <w:gridCol w:w="1139"/>
        <w:gridCol w:w="1015"/>
        <w:gridCol w:w="1015"/>
        <w:gridCol w:w="1212"/>
        <w:gridCol w:w="1134"/>
        <w:gridCol w:w="6"/>
        <w:gridCol w:w="190"/>
      </w:tblGrid>
      <w:tr w:rsidR="006855EE" w:rsidRPr="001D7F43" w14:paraId="0AFA05FC" w14:textId="77777777" w:rsidTr="006855EE">
        <w:trPr>
          <w:divId w:val="1093861627"/>
          <w:trHeight w:val="20"/>
          <w:jc w:val="center"/>
        </w:trPr>
        <w:tc>
          <w:tcPr>
            <w:tcW w:w="7501" w:type="dxa"/>
            <w:gridSpan w:val="7"/>
            <w:tcBorders>
              <w:top w:val="nil"/>
              <w:left w:val="nil"/>
              <w:bottom w:val="double" w:sz="6" w:space="0" w:color="auto"/>
              <w:right w:val="nil"/>
            </w:tcBorders>
            <w:shd w:val="clear" w:color="auto" w:fill="FFFFFF" w:themeFill="background1"/>
            <w:noWrap/>
            <w:vAlign w:val="bottom"/>
            <w:hideMark/>
          </w:tcPr>
          <w:p w14:paraId="1EF45CEF" w14:textId="53136037" w:rsidR="006855EE" w:rsidRPr="001D7F43" w:rsidRDefault="006855EE" w:rsidP="006855EE">
            <w:pPr>
              <w:spacing w:after="0" w:line="240" w:lineRule="auto"/>
              <w:jc w:val="center"/>
              <w:rPr>
                <w:rFonts w:ascii="LM Roman 10" w:eastAsia="Times New Roman" w:hAnsi="LM Roman 10" w:cs="Calibri"/>
                <w:sz w:val="18"/>
                <w:szCs w:val="18"/>
                <w:lang w:val="en-US" w:eastAsia="es-ES"/>
              </w:rPr>
            </w:pPr>
            <w:r w:rsidRPr="001D7F43">
              <w:rPr>
                <w:rFonts w:ascii="LM Roman 10" w:eastAsia="Times New Roman" w:hAnsi="LM Roman 10" w:cs="Calibri"/>
                <w:sz w:val="20"/>
                <w:szCs w:val="20"/>
                <w:lang w:val="en-US" w:eastAsia="es-ES"/>
              </w:rPr>
              <w:t xml:space="preserve">Fiscal multiplier, </w:t>
            </w:r>
            <w:proofErr w:type="gramStart"/>
            <w:r w:rsidRPr="001D7F43">
              <w:rPr>
                <w:rFonts w:ascii="LM Roman 10" w:eastAsia="Times New Roman" w:hAnsi="LM Roman 10" w:cs="Calibri"/>
                <w:sz w:val="20"/>
                <w:szCs w:val="20"/>
                <w:lang w:val="en-US" w:eastAsia="es-ES"/>
              </w:rPr>
              <w:t>d.CAPB</w:t>
            </w:r>
            <w:proofErr w:type="gramEnd"/>
            <w:r w:rsidRPr="001D7F43">
              <w:rPr>
                <w:rFonts w:ascii="LM Roman 10" w:eastAsia="Times New Roman" w:hAnsi="LM Roman 10" w:cs="Calibri"/>
                <w:sz w:val="20"/>
                <w:szCs w:val="20"/>
                <w:lang w:val="en-US" w:eastAsia="es-ES"/>
              </w:rPr>
              <w:t>, OLS estimate, booms v. slumps</w:t>
            </w:r>
          </w:p>
        </w:tc>
        <w:tc>
          <w:tcPr>
            <w:tcW w:w="190" w:type="dxa"/>
            <w:tcBorders>
              <w:top w:val="nil"/>
              <w:left w:val="nil"/>
              <w:bottom w:val="double" w:sz="6" w:space="0" w:color="auto"/>
              <w:right w:val="nil"/>
            </w:tcBorders>
            <w:shd w:val="clear" w:color="auto" w:fill="auto"/>
            <w:noWrap/>
            <w:vAlign w:val="bottom"/>
            <w:hideMark/>
          </w:tcPr>
          <w:p w14:paraId="1F9DFCDA" w14:textId="77777777" w:rsidR="006855EE" w:rsidRPr="001D7F43" w:rsidRDefault="006855EE" w:rsidP="001D7F43">
            <w:pPr>
              <w:spacing w:after="0" w:line="240" w:lineRule="auto"/>
              <w:rPr>
                <w:rFonts w:ascii="Calibri" w:eastAsia="Times New Roman" w:hAnsi="Calibri" w:cs="Calibri"/>
                <w:color w:val="000000"/>
                <w:lang w:val="en-US" w:eastAsia="es-ES"/>
              </w:rPr>
            </w:pPr>
            <w:r w:rsidRPr="001D7F43">
              <w:rPr>
                <w:rFonts w:ascii="Calibri" w:eastAsia="Times New Roman" w:hAnsi="Calibri" w:cs="Calibri"/>
                <w:color w:val="000000"/>
                <w:lang w:val="en-US" w:eastAsia="es-ES"/>
              </w:rPr>
              <w:t> </w:t>
            </w:r>
          </w:p>
        </w:tc>
      </w:tr>
      <w:tr w:rsidR="001D7F43" w:rsidRPr="001D7F43" w14:paraId="269FB04B"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4C45B05" w14:textId="77777777" w:rsidR="001D7F43" w:rsidRPr="001D7F43" w:rsidRDefault="001D7F43" w:rsidP="006855EE">
            <w:pPr>
              <w:spacing w:after="0" w:line="240" w:lineRule="auto"/>
              <w:jc w:val="center"/>
              <w:rPr>
                <w:rFonts w:ascii="LM Roman 10" w:eastAsia="Times New Roman" w:hAnsi="LM Roman 10" w:cs="Calibri"/>
                <w:sz w:val="18"/>
                <w:szCs w:val="18"/>
                <w:lang w:val="en-US" w:eastAsia="es-ES"/>
              </w:rPr>
            </w:pPr>
          </w:p>
        </w:tc>
        <w:tc>
          <w:tcPr>
            <w:tcW w:w="1139" w:type="dxa"/>
            <w:tcBorders>
              <w:top w:val="nil"/>
              <w:left w:val="nil"/>
              <w:bottom w:val="nil"/>
              <w:right w:val="nil"/>
            </w:tcBorders>
            <w:shd w:val="clear" w:color="auto" w:fill="FFFFFF" w:themeFill="background1"/>
            <w:noWrap/>
            <w:vAlign w:val="bottom"/>
            <w:hideMark/>
          </w:tcPr>
          <w:p w14:paraId="6BE48F1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w:t>
            </w:r>
          </w:p>
        </w:tc>
        <w:tc>
          <w:tcPr>
            <w:tcW w:w="1015" w:type="dxa"/>
            <w:tcBorders>
              <w:top w:val="nil"/>
              <w:left w:val="nil"/>
              <w:bottom w:val="nil"/>
              <w:right w:val="nil"/>
            </w:tcBorders>
            <w:shd w:val="clear" w:color="auto" w:fill="FFFFFF" w:themeFill="background1"/>
            <w:noWrap/>
            <w:vAlign w:val="bottom"/>
            <w:hideMark/>
          </w:tcPr>
          <w:p w14:paraId="3A5162D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w:t>
            </w:r>
          </w:p>
        </w:tc>
        <w:tc>
          <w:tcPr>
            <w:tcW w:w="1015" w:type="dxa"/>
            <w:tcBorders>
              <w:top w:val="nil"/>
              <w:left w:val="nil"/>
              <w:bottom w:val="nil"/>
              <w:right w:val="nil"/>
            </w:tcBorders>
            <w:shd w:val="clear" w:color="auto" w:fill="FFFFFF" w:themeFill="background1"/>
            <w:noWrap/>
            <w:vAlign w:val="bottom"/>
            <w:hideMark/>
          </w:tcPr>
          <w:p w14:paraId="5F4ABF3B"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(3)</w:t>
            </w:r>
          </w:p>
        </w:tc>
        <w:tc>
          <w:tcPr>
            <w:tcW w:w="1212" w:type="dxa"/>
            <w:tcBorders>
              <w:top w:val="nil"/>
              <w:left w:val="nil"/>
              <w:bottom w:val="nil"/>
              <w:right w:val="nil"/>
            </w:tcBorders>
            <w:shd w:val="clear" w:color="auto" w:fill="FFFFFF" w:themeFill="background1"/>
            <w:noWrap/>
            <w:vAlign w:val="bottom"/>
            <w:hideMark/>
          </w:tcPr>
          <w:p w14:paraId="5197197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(4)</w:t>
            </w:r>
          </w:p>
        </w:tc>
        <w:tc>
          <w:tcPr>
            <w:tcW w:w="1134" w:type="dxa"/>
            <w:tcBorders>
              <w:top w:val="nil"/>
              <w:left w:val="nil"/>
              <w:bottom w:val="nil"/>
              <w:right w:val="nil"/>
            </w:tcBorders>
            <w:shd w:val="clear" w:color="auto" w:fill="FFFFFF" w:themeFill="background1"/>
            <w:noWrap/>
            <w:vAlign w:val="bottom"/>
            <w:hideMark/>
          </w:tcPr>
          <w:p w14:paraId="2CB7EA2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(5)</w:t>
            </w:r>
          </w:p>
        </w:tc>
      </w:tr>
      <w:tr w:rsidR="001D7F43" w:rsidRPr="001D7F43" w14:paraId="0CACE7AA" w14:textId="77777777" w:rsidTr="006855EE">
        <w:trPr>
          <w:gridAfter w:val="2"/>
          <w:divId w:val="1093861627"/>
          <w:wAfter w:w="196" w:type="dxa"/>
          <w:trHeight w:val="20"/>
          <w:jc w:val="center"/>
        </w:trPr>
        <w:tc>
          <w:tcPr>
            <w:tcW w:w="1980" w:type="dxa"/>
            <w:tcBorders>
              <w:top w:val="nil"/>
              <w:left w:val="nil"/>
              <w:bottom w:val="double" w:sz="6" w:space="0" w:color="auto"/>
              <w:right w:val="nil"/>
            </w:tcBorders>
            <w:shd w:val="clear" w:color="auto" w:fill="FFFFFF" w:themeFill="background1"/>
            <w:noWrap/>
            <w:vAlign w:val="bottom"/>
            <w:hideMark/>
          </w:tcPr>
          <w:p w14:paraId="573AEEF5" w14:textId="46EBF552" w:rsidR="001D7F43" w:rsidRPr="001D7F43" w:rsidRDefault="001D7F43" w:rsidP="006855EE">
            <w:pPr>
              <w:spacing w:after="0" w:line="240" w:lineRule="auto"/>
              <w:jc w:val="center"/>
              <w:rPr>
                <w:rFonts w:ascii="LM Roman 10" w:eastAsia="Times New Roman" w:hAnsi="LM Roman 10" w:cs="Calibri"/>
                <w:sz w:val="18"/>
                <w:szCs w:val="18"/>
                <w:lang w:eastAsia="es-ES"/>
              </w:rPr>
            </w:pPr>
          </w:p>
        </w:tc>
        <w:tc>
          <w:tcPr>
            <w:tcW w:w="1139" w:type="dxa"/>
            <w:tcBorders>
              <w:top w:val="nil"/>
              <w:left w:val="nil"/>
              <w:bottom w:val="double" w:sz="6" w:space="0" w:color="auto"/>
              <w:right w:val="nil"/>
            </w:tcBorders>
            <w:shd w:val="clear" w:color="auto" w:fill="FFFFFF" w:themeFill="background1"/>
            <w:noWrap/>
            <w:vAlign w:val="bottom"/>
            <w:hideMark/>
          </w:tcPr>
          <w:p w14:paraId="0AEE124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Year 1</w:t>
            </w:r>
          </w:p>
        </w:tc>
        <w:tc>
          <w:tcPr>
            <w:tcW w:w="1015" w:type="dxa"/>
            <w:tcBorders>
              <w:top w:val="nil"/>
              <w:left w:val="nil"/>
              <w:bottom w:val="double" w:sz="6" w:space="0" w:color="auto"/>
              <w:right w:val="nil"/>
            </w:tcBorders>
            <w:shd w:val="clear" w:color="auto" w:fill="FFFFFF" w:themeFill="background1"/>
            <w:noWrap/>
            <w:vAlign w:val="bottom"/>
            <w:hideMark/>
          </w:tcPr>
          <w:p w14:paraId="6A412A5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Year 2</w:t>
            </w:r>
          </w:p>
        </w:tc>
        <w:tc>
          <w:tcPr>
            <w:tcW w:w="1015" w:type="dxa"/>
            <w:tcBorders>
              <w:top w:val="nil"/>
              <w:left w:val="nil"/>
              <w:bottom w:val="double" w:sz="6" w:space="0" w:color="auto"/>
              <w:right w:val="nil"/>
            </w:tcBorders>
            <w:shd w:val="clear" w:color="auto" w:fill="FFFFFF" w:themeFill="background1"/>
            <w:noWrap/>
            <w:vAlign w:val="bottom"/>
            <w:hideMark/>
          </w:tcPr>
          <w:p w14:paraId="6102ADB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Year 3</w:t>
            </w:r>
          </w:p>
        </w:tc>
        <w:tc>
          <w:tcPr>
            <w:tcW w:w="1212" w:type="dxa"/>
            <w:tcBorders>
              <w:top w:val="nil"/>
              <w:left w:val="nil"/>
              <w:bottom w:val="double" w:sz="6" w:space="0" w:color="auto"/>
              <w:right w:val="nil"/>
            </w:tcBorders>
            <w:shd w:val="clear" w:color="auto" w:fill="FFFFFF" w:themeFill="background1"/>
            <w:noWrap/>
            <w:vAlign w:val="bottom"/>
            <w:hideMark/>
          </w:tcPr>
          <w:p w14:paraId="3ED00CD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Year 4</w:t>
            </w:r>
          </w:p>
        </w:tc>
        <w:tc>
          <w:tcPr>
            <w:tcW w:w="1134" w:type="dxa"/>
            <w:tcBorders>
              <w:top w:val="nil"/>
              <w:left w:val="nil"/>
              <w:bottom w:val="double" w:sz="6" w:space="0" w:color="auto"/>
              <w:right w:val="nil"/>
            </w:tcBorders>
            <w:shd w:val="clear" w:color="auto" w:fill="FFFFFF" w:themeFill="background1"/>
            <w:noWrap/>
            <w:vAlign w:val="bottom"/>
            <w:hideMark/>
          </w:tcPr>
          <w:p w14:paraId="4E89847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Year 5</w:t>
            </w:r>
          </w:p>
        </w:tc>
      </w:tr>
      <w:tr w:rsidR="001D7F43" w:rsidRPr="001D7F43" w14:paraId="73994AC3"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60400AF8"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Education expend.</w:t>
            </w:r>
          </w:p>
        </w:tc>
        <w:tc>
          <w:tcPr>
            <w:tcW w:w="1139" w:type="dxa"/>
            <w:tcBorders>
              <w:top w:val="nil"/>
              <w:left w:val="nil"/>
              <w:bottom w:val="nil"/>
              <w:right w:val="nil"/>
            </w:tcBorders>
            <w:shd w:val="clear" w:color="auto" w:fill="FFFFFF" w:themeFill="background1"/>
            <w:noWrap/>
            <w:vAlign w:val="bottom"/>
            <w:hideMark/>
          </w:tcPr>
          <w:p w14:paraId="13F1BE5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-0.00068</w:t>
            </w:r>
          </w:p>
        </w:tc>
        <w:tc>
          <w:tcPr>
            <w:tcW w:w="1015" w:type="dxa"/>
            <w:tcBorders>
              <w:top w:val="nil"/>
              <w:left w:val="nil"/>
              <w:bottom w:val="nil"/>
              <w:right w:val="nil"/>
            </w:tcBorders>
            <w:shd w:val="clear" w:color="auto" w:fill="FFFFFF" w:themeFill="background1"/>
            <w:noWrap/>
            <w:vAlign w:val="bottom"/>
            <w:hideMark/>
          </w:tcPr>
          <w:p w14:paraId="3C20A95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-0.06626</w:t>
            </w:r>
          </w:p>
        </w:tc>
        <w:tc>
          <w:tcPr>
            <w:tcW w:w="1015" w:type="dxa"/>
            <w:tcBorders>
              <w:top w:val="nil"/>
              <w:left w:val="nil"/>
              <w:bottom w:val="nil"/>
              <w:right w:val="nil"/>
            </w:tcBorders>
            <w:shd w:val="clear" w:color="auto" w:fill="FFFFFF" w:themeFill="background1"/>
            <w:noWrap/>
            <w:vAlign w:val="bottom"/>
            <w:hideMark/>
          </w:tcPr>
          <w:p w14:paraId="4C0D20E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-0.09523</w:t>
            </w:r>
          </w:p>
        </w:tc>
        <w:tc>
          <w:tcPr>
            <w:tcW w:w="1212" w:type="dxa"/>
            <w:tcBorders>
              <w:top w:val="nil"/>
              <w:left w:val="nil"/>
              <w:bottom w:val="nil"/>
              <w:right w:val="nil"/>
            </w:tcBorders>
            <w:shd w:val="clear" w:color="auto" w:fill="FFFFFF" w:themeFill="background1"/>
            <w:noWrap/>
            <w:vAlign w:val="bottom"/>
            <w:hideMark/>
          </w:tcPr>
          <w:p w14:paraId="2EB3535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-0.08122</w:t>
            </w:r>
          </w:p>
        </w:tc>
        <w:tc>
          <w:tcPr>
            <w:tcW w:w="1134" w:type="dxa"/>
            <w:tcBorders>
              <w:top w:val="nil"/>
              <w:left w:val="nil"/>
              <w:bottom w:val="nil"/>
              <w:right w:val="nil"/>
            </w:tcBorders>
            <w:shd w:val="clear" w:color="auto" w:fill="FFFFFF" w:themeFill="background1"/>
            <w:noWrap/>
            <w:vAlign w:val="bottom"/>
            <w:hideMark/>
          </w:tcPr>
          <w:p w14:paraId="3092321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-0.12006</w:t>
            </w:r>
          </w:p>
        </w:tc>
      </w:tr>
      <w:tr w:rsidR="001D7F43" w:rsidRPr="001D7F43" w14:paraId="1A08E743"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AD61EF0"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36DC00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-0.0244</w:t>
            </w:r>
          </w:p>
        </w:tc>
        <w:tc>
          <w:tcPr>
            <w:tcW w:w="1015" w:type="dxa"/>
            <w:tcBorders>
              <w:top w:val="nil"/>
              <w:left w:val="nil"/>
              <w:bottom w:val="nil"/>
              <w:right w:val="nil"/>
            </w:tcBorders>
            <w:shd w:val="clear" w:color="auto" w:fill="FFFFFF" w:themeFill="background1"/>
            <w:noWrap/>
            <w:vAlign w:val="bottom"/>
            <w:hideMark/>
          </w:tcPr>
          <w:p w14:paraId="046C49B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-1.1517</w:t>
            </w:r>
          </w:p>
        </w:tc>
        <w:tc>
          <w:tcPr>
            <w:tcW w:w="1015" w:type="dxa"/>
            <w:tcBorders>
              <w:top w:val="nil"/>
              <w:left w:val="nil"/>
              <w:bottom w:val="nil"/>
              <w:right w:val="nil"/>
            </w:tcBorders>
            <w:shd w:val="clear" w:color="auto" w:fill="FFFFFF" w:themeFill="background1"/>
            <w:noWrap/>
            <w:vAlign w:val="bottom"/>
            <w:hideMark/>
          </w:tcPr>
          <w:p w14:paraId="49540F4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-1.5184</w:t>
            </w:r>
          </w:p>
        </w:tc>
        <w:tc>
          <w:tcPr>
            <w:tcW w:w="1212" w:type="dxa"/>
            <w:tcBorders>
              <w:top w:val="nil"/>
              <w:left w:val="nil"/>
              <w:bottom w:val="nil"/>
              <w:right w:val="nil"/>
            </w:tcBorders>
            <w:shd w:val="clear" w:color="auto" w:fill="FFFFFF" w:themeFill="background1"/>
            <w:noWrap/>
            <w:vAlign w:val="bottom"/>
            <w:hideMark/>
          </w:tcPr>
          <w:p w14:paraId="38D9DF1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-1.5972</w:t>
            </w:r>
          </w:p>
        </w:tc>
        <w:tc>
          <w:tcPr>
            <w:tcW w:w="1134" w:type="dxa"/>
            <w:tcBorders>
              <w:top w:val="nil"/>
              <w:left w:val="nil"/>
              <w:bottom w:val="nil"/>
              <w:right w:val="nil"/>
            </w:tcBorders>
            <w:shd w:val="clear" w:color="auto" w:fill="FFFFFF" w:themeFill="background1"/>
            <w:noWrap/>
            <w:vAlign w:val="bottom"/>
            <w:hideMark/>
          </w:tcPr>
          <w:p w14:paraId="194F80B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-2.4228</w:t>
            </w:r>
          </w:p>
        </w:tc>
      </w:tr>
      <w:tr w:rsidR="001D7F43" w:rsidRPr="001D7F43" w14:paraId="4733ABD6"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629CAA76"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Education expend.</w:t>
            </w:r>
          </w:p>
        </w:tc>
        <w:tc>
          <w:tcPr>
            <w:tcW w:w="1139" w:type="dxa"/>
            <w:tcBorders>
              <w:top w:val="nil"/>
              <w:left w:val="nil"/>
              <w:bottom w:val="nil"/>
              <w:right w:val="nil"/>
            </w:tcBorders>
            <w:shd w:val="clear" w:color="auto" w:fill="FFFFFF" w:themeFill="background1"/>
            <w:noWrap/>
            <w:vAlign w:val="bottom"/>
            <w:hideMark/>
          </w:tcPr>
          <w:p w14:paraId="2F4468C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-0.16025</w:t>
            </w:r>
          </w:p>
        </w:tc>
        <w:tc>
          <w:tcPr>
            <w:tcW w:w="1015" w:type="dxa"/>
            <w:tcBorders>
              <w:top w:val="nil"/>
              <w:left w:val="nil"/>
              <w:bottom w:val="nil"/>
              <w:right w:val="nil"/>
            </w:tcBorders>
            <w:shd w:val="clear" w:color="auto" w:fill="FFFFFF" w:themeFill="background1"/>
            <w:noWrap/>
            <w:vAlign w:val="bottom"/>
            <w:hideMark/>
          </w:tcPr>
          <w:p w14:paraId="6E737F9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-0.19381</w:t>
            </w:r>
          </w:p>
        </w:tc>
        <w:tc>
          <w:tcPr>
            <w:tcW w:w="1015" w:type="dxa"/>
            <w:tcBorders>
              <w:top w:val="nil"/>
              <w:left w:val="nil"/>
              <w:bottom w:val="nil"/>
              <w:right w:val="nil"/>
            </w:tcBorders>
            <w:shd w:val="clear" w:color="auto" w:fill="FFFFFF" w:themeFill="background1"/>
            <w:noWrap/>
            <w:vAlign w:val="bottom"/>
            <w:hideMark/>
          </w:tcPr>
          <w:p w14:paraId="5FF1B42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-0.18283</w:t>
            </w:r>
          </w:p>
        </w:tc>
        <w:tc>
          <w:tcPr>
            <w:tcW w:w="1212" w:type="dxa"/>
            <w:tcBorders>
              <w:top w:val="nil"/>
              <w:left w:val="nil"/>
              <w:bottom w:val="nil"/>
              <w:right w:val="nil"/>
            </w:tcBorders>
            <w:shd w:val="clear" w:color="auto" w:fill="FFFFFF" w:themeFill="background1"/>
            <w:noWrap/>
            <w:vAlign w:val="bottom"/>
            <w:hideMark/>
          </w:tcPr>
          <w:p w14:paraId="5698BA9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-0.17263</w:t>
            </w:r>
          </w:p>
        </w:tc>
        <w:tc>
          <w:tcPr>
            <w:tcW w:w="1134" w:type="dxa"/>
            <w:tcBorders>
              <w:top w:val="nil"/>
              <w:left w:val="nil"/>
              <w:bottom w:val="nil"/>
              <w:right w:val="nil"/>
            </w:tcBorders>
            <w:shd w:val="clear" w:color="auto" w:fill="FFFFFF" w:themeFill="background1"/>
            <w:noWrap/>
            <w:vAlign w:val="bottom"/>
            <w:hideMark/>
          </w:tcPr>
          <w:p w14:paraId="3C3B3A2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-0.10299</w:t>
            </w:r>
          </w:p>
        </w:tc>
      </w:tr>
      <w:tr w:rsidR="001D7F43" w:rsidRPr="001D7F43" w14:paraId="5E0ACFA6"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4540244"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45E7B62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-1.5571</w:t>
            </w:r>
          </w:p>
        </w:tc>
        <w:tc>
          <w:tcPr>
            <w:tcW w:w="1015" w:type="dxa"/>
            <w:tcBorders>
              <w:top w:val="nil"/>
              <w:left w:val="nil"/>
              <w:bottom w:val="nil"/>
              <w:right w:val="nil"/>
            </w:tcBorders>
            <w:shd w:val="clear" w:color="auto" w:fill="FFFFFF" w:themeFill="background1"/>
            <w:noWrap/>
            <w:vAlign w:val="bottom"/>
            <w:hideMark/>
          </w:tcPr>
          <w:p w14:paraId="6543F2F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-1.9545</w:t>
            </w:r>
          </w:p>
        </w:tc>
        <w:tc>
          <w:tcPr>
            <w:tcW w:w="1015" w:type="dxa"/>
            <w:tcBorders>
              <w:top w:val="nil"/>
              <w:left w:val="nil"/>
              <w:bottom w:val="nil"/>
              <w:right w:val="nil"/>
            </w:tcBorders>
            <w:shd w:val="clear" w:color="auto" w:fill="FFFFFF" w:themeFill="background1"/>
            <w:noWrap/>
            <w:vAlign w:val="bottom"/>
            <w:hideMark/>
          </w:tcPr>
          <w:p w14:paraId="7ACE120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-2.5851</w:t>
            </w:r>
          </w:p>
        </w:tc>
        <w:tc>
          <w:tcPr>
            <w:tcW w:w="1212" w:type="dxa"/>
            <w:tcBorders>
              <w:top w:val="nil"/>
              <w:left w:val="nil"/>
              <w:bottom w:val="nil"/>
              <w:right w:val="nil"/>
            </w:tcBorders>
            <w:shd w:val="clear" w:color="auto" w:fill="FFFFFF" w:themeFill="background1"/>
            <w:noWrap/>
            <w:vAlign w:val="bottom"/>
            <w:hideMark/>
          </w:tcPr>
          <w:p w14:paraId="4E95836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-2.4419</w:t>
            </w:r>
          </w:p>
        </w:tc>
        <w:tc>
          <w:tcPr>
            <w:tcW w:w="1134" w:type="dxa"/>
            <w:tcBorders>
              <w:top w:val="nil"/>
              <w:left w:val="nil"/>
              <w:bottom w:val="nil"/>
              <w:right w:val="nil"/>
            </w:tcBorders>
            <w:shd w:val="clear" w:color="auto" w:fill="FFFFFF" w:themeFill="background1"/>
            <w:noWrap/>
            <w:vAlign w:val="bottom"/>
            <w:hideMark/>
          </w:tcPr>
          <w:p w14:paraId="58DE2A5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-1.8977</w:t>
            </w:r>
          </w:p>
        </w:tc>
      </w:tr>
      <w:tr w:rsidR="001D7F43" w:rsidRPr="001D7F43" w14:paraId="434C00CE"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FCD0C2A"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Health expend.</w:t>
            </w:r>
          </w:p>
        </w:tc>
        <w:tc>
          <w:tcPr>
            <w:tcW w:w="1139" w:type="dxa"/>
            <w:tcBorders>
              <w:top w:val="nil"/>
              <w:left w:val="nil"/>
              <w:bottom w:val="nil"/>
              <w:right w:val="nil"/>
            </w:tcBorders>
            <w:shd w:val="clear" w:color="auto" w:fill="FFFFFF" w:themeFill="background1"/>
            <w:noWrap/>
            <w:vAlign w:val="bottom"/>
            <w:hideMark/>
          </w:tcPr>
          <w:p w14:paraId="5858809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0.014831</w:t>
            </w:r>
          </w:p>
        </w:tc>
        <w:tc>
          <w:tcPr>
            <w:tcW w:w="1015" w:type="dxa"/>
            <w:tcBorders>
              <w:top w:val="nil"/>
              <w:left w:val="nil"/>
              <w:bottom w:val="nil"/>
              <w:right w:val="nil"/>
            </w:tcBorders>
            <w:shd w:val="clear" w:color="auto" w:fill="FFFFFF" w:themeFill="background1"/>
            <w:noWrap/>
            <w:vAlign w:val="bottom"/>
            <w:hideMark/>
          </w:tcPr>
          <w:p w14:paraId="56494EA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-0.0245</w:t>
            </w:r>
          </w:p>
        </w:tc>
        <w:tc>
          <w:tcPr>
            <w:tcW w:w="1015" w:type="dxa"/>
            <w:tcBorders>
              <w:top w:val="nil"/>
              <w:left w:val="nil"/>
              <w:bottom w:val="nil"/>
              <w:right w:val="nil"/>
            </w:tcBorders>
            <w:shd w:val="clear" w:color="auto" w:fill="FFFFFF" w:themeFill="background1"/>
            <w:noWrap/>
            <w:vAlign w:val="bottom"/>
            <w:hideMark/>
          </w:tcPr>
          <w:p w14:paraId="555B794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-0.09702</w:t>
            </w:r>
          </w:p>
        </w:tc>
        <w:tc>
          <w:tcPr>
            <w:tcW w:w="1212" w:type="dxa"/>
            <w:tcBorders>
              <w:top w:val="nil"/>
              <w:left w:val="nil"/>
              <w:bottom w:val="nil"/>
              <w:right w:val="nil"/>
            </w:tcBorders>
            <w:shd w:val="clear" w:color="auto" w:fill="FFFFFF" w:themeFill="background1"/>
            <w:noWrap/>
            <w:vAlign w:val="bottom"/>
            <w:hideMark/>
          </w:tcPr>
          <w:p w14:paraId="314817AC"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-0.10928</w:t>
            </w:r>
          </w:p>
        </w:tc>
        <w:tc>
          <w:tcPr>
            <w:tcW w:w="1134" w:type="dxa"/>
            <w:tcBorders>
              <w:top w:val="nil"/>
              <w:left w:val="nil"/>
              <w:bottom w:val="nil"/>
              <w:right w:val="nil"/>
            </w:tcBorders>
            <w:shd w:val="clear" w:color="auto" w:fill="FFFFFF" w:themeFill="background1"/>
            <w:noWrap/>
            <w:vAlign w:val="bottom"/>
            <w:hideMark/>
          </w:tcPr>
          <w:p w14:paraId="35C0DF8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-0.08907</w:t>
            </w:r>
          </w:p>
        </w:tc>
      </w:tr>
      <w:tr w:rsidR="001D7F43" w:rsidRPr="001D7F43" w14:paraId="2EB0D4A1"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5C7B29B"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91BC0F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0.811</w:t>
            </w:r>
          </w:p>
        </w:tc>
        <w:tc>
          <w:tcPr>
            <w:tcW w:w="1015" w:type="dxa"/>
            <w:tcBorders>
              <w:top w:val="nil"/>
              <w:left w:val="nil"/>
              <w:bottom w:val="nil"/>
              <w:right w:val="nil"/>
            </w:tcBorders>
            <w:shd w:val="clear" w:color="auto" w:fill="FFFFFF" w:themeFill="background1"/>
            <w:noWrap/>
            <w:vAlign w:val="bottom"/>
            <w:hideMark/>
          </w:tcPr>
          <w:p w14:paraId="68C7C48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-0.596</w:t>
            </w:r>
          </w:p>
        </w:tc>
        <w:tc>
          <w:tcPr>
            <w:tcW w:w="1015" w:type="dxa"/>
            <w:tcBorders>
              <w:top w:val="nil"/>
              <w:left w:val="nil"/>
              <w:bottom w:val="nil"/>
              <w:right w:val="nil"/>
            </w:tcBorders>
            <w:shd w:val="clear" w:color="auto" w:fill="FFFFFF" w:themeFill="background1"/>
            <w:noWrap/>
            <w:vAlign w:val="bottom"/>
            <w:hideMark/>
          </w:tcPr>
          <w:p w14:paraId="52CC9E8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-1.6686</w:t>
            </w:r>
          </w:p>
        </w:tc>
        <w:tc>
          <w:tcPr>
            <w:tcW w:w="1212" w:type="dxa"/>
            <w:tcBorders>
              <w:top w:val="nil"/>
              <w:left w:val="nil"/>
              <w:bottom w:val="nil"/>
              <w:right w:val="nil"/>
            </w:tcBorders>
            <w:shd w:val="clear" w:color="auto" w:fill="FFFFFF" w:themeFill="background1"/>
            <w:noWrap/>
            <w:vAlign w:val="bottom"/>
            <w:hideMark/>
          </w:tcPr>
          <w:p w14:paraId="0EEB8A0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-2.4582</w:t>
            </w:r>
          </w:p>
        </w:tc>
        <w:tc>
          <w:tcPr>
            <w:tcW w:w="1134" w:type="dxa"/>
            <w:tcBorders>
              <w:top w:val="nil"/>
              <w:left w:val="nil"/>
              <w:bottom w:val="nil"/>
              <w:right w:val="nil"/>
            </w:tcBorders>
            <w:shd w:val="clear" w:color="auto" w:fill="FFFFFF" w:themeFill="background1"/>
            <w:noWrap/>
            <w:vAlign w:val="bottom"/>
            <w:hideMark/>
          </w:tcPr>
          <w:p w14:paraId="7D1BCDB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-2.6482</w:t>
            </w:r>
          </w:p>
        </w:tc>
      </w:tr>
      <w:tr w:rsidR="001D7F43" w:rsidRPr="001D7F43" w14:paraId="5F042189"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0D9FFD3"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Health expend.</w:t>
            </w:r>
          </w:p>
        </w:tc>
        <w:tc>
          <w:tcPr>
            <w:tcW w:w="1139" w:type="dxa"/>
            <w:tcBorders>
              <w:top w:val="nil"/>
              <w:left w:val="nil"/>
              <w:bottom w:val="nil"/>
              <w:right w:val="nil"/>
            </w:tcBorders>
            <w:shd w:val="clear" w:color="auto" w:fill="FFFFFF" w:themeFill="background1"/>
            <w:noWrap/>
            <w:vAlign w:val="bottom"/>
            <w:hideMark/>
          </w:tcPr>
          <w:p w14:paraId="56382B9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0.013337</w:t>
            </w:r>
          </w:p>
        </w:tc>
        <w:tc>
          <w:tcPr>
            <w:tcW w:w="1015" w:type="dxa"/>
            <w:tcBorders>
              <w:top w:val="nil"/>
              <w:left w:val="nil"/>
              <w:bottom w:val="nil"/>
              <w:right w:val="nil"/>
            </w:tcBorders>
            <w:shd w:val="clear" w:color="auto" w:fill="FFFFFF" w:themeFill="background1"/>
            <w:noWrap/>
            <w:vAlign w:val="bottom"/>
            <w:hideMark/>
          </w:tcPr>
          <w:p w14:paraId="43ED86A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-0.04511</w:t>
            </w:r>
          </w:p>
        </w:tc>
        <w:tc>
          <w:tcPr>
            <w:tcW w:w="1015" w:type="dxa"/>
            <w:tcBorders>
              <w:top w:val="nil"/>
              <w:left w:val="nil"/>
              <w:bottom w:val="nil"/>
              <w:right w:val="nil"/>
            </w:tcBorders>
            <w:shd w:val="clear" w:color="auto" w:fill="FFFFFF" w:themeFill="background1"/>
            <w:noWrap/>
            <w:vAlign w:val="bottom"/>
            <w:hideMark/>
          </w:tcPr>
          <w:p w14:paraId="0A53174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-0.11222</w:t>
            </w:r>
          </w:p>
        </w:tc>
        <w:tc>
          <w:tcPr>
            <w:tcW w:w="1212" w:type="dxa"/>
            <w:tcBorders>
              <w:top w:val="nil"/>
              <w:left w:val="nil"/>
              <w:bottom w:val="nil"/>
              <w:right w:val="nil"/>
            </w:tcBorders>
            <w:shd w:val="clear" w:color="auto" w:fill="FFFFFF" w:themeFill="background1"/>
            <w:noWrap/>
            <w:vAlign w:val="bottom"/>
            <w:hideMark/>
          </w:tcPr>
          <w:p w14:paraId="30B190A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-0.07219</w:t>
            </w:r>
          </w:p>
        </w:tc>
        <w:tc>
          <w:tcPr>
            <w:tcW w:w="1134" w:type="dxa"/>
            <w:tcBorders>
              <w:top w:val="nil"/>
              <w:left w:val="nil"/>
              <w:bottom w:val="nil"/>
              <w:right w:val="nil"/>
            </w:tcBorders>
            <w:shd w:val="clear" w:color="auto" w:fill="FFFFFF" w:themeFill="background1"/>
            <w:noWrap/>
            <w:vAlign w:val="bottom"/>
            <w:hideMark/>
          </w:tcPr>
          <w:p w14:paraId="270752E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-0.03544</w:t>
            </w:r>
          </w:p>
        </w:tc>
      </w:tr>
      <w:tr w:rsidR="001D7F43" w:rsidRPr="001D7F43" w14:paraId="543FFB62"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C8778C2"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34308B3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0.626</w:t>
            </w:r>
          </w:p>
        </w:tc>
        <w:tc>
          <w:tcPr>
            <w:tcW w:w="1015" w:type="dxa"/>
            <w:tcBorders>
              <w:top w:val="nil"/>
              <w:left w:val="nil"/>
              <w:bottom w:val="nil"/>
              <w:right w:val="nil"/>
            </w:tcBorders>
            <w:shd w:val="clear" w:color="auto" w:fill="FFFFFF" w:themeFill="background1"/>
            <w:noWrap/>
            <w:vAlign w:val="bottom"/>
            <w:hideMark/>
          </w:tcPr>
          <w:p w14:paraId="45595D3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-1.1984</w:t>
            </w:r>
          </w:p>
        </w:tc>
        <w:tc>
          <w:tcPr>
            <w:tcW w:w="1015" w:type="dxa"/>
            <w:tcBorders>
              <w:top w:val="nil"/>
              <w:left w:val="nil"/>
              <w:bottom w:val="nil"/>
              <w:right w:val="nil"/>
            </w:tcBorders>
            <w:shd w:val="clear" w:color="auto" w:fill="FFFFFF" w:themeFill="background1"/>
            <w:noWrap/>
            <w:vAlign w:val="bottom"/>
            <w:hideMark/>
          </w:tcPr>
          <w:p w14:paraId="10594B6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-1.803</w:t>
            </w:r>
          </w:p>
        </w:tc>
        <w:tc>
          <w:tcPr>
            <w:tcW w:w="1212" w:type="dxa"/>
            <w:tcBorders>
              <w:top w:val="nil"/>
              <w:left w:val="nil"/>
              <w:bottom w:val="nil"/>
              <w:right w:val="nil"/>
            </w:tcBorders>
            <w:shd w:val="clear" w:color="auto" w:fill="FFFFFF" w:themeFill="background1"/>
            <w:noWrap/>
            <w:vAlign w:val="bottom"/>
            <w:hideMark/>
          </w:tcPr>
          <w:p w14:paraId="4CAEEBD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-1.9877</w:t>
            </w:r>
          </w:p>
        </w:tc>
        <w:tc>
          <w:tcPr>
            <w:tcW w:w="1134" w:type="dxa"/>
            <w:tcBorders>
              <w:top w:val="nil"/>
              <w:left w:val="nil"/>
              <w:bottom w:val="nil"/>
              <w:right w:val="nil"/>
            </w:tcBorders>
            <w:shd w:val="clear" w:color="auto" w:fill="FFFFFF" w:themeFill="background1"/>
            <w:noWrap/>
            <w:vAlign w:val="bottom"/>
            <w:hideMark/>
          </w:tcPr>
          <w:p w14:paraId="6D9A51C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-0.716</w:t>
            </w:r>
          </w:p>
        </w:tc>
      </w:tr>
      <w:tr w:rsidR="001D7F43" w:rsidRPr="001D7F43" w14:paraId="1CCE112F"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59BD284"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In-kind transfers</w:t>
            </w:r>
          </w:p>
        </w:tc>
        <w:tc>
          <w:tcPr>
            <w:tcW w:w="1139" w:type="dxa"/>
            <w:tcBorders>
              <w:top w:val="nil"/>
              <w:left w:val="nil"/>
              <w:bottom w:val="nil"/>
              <w:right w:val="nil"/>
            </w:tcBorders>
            <w:shd w:val="clear" w:color="auto" w:fill="FFFFFF" w:themeFill="background1"/>
            <w:noWrap/>
            <w:vAlign w:val="bottom"/>
            <w:hideMark/>
          </w:tcPr>
          <w:p w14:paraId="35E7EBB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-0.00645</w:t>
            </w:r>
          </w:p>
        </w:tc>
        <w:tc>
          <w:tcPr>
            <w:tcW w:w="1015" w:type="dxa"/>
            <w:tcBorders>
              <w:top w:val="nil"/>
              <w:left w:val="nil"/>
              <w:bottom w:val="nil"/>
              <w:right w:val="nil"/>
            </w:tcBorders>
            <w:shd w:val="clear" w:color="auto" w:fill="FFFFFF" w:themeFill="background1"/>
            <w:noWrap/>
            <w:vAlign w:val="bottom"/>
            <w:hideMark/>
          </w:tcPr>
          <w:p w14:paraId="1D4ABC8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-0.03477</w:t>
            </w:r>
          </w:p>
        </w:tc>
        <w:tc>
          <w:tcPr>
            <w:tcW w:w="1015" w:type="dxa"/>
            <w:tcBorders>
              <w:top w:val="nil"/>
              <w:left w:val="nil"/>
              <w:bottom w:val="nil"/>
              <w:right w:val="nil"/>
            </w:tcBorders>
            <w:shd w:val="clear" w:color="auto" w:fill="FFFFFF" w:themeFill="background1"/>
            <w:noWrap/>
            <w:vAlign w:val="bottom"/>
            <w:hideMark/>
          </w:tcPr>
          <w:p w14:paraId="5730245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-0.06014</w:t>
            </w:r>
          </w:p>
        </w:tc>
        <w:tc>
          <w:tcPr>
            <w:tcW w:w="1212" w:type="dxa"/>
            <w:tcBorders>
              <w:top w:val="nil"/>
              <w:left w:val="nil"/>
              <w:bottom w:val="nil"/>
              <w:right w:val="nil"/>
            </w:tcBorders>
            <w:shd w:val="clear" w:color="auto" w:fill="FFFFFF" w:themeFill="background1"/>
            <w:noWrap/>
            <w:vAlign w:val="bottom"/>
            <w:hideMark/>
          </w:tcPr>
          <w:p w14:paraId="6CF01E5C"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-0.08009</w:t>
            </w:r>
          </w:p>
        </w:tc>
        <w:tc>
          <w:tcPr>
            <w:tcW w:w="1134" w:type="dxa"/>
            <w:tcBorders>
              <w:top w:val="nil"/>
              <w:left w:val="nil"/>
              <w:bottom w:val="nil"/>
              <w:right w:val="nil"/>
            </w:tcBorders>
            <w:shd w:val="clear" w:color="auto" w:fill="FFFFFF" w:themeFill="background1"/>
            <w:noWrap/>
            <w:vAlign w:val="bottom"/>
            <w:hideMark/>
          </w:tcPr>
          <w:p w14:paraId="52C9A50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-0.05782</w:t>
            </w:r>
          </w:p>
        </w:tc>
      </w:tr>
      <w:tr w:rsidR="001D7F43" w:rsidRPr="001D7F43" w14:paraId="465DCC9D"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875FEA9"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51B750E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-0.3964</w:t>
            </w:r>
          </w:p>
        </w:tc>
        <w:tc>
          <w:tcPr>
            <w:tcW w:w="1015" w:type="dxa"/>
            <w:tcBorders>
              <w:top w:val="nil"/>
              <w:left w:val="nil"/>
              <w:bottom w:val="nil"/>
              <w:right w:val="nil"/>
            </w:tcBorders>
            <w:shd w:val="clear" w:color="auto" w:fill="FFFFFF" w:themeFill="background1"/>
            <w:noWrap/>
            <w:vAlign w:val="bottom"/>
            <w:hideMark/>
          </w:tcPr>
          <w:p w14:paraId="00A811B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-1.0507</w:t>
            </w:r>
          </w:p>
        </w:tc>
        <w:tc>
          <w:tcPr>
            <w:tcW w:w="1015" w:type="dxa"/>
            <w:tcBorders>
              <w:top w:val="nil"/>
              <w:left w:val="nil"/>
              <w:bottom w:val="nil"/>
              <w:right w:val="nil"/>
            </w:tcBorders>
            <w:shd w:val="clear" w:color="auto" w:fill="FFFFFF" w:themeFill="background1"/>
            <w:noWrap/>
            <w:vAlign w:val="bottom"/>
            <w:hideMark/>
          </w:tcPr>
          <w:p w14:paraId="4ABBE10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-1.8925</w:t>
            </w:r>
          </w:p>
        </w:tc>
        <w:tc>
          <w:tcPr>
            <w:tcW w:w="1212" w:type="dxa"/>
            <w:tcBorders>
              <w:top w:val="nil"/>
              <w:left w:val="nil"/>
              <w:bottom w:val="nil"/>
              <w:right w:val="nil"/>
            </w:tcBorders>
            <w:shd w:val="clear" w:color="auto" w:fill="FFFFFF" w:themeFill="background1"/>
            <w:noWrap/>
            <w:vAlign w:val="bottom"/>
            <w:hideMark/>
          </w:tcPr>
          <w:p w14:paraId="24B5DEE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-2.8288</w:t>
            </w:r>
          </w:p>
        </w:tc>
        <w:tc>
          <w:tcPr>
            <w:tcW w:w="1134" w:type="dxa"/>
            <w:tcBorders>
              <w:top w:val="nil"/>
              <w:left w:val="nil"/>
              <w:bottom w:val="nil"/>
              <w:right w:val="nil"/>
            </w:tcBorders>
            <w:shd w:val="clear" w:color="auto" w:fill="FFFFFF" w:themeFill="background1"/>
            <w:noWrap/>
            <w:vAlign w:val="bottom"/>
            <w:hideMark/>
          </w:tcPr>
          <w:p w14:paraId="70354325"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-1.6765</w:t>
            </w:r>
          </w:p>
        </w:tc>
      </w:tr>
      <w:tr w:rsidR="001D7F43" w:rsidRPr="001D7F43" w14:paraId="1F28D8B5"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77F8BB6"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In-kind transfers</w:t>
            </w:r>
          </w:p>
        </w:tc>
        <w:tc>
          <w:tcPr>
            <w:tcW w:w="1139" w:type="dxa"/>
            <w:tcBorders>
              <w:top w:val="nil"/>
              <w:left w:val="nil"/>
              <w:bottom w:val="nil"/>
              <w:right w:val="nil"/>
            </w:tcBorders>
            <w:shd w:val="clear" w:color="auto" w:fill="FFFFFF" w:themeFill="background1"/>
            <w:noWrap/>
            <w:vAlign w:val="bottom"/>
            <w:hideMark/>
          </w:tcPr>
          <w:p w14:paraId="131F957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3DB4DF1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5EDFB41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470DF4A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-0.02562</w:t>
            </w:r>
          </w:p>
        </w:tc>
        <w:tc>
          <w:tcPr>
            <w:tcW w:w="1134" w:type="dxa"/>
            <w:tcBorders>
              <w:top w:val="nil"/>
              <w:left w:val="nil"/>
              <w:bottom w:val="nil"/>
              <w:right w:val="nil"/>
            </w:tcBorders>
            <w:shd w:val="clear" w:color="auto" w:fill="FFFFFF" w:themeFill="background1"/>
            <w:noWrap/>
            <w:vAlign w:val="bottom"/>
            <w:hideMark/>
          </w:tcPr>
          <w:p w14:paraId="7D6ECFD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-0.00345</w:t>
            </w:r>
          </w:p>
        </w:tc>
      </w:tr>
      <w:tr w:rsidR="001D7F43" w:rsidRPr="001D7F43" w14:paraId="4D9AFE82"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7D0E4AA0"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2851E92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-2.7656</w:t>
            </w:r>
          </w:p>
        </w:tc>
        <w:tc>
          <w:tcPr>
            <w:tcW w:w="1015" w:type="dxa"/>
            <w:tcBorders>
              <w:top w:val="nil"/>
              <w:left w:val="nil"/>
              <w:bottom w:val="nil"/>
              <w:right w:val="nil"/>
            </w:tcBorders>
            <w:shd w:val="clear" w:color="auto" w:fill="FFFFFF" w:themeFill="background1"/>
            <w:noWrap/>
            <w:vAlign w:val="bottom"/>
            <w:hideMark/>
          </w:tcPr>
          <w:p w14:paraId="6969DE3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-1.844</w:t>
            </w:r>
          </w:p>
        </w:tc>
        <w:tc>
          <w:tcPr>
            <w:tcW w:w="1015" w:type="dxa"/>
            <w:tcBorders>
              <w:top w:val="nil"/>
              <w:left w:val="nil"/>
              <w:bottom w:val="nil"/>
              <w:right w:val="nil"/>
            </w:tcBorders>
            <w:shd w:val="clear" w:color="auto" w:fill="FFFFFF" w:themeFill="background1"/>
            <w:noWrap/>
            <w:vAlign w:val="bottom"/>
            <w:hideMark/>
          </w:tcPr>
          <w:p w14:paraId="1D7F09E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-1.8935</w:t>
            </w:r>
          </w:p>
        </w:tc>
        <w:tc>
          <w:tcPr>
            <w:tcW w:w="1212" w:type="dxa"/>
            <w:tcBorders>
              <w:top w:val="nil"/>
              <w:left w:val="nil"/>
              <w:bottom w:val="nil"/>
              <w:right w:val="nil"/>
            </w:tcBorders>
            <w:shd w:val="clear" w:color="auto" w:fill="FFFFFF" w:themeFill="background1"/>
            <w:noWrap/>
            <w:vAlign w:val="bottom"/>
            <w:hideMark/>
          </w:tcPr>
          <w:p w14:paraId="2DAA8FB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-1.8619</w:t>
            </w:r>
          </w:p>
        </w:tc>
        <w:tc>
          <w:tcPr>
            <w:tcW w:w="1134" w:type="dxa"/>
            <w:tcBorders>
              <w:top w:val="nil"/>
              <w:left w:val="nil"/>
              <w:bottom w:val="nil"/>
              <w:right w:val="nil"/>
            </w:tcBorders>
            <w:shd w:val="clear" w:color="auto" w:fill="FFFFFF" w:themeFill="background1"/>
            <w:noWrap/>
            <w:vAlign w:val="bottom"/>
            <w:hideMark/>
          </w:tcPr>
          <w:p w14:paraId="035777C9"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-0.1802</w:t>
            </w:r>
          </w:p>
        </w:tc>
      </w:tr>
      <w:tr w:rsidR="001D7F43" w:rsidRPr="001D7F43" w14:paraId="7159CB3E"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E22ACAC"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In-cash transfers</w:t>
            </w:r>
          </w:p>
        </w:tc>
        <w:tc>
          <w:tcPr>
            <w:tcW w:w="1139" w:type="dxa"/>
            <w:tcBorders>
              <w:top w:val="nil"/>
              <w:left w:val="nil"/>
              <w:bottom w:val="nil"/>
              <w:right w:val="nil"/>
            </w:tcBorders>
            <w:shd w:val="clear" w:color="auto" w:fill="FFFFFF" w:themeFill="background1"/>
            <w:noWrap/>
            <w:vAlign w:val="bottom"/>
            <w:hideMark/>
          </w:tcPr>
          <w:p w14:paraId="23472E75"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-0.00011</w:t>
            </w:r>
          </w:p>
        </w:tc>
        <w:tc>
          <w:tcPr>
            <w:tcW w:w="1015" w:type="dxa"/>
            <w:tcBorders>
              <w:top w:val="nil"/>
              <w:left w:val="nil"/>
              <w:bottom w:val="nil"/>
              <w:right w:val="nil"/>
            </w:tcBorders>
            <w:shd w:val="clear" w:color="auto" w:fill="FFFFFF" w:themeFill="background1"/>
            <w:noWrap/>
            <w:vAlign w:val="bottom"/>
            <w:hideMark/>
          </w:tcPr>
          <w:p w14:paraId="7CCE0E8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-0.04022</w:t>
            </w:r>
          </w:p>
        </w:tc>
        <w:tc>
          <w:tcPr>
            <w:tcW w:w="1015" w:type="dxa"/>
            <w:tcBorders>
              <w:top w:val="nil"/>
              <w:left w:val="nil"/>
              <w:bottom w:val="nil"/>
              <w:right w:val="nil"/>
            </w:tcBorders>
            <w:shd w:val="clear" w:color="auto" w:fill="FFFFFF" w:themeFill="background1"/>
            <w:noWrap/>
            <w:vAlign w:val="bottom"/>
            <w:hideMark/>
          </w:tcPr>
          <w:p w14:paraId="08102A9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-0.11223</w:t>
            </w:r>
          </w:p>
        </w:tc>
        <w:tc>
          <w:tcPr>
            <w:tcW w:w="1212" w:type="dxa"/>
            <w:tcBorders>
              <w:top w:val="nil"/>
              <w:left w:val="nil"/>
              <w:bottom w:val="nil"/>
              <w:right w:val="nil"/>
            </w:tcBorders>
            <w:shd w:val="clear" w:color="auto" w:fill="FFFFFF" w:themeFill="background1"/>
            <w:noWrap/>
            <w:vAlign w:val="bottom"/>
            <w:hideMark/>
          </w:tcPr>
          <w:p w14:paraId="6F3E725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-0.12571</w:t>
            </w:r>
          </w:p>
        </w:tc>
        <w:tc>
          <w:tcPr>
            <w:tcW w:w="1134" w:type="dxa"/>
            <w:tcBorders>
              <w:top w:val="nil"/>
              <w:left w:val="nil"/>
              <w:bottom w:val="nil"/>
              <w:right w:val="nil"/>
            </w:tcBorders>
            <w:shd w:val="clear" w:color="auto" w:fill="FFFFFF" w:themeFill="background1"/>
            <w:noWrap/>
            <w:vAlign w:val="bottom"/>
            <w:hideMark/>
          </w:tcPr>
          <w:p w14:paraId="49B64AA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-0.09976</w:t>
            </w:r>
          </w:p>
        </w:tc>
      </w:tr>
      <w:tr w:rsidR="001D7F43" w:rsidRPr="001D7F43" w14:paraId="3CBC501F"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CD6F1AD"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7D023FE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-0.0057</w:t>
            </w:r>
          </w:p>
        </w:tc>
        <w:tc>
          <w:tcPr>
            <w:tcW w:w="1015" w:type="dxa"/>
            <w:tcBorders>
              <w:top w:val="nil"/>
              <w:left w:val="nil"/>
              <w:bottom w:val="nil"/>
              <w:right w:val="nil"/>
            </w:tcBorders>
            <w:shd w:val="clear" w:color="auto" w:fill="FFFFFF" w:themeFill="background1"/>
            <w:noWrap/>
            <w:vAlign w:val="bottom"/>
            <w:hideMark/>
          </w:tcPr>
          <w:p w14:paraId="5A5A7AC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-1.1591</w:t>
            </w:r>
          </w:p>
        </w:tc>
        <w:tc>
          <w:tcPr>
            <w:tcW w:w="1015" w:type="dxa"/>
            <w:tcBorders>
              <w:top w:val="nil"/>
              <w:left w:val="nil"/>
              <w:bottom w:val="nil"/>
              <w:right w:val="nil"/>
            </w:tcBorders>
            <w:shd w:val="clear" w:color="auto" w:fill="FFFFFF" w:themeFill="background1"/>
            <w:noWrap/>
            <w:vAlign w:val="bottom"/>
            <w:hideMark/>
          </w:tcPr>
          <w:p w14:paraId="5C23FF1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-2.11</w:t>
            </w:r>
          </w:p>
        </w:tc>
        <w:tc>
          <w:tcPr>
            <w:tcW w:w="1212" w:type="dxa"/>
            <w:tcBorders>
              <w:top w:val="nil"/>
              <w:left w:val="nil"/>
              <w:bottom w:val="nil"/>
              <w:right w:val="nil"/>
            </w:tcBorders>
            <w:shd w:val="clear" w:color="auto" w:fill="FFFFFF" w:themeFill="background1"/>
            <w:noWrap/>
            <w:vAlign w:val="bottom"/>
            <w:hideMark/>
          </w:tcPr>
          <w:p w14:paraId="6BFD683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-3.7</w:t>
            </w:r>
          </w:p>
        </w:tc>
        <w:tc>
          <w:tcPr>
            <w:tcW w:w="1134" w:type="dxa"/>
            <w:tcBorders>
              <w:top w:val="nil"/>
              <w:left w:val="nil"/>
              <w:bottom w:val="nil"/>
              <w:right w:val="nil"/>
            </w:tcBorders>
            <w:shd w:val="clear" w:color="auto" w:fill="FFFFFF" w:themeFill="background1"/>
            <w:noWrap/>
            <w:vAlign w:val="bottom"/>
            <w:hideMark/>
          </w:tcPr>
          <w:p w14:paraId="73952BC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-2.3876</w:t>
            </w:r>
          </w:p>
        </w:tc>
      </w:tr>
      <w:tr w:rsidR="001D7F43" w:rsidRPr="001D7F43" w14:paraId="01E7093C"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F5A9A58"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In-cash transfers</w:t>
            </w:r>
          </w:p>
        </w:tc>
        <w:tc>
          <w:tcPr>
            <w:tcW w:w="1139" w:type="dxa"/>
            <w:tcBorders>
              <w:top w:val="nil"/>
              <w:left w:val="nil"/>
              <w:bottom w:val="nil"/>
              <w:right w:val="nil"/>
            </w:tcBorders>
            <w:shd w:val="clear" w:color="auto" w:fill="FFFFFF" w:themeFill="background1"/>
            <w:noWrap/>
            <w:vAlign w:val="bottom"/>
            <w:hideMark/>
          </w:tcPr>
          <w:p w14:paraId="71DFD6B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333D25E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4BE35599"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6B57AA2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-0.02562</w:t>
            </w:r>
          </w:p>
        </w:tc>
        <w:tc>
          <w:tcPr>
            <w:tcW w:w="1134" w:type="dxa"/>
            <w:tcBorders>
              <w:top w:val="nil"/>
              <w:left w:val="nil"/>
              <w:bottom w:val="nil"/>
              <w:right w:val="nil"/>
            </w:tcBorders>
            <w:shd w:val="clear" w:color="auto" w:fill="FFFFFF" w:themeFill="background1"/>
            <w:noWrap/>
            <w:vAlign w:val="bottom"/>
            <w:hideMark/>
          </w:tcPr>
          <w:p w14:paraId="1D2725E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-0.00345</w:t>
            </w:r>
          </w:p>
        </w:tc>
      </w:tr>
      <w:tr w:rsidR="001D7F43" w:rsidRPr="001D7F43" w14:paraId="378D53D4" w14:textId="77777777" w:rsidTr="006855EE">
        <w:trPr>
          <w:gridAfter w:val="2"/>
          <w:divId w:val="1093861627"/>
          <w:wAfter w:w="196" w:type="dxa"/>
          <w:trHeight w:val="20"/>
          <w:jc w:val="center"/>
        </w:trPr>
        <w:tc>
          <w:tcPr>
            <w:tcW w:w="1980" w:type="dxa"/>
            <w:tcBorders>
              <w:top w:val="nil"/>
              <w:left w:val="nil"/>
              <w:bottom w:val="single" w:sz="4" w:space="0" w:color="auto"/>
              <w:right w:val="nil"/>
            </w:tcBorders>
            <w:shd w:val="clear" w:color="auto" w:fill="FFFFFF" w:themeFill="background1"/>
            <w:noWrap/>
            <w:vAlign w:val="bottom"/>
            <w:hideMark/>
          </w:tcPr>
          <w:p w14:paraId="1759FA3F"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single" w:sz="4" w:space="0" w:color="auto"/>
              <w:right w:val="nil"/>
            </w:tcBorders>
            <w:shd w:val="clear" w:color="auto" w:fill="FFFFFF" w:themeFill="background1"/>
            <w:noWrap/>
            <w:vAlign w:val="bottom"/>
            <w:hideMark/>
          </w:tcPr>
          <w:p w14:paraId="71E2063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-2.7656</w:t>
            </w:r>
          </w:p>
        </w:tc>
        <w:tc>
          <w:tcPr>
            <w:tcW w:w="1015" w:type="dxa"/>
            <w:tcBorders>
              <w:top w:val="nil"/>
              <w:left w:val="nil"/>
              <w:bottom w:val="single" w:sz="4" w:space="0" w:color="auto"/>
              <w:right w:val="nil"/>
            </w:tcBorders>
            <w:shd w:val="clear" w:color="auto" w:fill="FFFFFF" w:themeFill="background1"/>
            <w:noWrap/>
            <w:vAlign w:val="bottom"/>
            <w:hideMark/>
          </w:tcPr>
          <w:p w14:paraId="07169B0C"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-1.844</w:t>
            </w:r>
          </w:p>
        </w:tc>
        <w:tc>
          <w:tcPr>
            <w:tcW w:w="1015" w:type="dxa"/>
            <w:tcBorders>
              <w:top w:val="nil"/>
              <w:left w:val="nil"/>
              <w:bottom w:val="single" w:sz="4" w:space="0" w:color="auto"/>
              <w:right w:val="nil"/>
            </w:tcBorders>
            <w:shd w:val="clear" w:color="auto" w:fill="FFFFFF" w:themeFill="background1"/>
            <w:noWrap/>
            <w:vAlign w:val="bottom"/>
            <w:hideMark/>
          </w:tcPr>
          <w:p w14:paraId="0946CE1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-1.8935</w:t>
            </w:r>
          </w:p>
        </w:tc>
        <w:tc>
          <w:tcPr>
            <w:tcW w:w="1212" w:type="dxa"/>
            <w:tcBorders>
              <w:top w:val="nil"/>
              <w:left w:val="nil"/>
              <w:bottom w:val="single" w:sz="4" w:space="0" w:color="auto"/>
              <w:right w:val="nil"/>
            </w:tcBorders>
            <w:shd w:val="clear" w:color="auto" w:fill="FFFFFF" w:themeFill="background1"/>
            <w:noWrap/>
            <w:vAlign w:val="bottom"/>
            <w:hideMark/>
          </w:tcPr>
          <w:p w14:paraId="7C5CFAB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-1.8619</w:t>
            </w:r>
          </w:p>
        </w:tc>
        <w:tc>
          <w:tcPr>
            <w:tcW w:w="1134" w:type="dxa"/>
            <w:tcBorders>
              <w:top w:val="nil"/>
              <w:left w:val="nil"/>
              <w:bottom w:val="single" w:sz="4" w:space="0" w:color="auto"/>
              <w:right w:val="nil"/>
            </w:tcBorders>
            <w:shd w:val="clear" w:color="auto" w:fill="FFFFFF" w:themeFill="background1"/>
            <w:noWrap/>
            <w:vAlign w:val="bottom"/>
            <w:hideMark/>
          </w:tcPr>
          <w:p w14:paraId="160ACDF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-0.1802</w:t>
            </w:r>
          </w:p>
        </w:tc>
      </w:tr>
      <w:tr w:rsidR="001D7F43" w:rsidRPr="001D7F43" w14:paraId="6D217578"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3D5BB97" w14:textId="77777777" w:rsidR="001D7F43" w:rsidRPr="001D7F43" w:rsidRDefault="001D7F43" w:rsidP="006855EE">
            <w:pPr>
              <w:spacing w:after="0" w:line="240" w:lineRule="auto"/>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798A65F2"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D75E9CD"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F974519"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2942B1F1"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7EB12691"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r>
      <w:tr w:rsidR="001D7F43" w:rsidRPr="001D7F43" w14:paraId="77F826C2"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7A472E8" w14:textId="77777777" w:rsidR="001D7F43" w:rsidRPr="001D7F43" w:rsidRDefault="001D7F43" w:rsidP="006855EE">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3AD900EE"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2056B5A"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14F41AB7"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73B188BD"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7CD7A594"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r>
      <w:tr w:rsidR="001D7F43" w:rsidRPr="001D7F43" w14:paraId="2D918D1C" w14:textId="77777777" w:rsidTr="006855EE">
        <w:trPr>
          <w:gridAfter w:val="2"/>
          <w:divId w:val="1093861627"/>
          <w:wAfter w:w="196" w:type="dxa"/>
          <w:trHeight w:val="20"/>
          <w:jc w:val="center"/>
        </w:trPr>
        <w:tc>
          <w:tcPr>
            <w:tcW w:w="1980" w:type="dxa"/>
            <w:tcBorders>
              <w:top w:val="single" w:sz="4" w:space="0" w:color="auto"/>
              <w:left w:val="nil"/>
              <w:bottom w:val="nil"/>
              <w:right w:val="nil"/>
            </w:tcBorders>
            <w:shd w:val="clear" w:color="auto" w:fill="FFFFFF" w:themeFill="background1"/>
            <w:noWrap/>
            <w:vAlign w:val="bottom"/>
            <w:hideMark/>
          </w:tcPr>
          <w:p w14:paraId="05F3D465"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Property taxes</w:t>
            </w:r>
          </w:p>
        </w:tc>
        <w:tc>
          <w:tcPr>
            <w:tcW w:w="1139" w:type="dxa"/>
            <w:tcBorders>
              <w:top w:val="single" w:sz="4" w:space="0" w:color="auto"/>
              <w:left w:val="nil"/>
              <w:bottom w:val="nil"/>
              <w:right w:val="nil"/>
            </w:tcBorders>
            <w:shd w:val="clear" w:color="auto" w:fill="FFFFFF" w:themeFill="background1"/>
            <w:noWrap/>
            <w:vAlign w:val="bottom"/>
            <w:hideMark/>
          </w:tcPr>
          <w:p w14:paraId="7627DA2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0.000511</w:t>
            </w:r>
          </w:p>
        </w:tc>
        <w:tc>
          <w:tcPr>
            <w:tcW w:w="1015" w:type="dxa"/>
            <w:tcBorders>
              <w:top w:val="single" w:sz="4" w:space="0" w:color="auto"/>
              <w:left w:val="nil"/>
              <w:bottom w:val="nil"/>
              <w:right w:val="nil"/>
            </w:tcBorders>
            <w:shd w:val="clear" w:color="auto" w:fill="FFFFFF" w:themeFill="background1"/>
            <w:noWrap/>
            <w:vAlign w:val="bottom"/>
            <w:hideMark/>
          </w:tcPr>
          <w:p w14:paraId="71E9754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0.004564</w:t>
            </w:r>
          </w:p>
        </w:tc>
        <w:tc>
          <w:tcPr>
            <w:tcW w:w="1015" w:type="dxa"/>
            <w:tcBorders>
              <w:top w:val="single" w:sz="4" w:space="0" w:color="auto"/>
              <w:left w:val="nil"/>
              <w:bottom w:val="nil"/>
              <w:right w:val="nil"/>
            </w:tcBorders>
            <w:shd w:val="clear" w:color="auto" w:fill="FFFFFF" w:themeFill="background1"/>
            <w:noWrap/>
            <w:vAlign w:val="bottom"/>
            <w:hideMark/>
          </w:tcPr>
          <w:p w14:paraId="244597C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0.007615</w:t>
            </w:r>
          </w:p>
        </w:tc>
        <w:tc>
          <w:tcPr>
            <w:tcW w:w="1212" w:type="dxa"/>
            <w:tcBorders>
              <w:top w:val="single" w:sz="4" w:space="0" w:color="auto"/>
              <w:left w:val="nil"/>
              <w:bottom w:val="nil"/>
              <w:right w:val="nil"/>
            </w:tcBorders>
            <w:shd w:val="clear" w:color="auto" w:fill="FFFFFF" w:themeFill="background1"/>
            <w:noWrap/>
            <w:vAlign w:val="bottom"/>
            <w:hideMark/>
          </w:tcPr>
          <w:p w14:paraId="1CDCD64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0.009323</w:t>
            </w:r>
          </w:p>
        </w:tc>
        <w:tc>
          <w:tcPr>
            <w:tcW w:w="1134" w:type="dxa"/>
            <w:tcBorders>
              <w:top w:val="single" w:sz="4" w:space="0" w:color="auto"/>
              <w:left w:val="nil"/>
              <w:bottom w:val="nil"/>
              <w:right w:val="nil"/>
            </w:tcBorders>
            <w:shd w:val="clear" w:color="auto" w:fill="FFFFFF" w:themeFill="background1"/>
            <w:noWrap/>
            <w:vAlign w:val="bottom"/>
            <w:hideMark/>
          </w:tcPr>
          <w:p w14:paraId="5F146C7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0.004626</w:t>
            </w:r>
          </w:p>
        </w:tc>
      </w:tr>
      <w:tr w:rsidR="001D7F43" w:rsidRPr="001D7F43" w14:paraId="5AA9F64F"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3DF4563"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775B51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0.2247</w:t>
            </w:r>
          </w:p>
        </w:tc>
        <w:tc>
          <w:tcPr>
            <w:tcW w:w="1015" w:type="dxa"/>
            <w:tcBorders>
              <w:top w:val="nil"/>
              <w:left w:val="nil"/>
              <w:bottom w:val="nil"/>
              <w:right w:val="nil"/>
            </w:tcBorders>
            <w:shd w:val="clear" w:color="auto" w:fill="FFFFFF" w:themeFill="background1"/>
            <w:noWrap/>
            <w:vAlign w:val="bottom"/>
            <w:hideMark/>
          </w:tcPr>
          <w:p w14:paraId="29B204A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1.6089</w:t>
            </w:r>
          </w:p>
        </w:tc>
        <w:tc>
          <w:tcPr>
            <w:tcW w:w="1015" w:type="dxa"/>
            <w:tcBorders>
              <w:top w:val="nil"/>
              <w:left w:val="nil"/>
              <w:bottom w:val="nil"/>
              <w:right w:val="nil"/>
            </w:tcBorders>
            <w:shd w:val="clear" w:color="auto" w:fill="FFFFFF" w:themeFill="background1"/>
            <w:noWrap/>
            <w:vAlign w:val="bottom"/>
            <w:hideMark/>
          </w:tcPr>
          <w:p w14:paraId="2D6A7DA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1.61</w:t>
            </w:r>
          </w:p>
        </w:tc>
        <w:tc>
          <w:tcPr>
            <w:tcW w:w="1212" w:type="dxa"/>
            <w:tcBorders>
              <w:top w:val="nil"/>
              <w:left w:val="nil"/>
              <w:bottom w:val="nil"/>
              <w:right w:val="nil"/>
            </w:tcBorders>
            <w:shd w:val="clear" w:color="auto" w:fill="FFFFFF" w:themeFill="background1"/>
            <w:noWrap/>
            <w:vAlign w:val="bottom"/>
            <w:hideMark/>
          </w:tcPr>
          <w:p w14:paraId="69640FF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1.9924</w:t>
            </w:r>
          </w:p>
        </w:tc>
        <w:tc>
          <w:tcPr>
            <w:tcW w:w="1134" w:type="dxa"/>
            <w:tcBorders>
              <w:top w:val="nil"/>
              <w:left w:val="nil"/>
              <w:bottom w:val="nil"/>
              <w:right w:val="nil"/>
            </w:tcBorders>
            <w:shd w:val="clear" w:color="auto" w:fill="FFFFFF" w:themeFill="background1"/>
            <w:noWrap/>
            <w:vAlign w:val="bottom"/>
            <w:hideMark/>
          </w:tcPr>
          <w:p w14:paraId="3EC65B5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1.3275</w:t>
            </w:r>
          </w:p>
        </w:tc>
      </w:tr>
      <w:tr w:rsidR="001D7F43" w:rsidRPr="001D7F43" w14:paraId="3D481472"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55B2444"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Property taxes</w:t>
            </w:r>
          </w:p>
        </w:tc>
        <w:tc>
          <w:tcPr>
            <w:tcW w:w="1139" w:type="dxa"/>
            <w:tcBorders>
              <w:top w:val="nil"/>
              <w:left w:val="nil"/>
              <w:bottom w:val="nil"/>
              <w:right w:val="nil"/>
            </w:tcBorders>
            <w:shd w:val="clear" w:color="auto" w:fill="FFFFFF" w:themeFill="background1"/>
            <w:noWrap/>
            <w:vAlign w:val="bottom"/>
            <w:hideMark/>
          </w:tcPr>
          <w:p w14:paraId="548B304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0.002791</w:t>
            </w:r>
          </w:p>
        </w:tc>
        <w:tc>
          <w:tcPr>
            <w:tcW w:w="1015" w:type="dxa"/>
            <w:tcBorders>
              <w:top w:val="nil"/>
              <w:left w:val="nil"/>
              <w:bottom w:val="nil"/>
              <w:right w:val="nil"/>
            </w:tcBorders>
            <w:shd w:val="clear" w:color="auto" w:fill="FFFFFF" w:themeFill="background1"/>
            <w:noWrap/>
            <w:vAlign w:val="bottom"/>
            <w:hideMark/>
          </w:tcPr>
          <w:p w14:paraId="7AC8CD8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0.00816</w:t>
            </w:r>
          </w:p>
        </w:tc>
        <w:tc>
          <w:tcPr>
            <w:tcW w:w="1015" w:type="dxa"/>
            <w:tcBorders>
              <w:top w:val="nil"/>
              <w:left w:val="nil"/>
              <w:bottom w:val="nil"/>
              <w:right w:val="nil"/>
            </w:tcBorders>
            <w:shd w:val="clear" w:color="auto" w:fill="FFFFFF" w:themeFill="background1"/>
            <w:noWrap/>
            <w:vAlign w:val="bottom"/>
            <w:hideMark/>
          </w:tcPr>
          <w:p w14:paraId="04812F1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0.015106</w:t>
            </w:r>
          </w:p>
        </w:tc>
        <w:tc>
          <w:tcPr>
            <w:tcW w:w="1212" w:type="dxa"/>
            <w:tcBorders>
              <w:top w:val="nil"/>
              <w:left w:val="nil"/>
              <w:bottom w:val="nil"/>
              <w:right w:val="nil"/>
            </w:tcBorders>
            <w:shd w:val="clear" w:color="auto" w:fill="FFFFFF" w:themeFill="background1"/>
            <w:noWrap/>
            <w:vAlign w:val="bottom"/>
            <w:hideMark/>
          </w:tcPr>
          <w:p w14:paraId="6AF8AC85"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0.017364</w:t>
            </w:r>
          </w:p>
        </w:tc>
        <w:tc>
          <w:tcPr>
            <w:tcW w:w="1134" w:type="dxa"/>
            <w:tcBorders>
              <w:top w:val="nil"/>
              <w:left w:val="nil"/>
              <w:bottom w:val="nil"/>
              <w:right w:val="nil"/>
            </w:tcBorders>
            <w:shd w:val="clear" w:color="auto" w:fill="FFFFFF" w:themeFill="background1"/>
            <w:noWrap/>
            <w:vAlign w:val="bottom"/>
            <w:hideMark/>
          </w:tcPr>
          <w:p w14:paraId="60FF4D5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0.009144</w:t>
            </w:r>
          </w:p>
        </w:tc>
      </w:tr>
      <w:tr w:rsidR="001D7F43" w:rsidRPr="001D7F43" w14:paraId="24C5E44E"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1453893"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27982D1B"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1.0221</w:t>
            </w:r>
          </w:p>
        </w:tc>
        <w:tc>
          <w:tcPr>
            <w:tcW w:w="1015" w:type="dxa"/>
            <w:tcBorders>
              <w:top w:val="nil"/>
              <w:left w:val="nil"/>
              <w:bottom w:val="nil"/>
              <w:right w:val="nil"/>
            </w:tcBorders>
            <w:shd w:val="clear" w:color="auto" w:fill="FFFFFF" w:themeFill="background1"/>
            <w:noWrap/>
            <w:vAlign w:val="bottom"/>
            <w:hideMark/>
          </w:tcPr>
          <w:p w14:paraId="1407262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2.7583</w:t>
            </w:r>
          </w:p>
        </w:tc>
        <w:tc>
          <w:tcPr>
            <w:tcW w:w="1015" w:type="dxa"/>
            <w:tcBorders>
              <w:top w:val="nil"/>
              <w:left w:val="nil"/>
              <w:bottom w:val="nil"/>
              <w:right w:val="nil"/>
            </w:tcBorders>
            <w:shd w:val="clear" w:color="auto" w:fill="FFFFFF" w:themeFill="background1"/>
            <w:noWrap/>
            <w:vAlign w:val="bottom"/>
            <w:hideMark/>
          </w:tcPr>
          <w:p w14:paraId="714F424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2.435</w:t>
            </w:r>
          </w:p>
        </w:tc>
        <w:tc>
          <w:tcPr>
            <w:tcW w:w="1212" w:type="dxa"/>
            <w:tcBorders>
              <w:top w:val="nil"/>
              <w:left w:val="nil"/>
              <w:bottom w:val="nil"/>
              <w:right w:val="nil"/>
            </w:tcBorders>
            <w:shd w:val="clear" w:color="auto" w:fill="FFFFFF" w:themeFill="background1"/>
            <w:noWrap/>
            <w:vAlign w:val="bottom"/>
            <w:hideMark/>
          </w:tcPr>
          <w:p w14:paraId="08AE08F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2.6546</w:t>
            </w:r>
          </w:p>
        </w:tc>
        <w:tc>
          <w:tcPr>
            <w:tcW w:w="1134" w:type="dxa"/>
            <w:tcBorders>
              <w:top w:val="nil"/>
              <w:left w:val="nil"/>
              <w:bottom w:val="nil"/>
              <w:right w:val="nil"/>
            </w:tcBorders>
            <w:shd w:val="clear" w:color="auto" w:fill="FFFFFF" w:themeFill="background1"/>
            <w:noWrap/>
            <w:vAlign w:val="bottom"/>
            <w:hideMark/>
          </w:tcPr>
          <w:p w14:paraId="179AB2B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1.6161</w:t>
            </w:r>
          </w:p>
        </w:tc>
      </w:tr>
      <w:tr w:rsidR="001D7F43" w:rsidRPr="001D7F43" w14:paraId="3F66E010"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6D43A0F"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Indirect taxes</w:t>
            </w:r>
          </w:p>
        </w:tc>
        <w:tc>
          <w:tcPr>
            <w:tcW w:w="1139" w:type="dxa"/>
            <w:tcBorders>
              <w:top w:val="nil"/>
              <w:left w:val="nil"/>
              <w:bottom w:val="nil"/>
              <w:right w:val="nil"/>
            </w:tcBorders>
            <w:shd w:val="clear" w:color="auto" w:fill="FFFFFF" w:themeFill="background1"/>
            <w:noWrap/>
            <w:vAlign w:val="bottom"/>
            <w:hideMark/>
          </w:tcPr>
          <w:p w14:paraId="26C4345B"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0.009601</w:t>
            </w:r>
          </w:p>
        </w:tc>
        <w:tc>
          <w:tcPr>
            <w:tcW w:w="1015" w:type="dxa"/>
            <w:tcBorders>
              <w:top w:val="nil"/>
              <w:left w:val="nil"/>
              <w:bottom w:val="nil"/>
              <w:right w:val="nil"/>
            </w:tcBorders>
            <w:shd w:val="clear" w:color="auto" w:fill="FFFFFF" w:themeFill="background1"/>
            <w:noWrap/>
            <w:vAlign w:val="bottom"/>
            <w:hideMark/>
          </w:tcPr>
          <w:p w14:paraId="501957E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-0.0433</w:t>
            </w:r>
          </w:p>
        </w:tc>
        <w:tc>
          <w:tcPr>
            <w:tcW w:w="1015" w:type="dxa"/>
            <w:tcBorders>
              <w:top w:val="nil"/>
              <w:left w:val="nil"/>
              <w:bottom w:val="nil"/>
              <w:right w:val="nil"/>
            </w:tcBorders>
            <w:shd w:val="clear" w:color="auto" w:fill="FFFFFF" w:themeFill="background1"/>
            <w:noWrap/>
            <w:vAlign w:val="bottom"/>
            <w:hideMark/>
          </w:tcPr>
          <w:p w14:paraId="774E38B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-0.10832</w:t>
            </w:r>
          </w:p>
        </w:tc>
        <w:tc>
          <w:tcPr>
            <w:tcW w:w="1212" w:type="dxa"/>
            <w:tcBorders>
              <w:top w:val="nil"/>
              <w:left w:val="nil"/>
              <w:bottom w:val="nil"/>
              <w:right w:val="nil"/>
            </w:tcBorders>
            <w:shd w:val="clear" w:color="auto" w:fill="FFFFFF" w:themeFill="background1"/>
            <w:noWrap/>
            <w:vAlign w:val="bottom"/>
            <w:hideMark/>
          </w:tcPr>
          <w:p w14:paraId="0EE3CC95"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-0.10088</w:t>
            </w:r>
          </w:p>
        </w:tc>
        <w:tc>
          <w:tcPr>
            <w:tcW w:w="1134" w:type="dxa"/>
            <w:tcBorders>
              <w:top w:val="nil"/>
              <w:left w:val="nil"/>
              <w:bottom w:val="nil"/>
              <w:right w:val="nil"/>
            </w:tcBorders>
            <w:shd w:val="clear" w:color="auto" w:fill="FFFFFF" w:themeFill="background1"/>
            <w:noWrap/>
            <w:vAlign w:val="bottom"/>
            <w:hideMark/>
          </w:tcPr>
          <w:p w14:paraId="542C37D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-0.11933</w:t>
            </w:r>
          </w:p>
        </w:tc>
      </w:tr>
      <w:tr w:rsidR="001D7F43" w:rsidRPr="001D7F43" w14:paraId="73B54E51"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68AE9F0D"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0E189C6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0.5257</w:t>
            </w:r>
          </w:p>
        </w:tc>
        <w:tc>
          <w:tcPr>
            <w:tcW w:w="1015" w:type="dxa"/>
            <w:tcBorders>
              <w:top w:val="nil"/>
              <w:left w:val="nil"/>
              <w:bottom w:val="nil"/>
              <w:right w:val="nil"/>
            </w:tcBorders>
            <w:shd w:val="clear" w:color="auto" w:fill="FFFFFF" w:themeFill="background1"/>
            <w:noWrap/>
            <w:vAlign w:val="bottom"/>
            <w:hideMark/>
          </w:tcPr>
          <w:p w14:paraId="6133E2D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-1.6472</w:t>
            </w:r>
          </w:p>
        </w:tc>
        <w:tc>
          <w:tcPr>
            <w:tcW w:w="1015" w:type="dxa"/>
            <w:tcBorders>
              <w:top w:val="nil"/>
              <w:left w:val="nil"/>
              <w:bottom w:val="nil"/>
              <w:right w:val="nil"/>
            </w:tcBorders>
            <w:shd w:val="clear" w:color="auto" w:fill="FFFFFF" w:themeFill="background1"/>
            <w:noWrap/>
            <w:vAlign w:val="bottom"/>
            <w:hideMark/>
          </w:tcPr>
          <w:p w14:paraId="1E93503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-3.1783</w:t>
            </w:r>
          </w:p>
        </w:tc>
        <w:tc>
          <w:tcPr>
            <w:tcW w:w="1212" w:type="dxa"/>
            <w:tcBorders>
              <w:top w:val="nil"/>
              <w:left w:val="nil"/>
              <w:bottom w:val="nil"/>
              <w:right w:val="nil"/>
            </w:tcBorders>
            <w:shd w:val="clear" w:color="auto" w:fill="FFFFFF" w:themeFill="background1"/>
            <w:noWrap/>
            <w:vAlign w:val="bottom"/>
            <w:hideMark/>
          </w:tcPr>
          <w:p w14:paraId="147A1C1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-4.145</w:t>
            </w:r>
          </w:p>
        </w:tc>
        <w:tc>
          <w:tcPr>
            <w:tcW w:w="1134" w:type="dxa"/>
            <w:tcBorders>
              <w:top w:val="nil"/>
              <w:left w:val="nil"/>
              <w:bottom w:val="nil"/>
              <w:right w:val="nil"/>
            </w:tcBorders>
            <w:shd w:val="clear" w:color="auto" w:fill="FFFFFF" w:themeFill="background1"/>
            <w:noWrap/>
            <w:vAlign w:val="bottom"/>
            <w:hideMark/>
          </w:tcPr>
          <w:p w14:paraId="2B944F5C"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-4.5553</w:t>
            </w:r>
          </w:p>
        </w:tc>
      </w:tr>
      <w:tr w:rsidR="001D7F43" w:rsidRPr="001D7F43" w14:paraId="15716271"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0D8A67B9"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Indirect taxes</w:t>
            </w:r>
          </w:p>
        </w:tc>
        <w:tc>
          <w:tcPr>
            <w:tcW w:w="1139" w:type="dxa"/>
            <w:tcBorders>
              <w:top w:val="nil"/>
              <w:left w:val="nil"/>
              <w:bottom w:val="nil"/>
              <w:right w:val="nil"/>
            </w:tcBorders>
            <w:shd w:val="clear" w:color="auto" w:fill="FFFFFF" w:themeFill="background1"/>
            <w:noWrap/>
            <w:vAlign w:val="bottom"/>
            <w:hideMark/>
          </w:tcPr>
          <w:p w14:paraId="11B9E61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0.026934</w:t>
            </w:r>
          </w:p>
        </w:tc>
        <w:tc>
          <w:tcPr>
            <w:tcW w:w="1015" w:type="dxa"/>
            <w:tcBorders>
              <w:top w:val="nil"/>
              <w:left w:val="nil"/>
              <w:bottom w:val="nil"/>
              <w:right w:val="nil"/>
            </w:tcBorders>
            <w:shd w:val="clear" w:color="auto" w:fill="FFFFFF" w:themeFill="background1"/>
            <w:noWrap/>
            <w:vAlign w:val="bottom"/>
            <w:hideMark/>
          </w:tcPr>
          <w:p w14:paraId="23BC0D6B"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-0.09497</w:t>
            </w:r>
          </w:p>
        </w:tc>
        <w:tc>
          <w:tcPr>
            <w:tcW w:w="1015" w:type="dxa"/>
            <w:tcBorders>
              <w:top w:val="nil"/>
              <w:left w:val="nil"/>
              <w:bottom w:val="nil"/>
              <w:right w:val="nil"/>
            </w:tcBorders>
            <w:shd w:val="clear" w:color="auto" w:fill="FFFFFF" w:themeFill="background1"/>
            <w:noWrap/>
            <w:vAlign w:val="bottom"/>
            <w:hideMark/>
          </w:tcPr>
          <w:p w14:paraId="005B834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-0.13702</w:t>
            </w:r>
          </w:p>
        </w:tc>
        <w:tc>
          <w:tcPr>
            <w:tcW w:w="1212" w:type="dxa"/>
            <w:tcBorders>
              <w:top w:val="nil"/>
              <w:left w:val="nil"/>
              <w:bottom w:val="nil"/>
              <w:right w:val="nil"/>
            </w:tcBorders>
            <w:shd w:val="clear" w:color="auto" w:fill="FFFFFF" w:themeFill="background1"/>
            <w:noWrap/>
            <w:vAlign w:val="bottom"/>
            <w:hideMark/>
          </w:tcPr>
          <w:p w14:paraId="51C850F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-0.11448</w:t>
            </w:r>
          </w:p>
        </w:tc>
        <w:tc>
          <w:tcPr>
            <w:tcW w:w="1134" w:type="dxa"/>
            <w:tcBorders>
              <w:top w:val="nil"/>
              <w:left w:val="nil"/>
              <w:bottom w:val="nil"/>
              <w:right w:val="nil"/>
            </w:tcBorders>
            <w:shd w:val="clear" w:color="auto" w:fill="FFFFFF" w:themeFill="background1"/>
            <w:noWrap/>
            <w:vAlign w:val="bottom"/>
            <w:hideMark/>
          </w:tcPr>
          <w:p w14:paraId="0CD6546C"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-0.1331</w:t>
            </w:r>
          </w:p>
        </w:tc>
      </w:tr>
      <w:tr w:rsidR="001D7F43" w:rsidRPr="001D7F43" w14:paraId="657243B7" w14:textId="77777777" w:rsidTr="006855EE">
        <w:trPr>
          <w:gridAfter w:val="2"/>
          <w:divId w:val="1093861627"/>
          <w:wAfter w:w="196" w:type="dxa"/>
          <w:trHeight w:val="20"/>
          <w:jc w:val="center"/>
        </w:trPr>
        <w:tc>
          <w:tcPr>
            <w:tcW w:w="1980" w:type="dxa"/>
            <w:tcBorders>
              <w:top w:val="nil"/>
              <w:left w:val="nil"/>
              <w:bottom w:val="single" w:sz="4" w:space="0" w:color="auto"/>
              <w:right w:val="nil"/>
            </w:tcBorders>
            <w:shd w:val="clear" w:color="auto" w:fill="FFFFFF" w:themeFill="background1"/>
            <w:noWrap/>
            <w:vAlign w:val="bottom"/>
            <w:hideMark/>
          </w:tcPr>
          <w:p w14:paraId="39DA4D29"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single" w:sz="4" w:space="0" w:color="auto"/>
              <w:right w:val="nil"/>
            </w:tcBorders>
            <w:shd w:val="clear" w:color="auto" w:fill="FFFFFF" w:themeFill="background1"/>
            <w:noWrap/>
            <w:vAlign w:val="bottom"/>
            <w:hideMark/>
          </w:tcPr>
          <w:p w14:paraId="06CEFC02"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0.6502</w:t>
            </w:r>
          </w:p>
        </w:tc>
        <w:tc>
          <w:tcPr>
            <w:tcW w:w="1015" w:type="dxa"/>
            <w:tcBorders>
              <w:top w:val="nil"/>
              <w:left w:val="nil"/>
              <w:bottom w:val="single" w:sz="4" w:space="0" w:color="auto"/>
              <w:right w:val="nil"/>
            </w:tcBorders>
            <w:shd w:val="clear" w:color="auto" w:fill="FFFFFF" w:themeFill="background1"/>
            <w:noWrap/>
            <w:vAlign w:val="bottom"/>
            <w:hideMark/>
          </w:tcPr>
          <w:p w14:paraId="4DA69199"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-2.3676</w:t>
            </w:r>
          </w:p>
        </w:tc>
        <w:tc>
          <w:tcPr>
            <w:tcW w:w="1015" w:type="dxa"/>
            <w:tcBorders>
              <w:top w:val="nil"/>
              <w:left w:val="nil"/>
              <w:bottom w:val="single" w:sz="4" w:space="0" w:color="auto"/>
              <w:right w:val="nil"/>
            </w:tcBorders>
            <w:shd w:val="clear" w:color="auto" w:fill="FFFFFF" w:themeFill="background1"/>
            <w:noWrap/>
            <w:vAlign w:val="bottom"/>
            <w:hideMark/>
          </w:tcPr>
          <w:p w14:paraId="0A2C6F4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-2.2557</w:t>
            </w:r>
          </w:p>
        </w:tc>
        <w:tc>
          <w:tcPr>
            <w:tcW w:w="1212" w:type="dxa"/>
            <w:tcBorders>
              <w:top w:val="nil"/>
              <w:left w:val="nil"/>
              <w:bottom w:val="single" w:sz="4" w:space="0" w:color="auto"/>
              <w:right w:val="nil"/>
            </w:tcBorders>
            <w:shd w:val="clear" w:color="auto" w:fill="FFFFFF" w:themeFill="background1"/>
            <w:noWrap/>
            <w:vAlign w:val="bottom"/>
            <w:hideMark/>
          </w:tcPr>
          <w:p w14:paraId="65B4CDD4"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-3.2287</w:t>
            </w:r>
          </w:p>
        </w:tc>
        <w:tc>
          <w:tcPr>
            <w:tcW w:w="1134" w:type="dxa"/>
            <w:tcBorders>
              <w:top w:val="nil"/>
              <w:left w:val="nil"/>
              <w:bottom w:val="single" w:sz="4" w:space="0" w:color="auto"/>
              <w:right w:val="nil"/>
            </w:tcBorders>
            <w:shd w:val="clear" w:color="auto" w:fill="FFFFFF" w:themeFill="background1"/>
            <w:noWrap/>
            <w:vAlign w:val="bottom"/>
            <w:hideMark/>
          </w:tcPr>
          <w:p w14:paraId="6449273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-2.943</w:t>
            </w:r>
          </w:p>
        </w:tc>
      </w:tr>
      <w:tr w:rsidR="001D7F43" w:rsidRPr="001D7F43" w14:paraId="0897B949"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6B9CC268" w14:textId="77777777" w:rsidR="001D7F43" w:rsidRPr="001D7F43" w:rsidRDefault="001D7F43" w:rsidP="006855EE">
            <w:pPr>
              <w:spacing w:after="0" w:line="240" w:lineRule="auto"/>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77DB0471"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28465C36"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2E4C5285"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4106760F"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2FEBEAB4"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r>
      <w:tr w:rsidR="001D7F43" w:rsidRPr="001D7F43" w14:paraId="1BDAEBEE"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FABDA58" w14:textId="77777777" w:rsidR="001D7F43" w:rsidRPr="001D7F43" w:rsidRDefault="001D7F43" w:rsidP="006855EE">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3EE43DFB"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552AA21F"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5F9A543B"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3E9E3486"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5651D165" w14:textId="77777777" w:rsidR="001D7F43" w:rsidRPr="001D7F43" w:rsidRDefault="001D7F43" w:rsidP="006855EE">
            <w:pPr>
              <w:spacing w:after="0" w:line="240" w:lineRule="auto"/>
              <w:jc w:val="center"/>
              <w:rPr>
                <w:rFonts w:ascii="LM Roman 10" w:eastAsia="Times New Roman" w:hAnsi="LM Roman 10" w:cs="Times New Roman"/>
                <w:sz w:val="18"/>
                <w:szCs w:val="18"/>
                <w:lang w:eastAsia="es-ES"/>
              </w:rPr>
            </w:pPr>
          </w:p>
        </w:tc>
      </w:tr>
      <w:tr w:rsidR="001D7F43" w:rsidRPr="001D7F43" w14:paraId="53C115D9" w14:textId="77777777" w:rsidTr="006855EE">
        <w:trPr>
          <w:gridAfter w:val="2"/>
          <w:divId w:val="1093861627"/>
          <w:wAfter w:w="196" w:type="dxa"/>
          <w:trHeight w:val="20"/>
          <w:jc w:val="center"/>
        </w:trPr>
        <w:tc>
          <w:tcPr>
            <w:tcW w:w="1980" w:type="dxa"/>
            <w:tcBorders>
              <w:top w:val="single" w:sz="4" w:space="0" w:color="auto"/>
              <w:left w:val="nil"/>
              <w:bottom w:val="nil"/>
              <w:right w:val="nil"/>
            </w:tcBorders>
            <w:shd w:val="clear" w:color="auto" w:fill="FFFFFF" w:themeFill="background1"/>
            <w:noWrap/>
            <w:vAlign w:val="bottom"/>
            <w:hideMark/>
          </w:tcPr>
          <w:p w14:paraId="3899D3F1"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R&amp;D + Savings</w:t>
            </w:r>
          </w:p>
        </w:tc>
        <w:tc>
          <w:tcPr>
            <w:tcW w:w="1139" w:type="dxa"/>
            <w:tcBorders>
              <w:top w:val="single" w:sz="4" w:space="0" w:color="auto"/>
              <w:left w:val="nil"/>
              <w:bottom w:val="nil"/>
              <w:right w:val="nil"/>
            </w:tcBorders>
            <w:shd w:val="clear" w:color="auto" w:fill="FFFFFF" w:themeFill="background1"/>
            <w:noWrap/>
            <w:vAlign w:val="bottom"/>
            <w:hideMark/>
          </w:tcPr>
          <w:p w14:paraId="00648D29"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-0.01258</w:t>
            </w:r>
          </w:p>
        </w:tc>
        <w:tc>
          <w:tcPr>
            <w:tcW w:w="1015" w:type="dxa"/>
            <w:tcBorders>
              <w:top w:val="single" w:sz="4" w:space="0" w:color="auto"/>
              <w:left w:val="nil"/>
              <w:bottom w:val="nil"/>
              <w:right w:val="nil"/>
            </w:tcBorders>
            <w:shd w:val="clear" w:color="auto" w:fill="FFFFFF" w:themeFill="background1"/>
            <w:noWrap/>
            <w:vAlign w:val="bottom"/>
            <w:hideMark/>
          </w:tcPr>
          <w:p w14:paraId="2C8811B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-0.02167</w:t>
            </w:r>
          </w:p>
        </w:tc>
        <w:tc>
          <w:tcPr>
            <w:tcW w:w="1015" w:type="dxa"/>
            <w:tcBorders>
              <w:top w:val="single" w:sz="4" w:space="0" w:color="auto"/>
              <w:left w:val="nil"/>
              <w:bottom w:val="nil"/>
              <w:right w:val="nil"/>
            </w:tcBorders>
            <w:shd w:val="clear" w:color="auto" w:fill="FFFFFF" w:themeFill="background1"/>
            <w:noWrap/>
            <w:vAlign w:val="bottom"/>
            <w:hideMark/>
          </w:tcPr>
          <w:p w14:paraId="7B1D9A89"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-0.03951</w:t>
            </w:r>
          </w:p>
        </w:tc>
        <w:tc>
          <w:tcPr>
            <w:tcW w:w="1212" w:type="dxa"/>
            <w:tcBorders>
              <w:top w:val="single" w:sz="4" w:space="0" w:color="auto"/>
              <w:left w:val="nil"/>
              <w:bottom w:val="nil"/>
              <w:right w:val="nil"/>
            </w:tcBorders>
            <w:shd w:val="clear" w:color="auto" w:fill="FFFFFF" w:themeFill="background1"/>
            <w:noWrap/>
            <w:vAlign w:val="bottom"/>
            <w:hideMark/>
          </w:tcPr>
          <w:p w14:paraId="39BE734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-0.01222</w:t>
            </w:r>
          </w:p>
        </w:tc>
        <w:tc>
          <w:tcPr>
            <w:tcW w:w="1134" w:type="dxa"/>
            <w:tcBorders>
              <w:top w:val="single" w:sz="4" w:space="0" w:color="auto"/>
              <w:left w:val="nil"/>
              <w:bottom w:val="nil"/>
              <w:right w:val="nil"/>
            </w:tcBorders>
            <w:shd w:val="clear" w:color="auto" w:fill="FFFFFF" w:themeFill="background1"/>
            <w:noWrap/>
            <w:vAlign w:val="bottom"/>
            <w:hideMark/>
          </w:tcPr>
          <w:p w14:paraId="5A5A42C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-0.02666</w:t>
            </w:r>
          </w:p>
        </w:tc>
      </w:tr>
      <w:tr w:rsidR="001D7F43" w:rsidRPr="001D7F43" w14:paraId="5B4E708A"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1701733"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3436D28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-1.7973</w:t>
            </w:r>
          </w:p>
        </w:tc>
        <w:tc>
          <w:tcPr>
            <w:tcW w:w="1015" w:type="dxa"/>
            <w:tcBorders>
              <w:top w:val="nil"/>
              <w:left w:val="nil"/>
              <w:bottom w:val="nil"/>
              <w:right w:val="nil"/>
            </w:tcBorders>
            <w:shd w:val="clear" w:color="auto" w:fill="FFFFFF" w:themeFill="background1"/>
            <w:noWrap/>
            <w:vAlign w:val="bottom"/>
            <w:hideMark/>
          </w:tcPr>
          <w:p w14:paraId="36382897"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-1.4753</w:t>
            </w:r>
          </w:p>
        </w:tc>
        <w:tc>
          <w:tcPr>
            <w:tcW w:w="1015" w:type="dxa"/>
            <w:tcBorders>
              <w:top w:val="nil"/>
              <w:left w:val="nil"/>
              <w:bottom w:val="nil"/>
              <w:right w:val="nil"/>
            </w:tcBorders>
            <w:shd w:val="clear" w:color="auto" w:fill="FFFFFF" w:themeFill="background1"/>
            <w:noWrap/>
            <w:vAlign w:val="bottom"/>
            <w:hideMark/>
          </w:tcPr>
          <w:p w14:paraId="2379F9A1"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-2.7197</w:t>
            </w:r>
          </w:p>
        </w:tc>
        <w:tc>
          <w:tcPr>
            <w:tcW w:w="1212" w:type="dxa"/>
            <w:tcBorders>
              <w:top w:val="nil"/>
              <w:left w:val="nil"/>
              <w:bottom w:val="nil"/>
              <w:right w:val="nil"/>
            </w:tcBorders>
            <w:shd w:val="clear" w:color="auto" w:fill="FFFFFF" w:themeFill="background1"/>
            <w:noWrap/>
            <w:vAlign w:val="bottom"/>
            <w:hideMark/>
          </w:tcPr>
          <w:p w14:paraId="196A67F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-0.5573</w:t>
            </w:r>
          </w:p>
        </w:tc>
        <w:tc>
          <w:tcPr>
            <w:tcW w:w="1134" w:type="dxa"/>
            <w:tcBorders>
              <w:top w:val="nil"/>
              <w:left w:val="nil"/>
              <w:bottom w:val="nil"/>
              <w:right w:val="nil"/>
            </w:tcBorders>
            <w:shd w:val="clear" w:color="auto" w:fill="FFFFFF" w:themeFill="background1"/>
            <w:noWrap/>
            <w:vAlign w:val="bottom"/>
            <w:hideMark/>
          </w:tcPr>
          <w:p w14:paraId="222407DD"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-1.0332</w:t>
            </w:r>
          </w:p>
        </w:tc>
      </w:tr>
      <w:tr w:rsidR="001D7F43" w:rsidRPr="001D7F43" w14:paraId="11492179" w14:textId="77777777" w:rsidTr="006855EE">
        <w:trPr>
          <w:gridAfter w:val="2"/>
          <w:divId w:val="1093861627"/>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6B40545E" w14:textId="77777777" w:rsidR="001D7F43" w:rsidRPr="001D7F43" w:rsidRDefault="001D7F43" w:rsidP="006855EE">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lastRenderedPageBreak/>
              <w:t>R&amp;D + Savings</w:t>
            </w:r>
          </w:p>
        </w:tc>
        <w:tc>
          <w:tcPr>
            <w:tcW w:w="1139" w:type="dxa"/>
            <w:tcBorders>
              <w:top w:val="nil"/>
              <w:left w:val="nil"/>
              <w:bottom w:val="nil"/>
              <w:right w:val="nil"/>
            </w:tcBorders>
            <w:shd w:val="clear" w:color="auto" w:fill="FFFFFF" w:themeFill="background1"/>
            <w:noWrap/>
            <w:vAlign w:val="bottom"/>
            <w:hideMark/>
          </w:tcPr>
          <w:p w14:paraId="1DF18C1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-0.0148</w:t>
            </w:r>
          </w:p>
        </w:tc>
        <w:tc>
          <w:tcPr>
            <w:tcW w:w="1015" w:type="dxa"/>
            <w:tcBorders>
              <w:top w:val="nil"/>
              <w:left w:val="nil"/>
              <w:bottom w:val="nil"/>
              <w:right w:val="nil"/>
            </w:tcBorders>
            <w:shd w:val="clear" w:color="auto" w:fill="FFFFFF" w:themeFill="background1"/>
            <w:noWrap/>
            <w:vAlign w:val="bottom"/>
            <w:hideMark/>
          </w:tcPr>
          <w:p w14:paraId="56991903"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-0.01888</w:t>
            </w:r>
          </w:p>
        </w:tc>
        <w:tc>
          <w:tcPr>
            <w:tcW w:w="1015" w:type="dxa"/>
            <w:tcBorders>
              <w:top w:val="nil"/>
              <w:left w:val="nil"/>
              <w:bottom w:val="nil"/>
              <w:right w:val="nil"/>
            </w:tcBorders>
            <w:shd w:val="clear" w:color="auto" w:fill="FFFFFF" w:themeFill="background1"/>
            <w:noWrap/>
            <w:vAlign w:val="bottom"/>
            <w:hideMark/>
          </w:tcPr>
          <w:p w14:paraId="4A61782F"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-0.04685</w:t>
            </w:r>
          </w:p>
        </w:tc>
        <w:tc>
          <w:tcPr>
            <w:tcW w:w="1212" w:type="dxa"/>
            <w:tcBorders>
              <w:top w:val="nil"/>
              <w:left w:val="nil"/>
              <w:bottom w:val="nil"/>
              <w:right w:val="nil"/>
            </w:tcBorders>
            <w:shd w:val="clear" w:color="auto" w:fill="FFFFFF" w:themeFill="background1"/>
            <w:noWrap/>
            <w:vAlign w:val="bottom"/>
            <w:hideMark/>
          </w:tcPr>
          <w:p w14:paraId="184C72BA"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-0.04098</w:t>
            </w:r>
          </w:p>
        </w:tc>
        <w:tc>
          <w:tcPr>
            <w:tcW w:w="1134" w:type="dxa"/>
            <w:tcBorders>
              <w:top w:val="nil"/>
              <w:left w:val="nil"/>
              <w:bottom w:val="nil"/>
              <w:right w:val="nil"/>
            </w:tcBorders>
            <w:shd w:val="clear" w:color="auto" w:fill="FFFFFF" w:themeFill="background1"/>
            <w:noWrap/>
            <w:vAlign w:val="bottom"/>
            <w:hideMark/>
          </w:tcPr>
          <w:p w14:paraId="47DA0045"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-0.05858</w:t>
            </w:r>
          </w:p>
        </w:tc>
      </w:tr>
      <w:tr w:rsidR="001D7F43" w:rsidRPr="001D7F43" w14:paraId="106BA248" w14:textId="77777777" w:rsidTr="006855EE">
        <w:trPr>
          <w:gridAfter w:val="2"/>
          <w:divId w:val="1093861627"/>
          <w:wAfter w:w="196" w:type="dxa"/>
          <w:trHeight w:val="20"/>
          <w:jc w:val="center"/>
        </w:trPr>
        <w:tc>
          <w:tcPr>
            <w:tcW w:w="1980" w:type="dxa"/>
            <w:tcBorders>
              <w:top w:val="nil"/>
              <w:left w:val="nil"/>
              <w:bottom w:val="single" w:sz="4" w:space="0" w:color="auto"/>
              <w:right w:val="nil"/>
            </w:tcBorders>
            <w:shd w:val="clear" w:color="auto" w:fill="FFFFFF" w:themeFill="background1"/>
            <w:noWrap/>
            <w:vAlign w:val="bottom"/>
            <w:hideMark/>
          </w:tcPr>
          <w:p w14:paraId="3D95E098" w14:textId="77777777" w:rsidR="001D7F43" w:rsidRPr="001D7F43" w:rsidRDefault="001D7F43" w:rsidP="006855EE">
            <w:pPr>
              <w:spacing w:after="0" w:line="240" w:lineRule="auto"/>
              <w:rPr>
                <w:rFonts w:ascii="LM Roman 10" w:eastAsia="Times New Roman" w:hAnsi="LM Roman 10" w:cs="Calibri"/>
                <w:i/>
                <w:iCs/>
                <w:sz w:val="18"/>
                <w:szCs w:val="18"/>
                <w:lang w:eastAsia="es-ES"/>
              </w:rPr>
            </w:pPr>
            <w:r w:rsidRPr="001D7F43">
              <w:rPr>
                <w:rFonts w:ascii="LM Roman 10" w:eastAsia="Times New Roman" w:hAnsi="LM Roman 10" w:cs="Calibri"/>
                <w:i/>
                <w:iCs/>
                <w:sz w:val="18"/>
                <w:szCs w:val="18"/>
                <w:lang w:eastAsia="es-ES"/>
              </w:rPr>
              <w:t>y &lt;= 0, slump</w:t>
            </w:r>
          </w:p>
        </w:tc>
        <w:tc>
          <w:tcPr>
            <w:tcW w:w="1139" w:type="dxa"/>
            <w:tcBorders>
              <w:top w:val="nil"/>
              <w:left w:val="nil"/>
              <w:bottom w:val="single" w:sz="4" w:space="0" w:color="auto"/>
              <w:right w:val="nil"/>
            </w:tcBorders>
            <w:shd w:val="clear" w:color="auto" w:fill="FFFFFF" w:themeFill="background1"/>
            <w:noWrap/>
            <w:vAlign w:val="bottom"/>
            <w:hideMark/>
          </w:tcPr>
          <w:p w14:paraId="39D6058E"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-1.3767</w:t>
            </w:r>
          </w:p>
        </w:tc>
        <w:tc>
          <w:tcPr>
            <w:tcW w:w="1015" w:type="dxa"/>
            <w:tcBorders>
              <w:top w:val="nil"/>
              <w:left w:val="nil"/>
              <w:bottom w:val="single" w:sz="4" w:space="0" w:color="auto"/>
              <w:right w:val="nil"/>
            </w:tcBorders>
            <w:shd w:val="clear" w:color="auto" w:fill="FFFFFF" w:themeFill="background1"/>
            <w:noWrap/>
            <w:vAlign w:val="bottom"/>
            <w:hideMark/>
          </w:tcPr>
          <w:p w14:paraId="629FE65C"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-0.9552</w:t>
            </w:r>
          </w:p>
        </w:tc>
        <w:tc>
          <w:tcPr>
            <w:tcW w:w="1015" w:type="dxa"/>
            <w:tcBorders>
              <w:top w:val="nil"/>
              <w:left w:val="nil"/>
              <w:bottom w:val="single" w:sz="4" w:space="0" w:color="auto"/>
              <w:right w:val="nil"/>
            </w:tcBorders>
            <w:shd w:val="clear" w:color="auto" w:fill="FFFFFF" w:themeFill="background1"/>
            <w:noWrap/>
            <w:vAlign w:val="bottom"/>
            <w:hideMark/>
          </w:tcPr>
          <w:p w14:paraId="2B554618"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-2.3976</w:t>
            </w:r>
          </w:p>
        </w:tc>
        <w:tc>
          <w:tcPr>
            <w:tcW w:w="1212" w:type="dxa"/>
            <w:tcBorders>
              <w:top w:val="nil"/>
              <w:left w:val="nil"/>
              <w:bottom w:val="single" w:sz="4" w:space="0" w:color="auto"/>
              <w:right w:val="nil"/>
            </w:tcBorders>
            <w:shd w:val="clear" w:color="auto" w:fill="FFFFFF" w:themeFill="background1"/>
            <w:noWrap/>
            <w:vAlign w:val="bottom"/>
            <w:hideMark/>
          </w:tcPr>
          <w:p w14:paraId="016EC510"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-2.1872</w:t>
            </w:r>
          </w:p>
        </w:tc>
        <w:tc>
          <w:tcPr>
            <w:tcW w:w="1134" w:type="dxa"/>
            <w:tcBorders>
              <w:top w:val="nil"/>
              <w:left w:val="nil"/>
              <w:bottom w:val="single" w:sz="4" w:space="0" w:color="auto"/>
              <w:right w:val="nil"/>
            </w:tcBorders>
            <w:shd w:val="clear" w:color="auto" w:fill="FFFFFF" w:themeFill="background1"/>
            <w:noWrap/>
            <w:vAlign w:val="bottom"/>
            <w:hideMark/>
          </w:tcPr>
          <w:p w14:paraId="118AAF16" w14:textId="77777777" w:rsidR="001D7F43" w:rsidRPr="001D7F43" w:rsidRDefault="001D7F43" w:rsidP="006855EE">
            <w:pPr>
              <w:spacing w:after="0" w:line="240" w:lineRule="auto"/>
              <w:jc w:val="center"/>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-2.8262</w:t>
            </w:r>
          </w:p>
        </w:tc>
      </w:tr>
    </w:tbl>
    <w:p w14:paraId="207BE01A" w14:textId="11323AC6" w:rsidR="007E6077" w:rsidRPr="00F86A70" w:rsidRDefault="004B7D72">
      <w:pPr>
        <w:rPr>
          <w:rFonts w:ascii="LM Roman 10" w:hAnsi="LM Roman 10"/>
          <w:sz w:val="18"/>
          <w:szCs w:val="18"/>
        </w:rPr>
      </w:pPr>
      <w:r w:rsidRPr="00F86A70">
        <w:rPr>
          <w:rFonts w:ascii="LM Roman 10" w:hAnsi="LM Roman 10"/>
        </w:rPr>
        <w:fldChar w:fldCharType="end"/>
      </w:r>
      <w:r w:rsidRPr="00F86A70">
        <w:rPr>
          <w:rFonts w:ascii="LM Roman 10" w:hAnsi="LM Roman 10"/>
          <w:sz w:val="18"/>
          <w:szCs w:val="18"/>
        </w:rPr>
        <w:t>‘**’ 0.01 ‘*’ 0.05 ‘.’ 0.1</w:t>
      </w:r>
      <w:r w:rsidRPr="00F86A70">
        <w:rPr>
          <w:rFonts w:ascii="LM Roman 10" w:hAnsi="LM Roman 10"/>
          <w:sz w:val="18"/>
          <w:szCs w:val="18"/>
        </w:rPr>
        <w:tab/>
      </w:r>
    </w:p>
    <w:p w14:paraId="2BC6F232" w14:textId="77777777" w:rsidR="001D7F43" w:rsidRPr="001D7F43" w:rsidRDefault="004B7D72">
      <w:pPr>
        <w:rPr>
          <w:rFonts w:ascii="LM Roman 10" w:hAnsi="LM Roman 10"/>
        </w:rPr>
      </w:pPr>
      <w:r w:rsidRPr="00F86A70">
        <w:fldChar w:fldCharType="begin"/>
      </w:r>
      <w:r w:rsidRPr="00F86A70">
        <w:instrText xml:space="preserve"> LINK </w:instrText>
      </w:r>
      <w:r w:rsidR="00262EC6">
        <w:instrText xml:space="preserve">Excel.Sheet.12 "D:\\GitRepo\\Inequality\\LP tables.xlsx" Sheet1!R2C17:R36C22 </w:instrText>
      </w:r>
      <w:r w:rsidRPr="00F86A70">
        <w:instrText xml:space="preserve">\a \f 4 \h  \* MERGEFORMAT </w:instrText>
      </w:r>
      <w:r w:rsidR="001D7F43" w:rsidRPr="00F86A70">
        <w:fldChar w:fldCharType="separate"/>
      </w:r>
    </w:p>
    <w:tbl>
      <w:tblPr>
        <w:tblW w:w="8035" w:type="dxa"/>
        <w:jc w:val="center"/>
        <w:tblLayout w:type="fixed"/>
        <w:tblCellMar>
          <w:left w:w="70" w:type="dxa"/>
          <w:right w:w="70" w:type="dxa"/>
        </w:tblCellMar>
        <w:tblLook w:val="04A0" w:firstRow="1" w:lastRow="0" w:firstColumn="1" w:lastColumn="0" w:noHBand="0" w:noVBand="1"/>
      </w:tblPr>
      <w:tblGrid>
        <w:gridCol w:w="1985"/>
        <w:gridCol w:w="1134"/>
        <w:gridCol w:w="1134"/>
        <w:gridCol w:w="1134"/>
        <w:gridCol w:w="1134"/>
        <w:gridCol w:w="1117"/>
        <w:gridCol w:w="183"/>
        <w:gridCol w:w="214"/>
      </w:tblGrid>
      <w:tr w:rsidR="006855EE" w:rsidRPr="001D7F43" w14:paraId="1558EE21" w14:textId="77777777" w:rsidTr="0041278A">
        <w:trPr>
          <w:divId w:val="963850383"/>
          <w:trHeight w:val="20"/>
          <w:jc w:val="center"/>
        </w:trPr>
        <w:tc>
          <w:tcPr>
            <w:tcW w:w="7821" w:type="dxa"/>
            <w:gridSpan w:val="7"/>
            <w:tcBorders>
              <w:top w:val="nil"/>
              <w:left w:val="nil"/>
              <w:bottom w:val="double" w:sz="6" w:space="0" w:color="auto"/>
              <w:right w:val="nil"/>
            </w:tcBorders>
            <w:shd w:val="clear" w:color="auto" w:fill="auto"/>
            <w:noWrap/>
            <w:vAlign w:val="center"/>
            <w:hideMark/>
          </w:tcPr>
          <w:p w14:paraId="51543CAF" w14:textId="35781B53" w:rsidR="006855EE" w:rsidRPr="001D7F43" w:rsidRDefault="006855EE" w:rsidP="006855EE">
            <w:pPr>
              <w:spacing w:after="0" w:line="240" w:lineRule="auto"/>
              <w:jc w:val="center"/>
              <w:rPr>
                <w:rFonts w:ascii="LM Roman 10" w:eastAsia="Times New Roman" w:hAnsi="LM Roman 10" w:cs="Calibri"/>
                <w:color w:val="000000"/>
                <w:sz w:val="20"/>
                <w:szCs w:val="20"/>
                <w:lang w:val="en-US" w:eastAsia="es-ES"/>
              </w:rPr>
            </w:pPr>
            <w:r w:rsidRPr="001D7F43">
              <w:rPr>
                <w:rFonts w:ascii="LM Roman 10" w:eastAsia="Times New Roman" w:hAnsi="LM Roman 10" w:cs="Calibri"/>
                <w:color w:val="000000"/>
                <w:sz w:val="20"/>
                <w:szCs w:val="20"/>
                <w:lang w:val="en-US" w:eastAsia="es-ES"/>
              </w:rPr>
              <w:t>Fiscal multiplier, XXX, OLS estimate, booms v. slumps</w:t>
            </w:r>
          </w:p>
        </w:tc>
        <w:tc>
          <w:tcPr>
            <w:tcW w:w="214" w:type="dxa"/>
            <w:tcBorders>
              <w:top w:val="nil"/>
              <w:left w:val="nil"/>
              <w:bottom w:val="double" w:sz="6" w:space="0" w:color="auto"/>
              <w:right w:val="nil"/>
            </w:tcBorders>
            <w:shd w:val="clear" w:color="auto" w:fill="auto"/>
            <w:noWrap/>
            <w:vAlign w:val="bottom"/>
            <w:hideMark/>
          </w:tcPr>
          <w:p w14:paraId="27A8E4A9" w14:textId="77777777" w:rsidR="006855EE" w:rsidRPr="001D7F43" w:rsidRDefault="006855EE" w:rsidP="001D7F43">
            <w:pPr>
              <w:spacing w:after="0" w:line="240" w:lineRule="auto"/>
              <w:rPr>
                <w:rFonts w:ascii="LM Roman 10" w:eastAsia="Times New Roman" w:hAnsi="LM Roman 10" w:cs="Calibri"/>
                <w:color w:val="000000"/>
                <w:lang w:val="en-US" w:eastAsia="es-ES"/>
              </w:rPr>
            </w:pPr>
            <w:r w:rsidRPr="001D7F43">
              <w:rPr>
                <w:rFonts w:ascii="LM Roman 10" w:eastAsia="Times New Roman" w:hAnsi="LM Roman 10" w:cs="Calibri"/>
                <w:color w:val="000000"/>
                <w:lang w:val="en-US" w:eastAsia="es-ES"/>
              </w:rPr>
              <w:t> </w:t>
            </w:r>
          </w:p>
        </w:tc>
      </w:tr>
      <w:tr w:rsidR="001D7F43" w:rsidRPr="001D7F43" w14:paraId="07018C17"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0FB42D73" w14:textId="77777777" w:rsidR="001D7F43" w:rsidRPr="001D7F43" w:rsidRDefault="001D7F43" w:rsidP="001D7F43">
            <w:pPr>
              <w:spacing w:after="0" w:line="240" w:lineRule="auto"/>
              <w:rPr>
                <w:rFonts w:ascii="LM Roman 10" w:eastAsia="Times New Roman" w:hAnsi="LM Roman 10" w:cs="Calibri"/>
                <w:color w:val="000000"/>
                <w:sz w:val="18"/>
                <w:szCs w:val="18"/>
                <w:lang w:val="en-US" w:eastAsia="es-ES"/>
              </w:rPr>
            </w:pPr>
          </w:p>
        </w:tc>
        <w:tc>
          <w:tcPr>
            <w:tcW w:w="1134" w:type="dxa"/>
            <w:tcBorders>
              <w:top w:val="nil"/>
              <w:left w:val="nil"/>
              <w:bottom w:val="nil"/>
              <w:right w:val="nil"/>
            </w:tcBorders>
            <w:shd w:val="clear" w:color="auto" w:fill="auto"/>
            <w:noWrap/>
            <w:vAlign w:val="bottom"/>
            <w:hideMark/>
          </w:tcPr>
          <w:p w14:paraId="0E4056D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w:t>
            </w:r>
          </w:p>
        </w:tc>
        <w:tc>
          <w:tcPr>
            <w:tcW w:w="1134" w:type="dxa"/>
            <w:tcBorders>
              <w:top w:val="nil"/>
              <w:left w:val="nil"/>
              <w:bottom w:val="nil"/>
              <w:right w:val="nil"/>
            </w:tcBorders>
            <w:shd w:val="clear" w:color="auto" w:fill="auto"/>
            <w:noWrap/>
            <w:vAlign w:val="bottom"/>
            <w:hideMark/>
          </w:tcPr>
          <w:p w14:paraId="55513E1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w:t>
            </w:r>
          </w:p>
        </w:tc>
        <w:tc>
          <w:tcPr>
            <w:tcW w:w="1134" w:type="dxa"/>
            <w:tcBorders>
              <w:top w:val="nil"/>
              <w:left w:val="nil"/>
              <w:bottom w:val="nil"/>
              <w:right w:val="nil"/>
            </w:tcBorders>
            <w:shd w:val="clear" w:color="auto" w:fill="auto"/>
            <w:noWrap/>
            <w:vAlign w:val="bottom"/>
            <w:hideMark/>
          </w:tcPr>
          <w:p w14:paraId="28C6ED9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w:t>
            </w:r>
          </w:p>
        </w:tc>
        <w:tc>
          <w:tcPr>
            <w:tcW w:w="1134" w:type="dxa"/>
            <w:tcBorders>
              <w:top w:val="nil"/>
              <w:left w:val="nil"/>
              <w:bottom w:val="nil"/>
              <w:right w:val="nil"/>
            </w:tcBorders>
            <w:shd w:val="clear" w:color="auto" w:fill="auto"/>
            <w:noWrap/>
            <w:vAlign w:val="bottom"/>
            <w:hideMark/>
          </w:tcPr>
          <w:p w14:paraId="7295846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(4)</w:t>
            </w:r>
          </w:p>
        </w:tc>
        <w:tc>
          <w:tcPr>
            <w:tcW w:w="1117" w:type="dxa"/>
            <w:tcBorders>
              <w:top w:val="nil"/>
              <w:left w:val="nil"/>
              <w:bottom w:val="nil"/>
              <w:right w:val="nil"/>
            </w:tcBorders>
            <w:shd w:val="clear" w:color="auto" w:fill="auto"/>
            <w:noWrap/>
            <w:vAlign w:val="bottom"/>
            <w:hideMark/>
          </w:tcPr>
          <w:p w14:paraId="6D057FB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(5)</w:t>
            </w:r>
          </w:p>
        </w:tc>
      </w:tr>
      <w:tr w:rsidR="001D7F43" w:rsidRPr="001D7F43" w14:paraId="32589BD0" w14:textId="77777777" w:rsidTr="006855EE">
        <w:trPr>
          <w:gridAfter w:val="2"/>
          <w:divId w:val="963850383"/>
          <w:wAfter w:w="397" w:type="dxa"/>
          <w:trHeight w:val="20"/>
          <w:jc w:val="center"/>
        </w:trPr>
        <w:tc>
          <w:tcPr>
            <w:tcW w:w="1985" w:type="dxa"/>
            <w:tcBorders>
              <w:top w:val="nil"/>
              <w:left w:val="nil"/>
              <w:bottom w:val="double" w:sz="6" w:space="0" w:color="auto"/>
              <w:right w:val="nil"/>
            </w:tcBorders>
            <w:shd w:val="clear" w:color="auto" w:fill="auto"/>
            <w:noWrap/>
            <w:vAlign w:val="bottom"/>
            <w:hideMark/>
          </w:tcPr>
          <w:p w14:paraId="61680487"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 </w:t>
            </w:r>
          </w:p>
        </w:tc>
        <w:tc>
          <w:tcPr>
            <w:tcW w:w="1134" w:type="dxa"/>
            <w:tcBorders>
              <w:top w:val="nil"/>
              <w:left w:val="nil"/>
              <w:bottom w:val="double" w:sz="6" w:space="0" w:color="auto"/>
              <w:right w:val="nil"/>
            </w:tcBorders>
            <w:shd w:val="clear" w:color="auto" w:fill="auto"/>
            <w:noWrap/>
            <w:vAlign w:val="bottom"/>
            <w:hideMark/>
          </w:tcPr>
          <w:p w14:paraId="6E82956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Year 1</w:t>
            </w:r>
          </w:p>
        </w:tc>
        <w:tc>
          <w:tcPr>
            <w:tcW w:w="1134" w:type="dxa"/>
            <w:tcBorders>
              <w:top w:val="nil"/>
              <w:left w:val="nil"/>
              <w:bottom w:val="double" w:sz="6" w:space="0" w:color="auto"/>
              <w:right w:val="nil"/>
            </w:tcBorders>
            <w:shd w:val="clear" w:color="auto" w:fill="auto"/>
            <w:noWrap/>
            <w:vAlign w:val="bottom"/>
            <w:hideMark/>
          </w:tcPr>
          <w:p w14:paraId="22AA222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Year 2</w:t>
            </w:r>
          </w:p>
        </w:tc>
        <w:tc>
          <w:tcPr>
            <w:tcW w:w="1134" w:type="dxa"/>
            <w:tcBorders>
              <w:top w:val="nil"/>
              <w:left w:val="nil"/>
              <w:bottom w:val="double" w:sz="6" w:space="0" w:color="auto"/>
              <w:right w:val="nil"/>
            </w:tcBorders>
            <w:shd w:val="clear" w:color="auto" w:fill="auto"/>
            <w:noWrap/>
            <w:vAlign w:val="bottom"/>
            <w:hideMark/>
          </w:tcPr>
          <w:p w14:paraId="73EDF42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Year 3</w:t>
            </w:r>
          </w:p>
        </w:tc>
        <w:tc>
          <w:tcPr>
            <w:tcW w:w="1134" w:type="dxa"/>
            <w:tcBorders>
              <w:top w:val="nil"/>
              <w:left w:val="nil"/>
              <w:bottom w:val="double" w:sz="6" w:space="0" w:color="auto"/>
              <w:right w:val="nil"/>
            </w:tcBorders>
            <w:shd w:val="clear" w:color="auto" w:fill="auto"/>
            <w:noWrap/>
            <w:vAlign w:val="bottom"/>
            <w:hideMark/>
          </w:tcPr>
          <w:p w14:paraId="0ABBA9C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Year 4</w:t>
            </w:r>
          </w:p>
        </w:tc>
        <w:tc>
          <w:tcPr>
            <w:tcW w:w="1117" w:type="dxa"/>
            <w:tcBorders>
              <w:top w:val="nil"/>
              <w:left w:val="nil"/>
              <w:bottom w:val="double" w:sz="6" w:space="0" w:color="auto"/>
              <w:right w:val="nil"/>
            </w:tcBorders>
            <w:shd w:val="clear" w:color="auto" w:fill="auto"/>
            <w:noWrap/>
            <w:vAlign w:val="bottom"/>
            <w:hideMark/>
          </w:tcPr>
          <w:p w14:paraId="5C6BE5B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Year 5</w:t>
            </w:r>
          </w:p>
        </w:tc>
      </w:tr>
      <w:tr w:rsidR="001D7F43" w:rsidRPr="001D7F43" w14:paraId="5DD63AAF"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0C5E377C"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Education expend.</w:t>
            </w:r>
          </w:p>
        </w:tc>
        <w:tc>
          <w:tcPr>
            <w:tcW w:w="1134" w:type="dxa"/>
            <w:tcBorders>
              <w:top w:val="nil"/>
              <w:left w:val="nil"/>
              <w:bottom w:val="nil"/>
              <w:right w:val="nil"/>
            </w:tcBorders>
            <w:shd w:val="clear" w:color="auto" w:fill="auto"/>
            <w:noWrap/>
            <w:vAlign w:val="bottom"/>
            <w:hideMark/>
          </w:tcPr>
          <w:p w14:paraId="1583370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-0.42031</w:t>
            </w:r>
          </w:p>
        </w:tc>
        <w:tc>
          <w:tcPr>
            <w:tcW w:w="1134" w:type="dxa"/>
            <w:tcBorders>
              <w:top w:val="nil"/>
              <w:left w:val="nil"/>
              <w:bottom w:val="nil"/>
              <w:right w:val="nil"/>
            </w:tcBorders>
            <w:shd w:val="clear" w:color="auto" w:fill="auto"/>
            <w:noWrap/>
            <w:vAlign w:val="bottom"/>
            <w:hideMark/>
          </w:tcPr>
          <w:p w14:paraId="65E232F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-0.45941</w:t>
            </w:r>
          </w:p>
        </w:tc>
        <w:tc>
          <w:tcPr>
            <w:tcW w:w="1134" w:type="dxa"/>
            <w:tcBorders>
              <w:top w:val="nil"/>
              <w:left w:val="nil"/>
              <w:bottom w:val="nil"/>
              <w:right w:val="nil"/>
            </w:tcBorders>
            <w:shd w:val="clear" w:color="auto" w:fill="auto"/>
            <w:noWrap/>
            <w:vAlign w:val="bottom"/>
            <w:hideMark/>
          </w:tcPr>
          <w:p w14:paraId="31C96B5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-0.63161</w:t>
            </w:r>
          </w:p>
        </w:tc>
        <w:tc>
          <w:tcPr>
            <w:tcW w:w="1134" w:type="dxa"/>
            <w:tcBorders>
              <w:top w:val="nil"/>
              <w:left w:val="nil"/>
              <w:bottom w:val="nil"/>
              <w:right w:val="nil"/>
            </w:tcBorders>
            <w:shd w:val="clear" w:color="auto" w:fill="auto"/>
            <w:noWrap/>
            <w:vAlign w:val="bottom"/>
            <w:hideMark/>
          </w:tcPr>
          <w:p w14:paraId="1727EB5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-0.03236</w:t>
            </w:r>
          </w:p>
        </w:tc>
        <w:tc>
          <w:tcPr>
            <w:tcW w:w="1117" w:type="dxa"/>
            <w:tcBorders>
              <w:top w:val="nil"/>
              <w:left w:val="nil"/>
              <w:bottom w:val="nil"/>
              <w:right w:val="nil"/>
            </w:tcBorders>
            <w:shd w:val="clear" w:color="auto" w:fill="auto"/>
            <w:noWrap/>
            <w:vAlign w:val="bottom"/>
            <w:hideMark/>
          </w:tcPr>
          <w:p w14:paraId="717CDA7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0.164519</w:t>
            </w:r>
          </w:p>
        </w:tc>
      </w:tr>
      <w:tr w:rsidR="001D7F43" w:rsidRPr="001D7F43" w14:paraId="0A0F54BE"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7E96269C"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6154231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-1.9923</w:t>
            </w:r>
          </w:p>
        </w:tc>
        <w:tc>
          <w:tcPr>
            <w:tcW w:w="1134" w:type="dxa"/>
            <w:tcBorders>
              <w:top w:val="nil"/>
              <w:left w:val="nil"/>
              <w:bottom w:val="nil"/>
              <w:right w:val="nil"/>
            </w:tcBorders>
            <w:shd w:val="clear" w:color="auto" w:fill="auto"/>
            <w:noWrap/>
            <w:vAlign w:val="bottom"/>
            <w:hideMark/>
          </w:tcPr>
          <w:p w14:paraId="73D3CD7F"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-1.5181</w:t>
            </w:r>
          </w:p>
        </w:tc>
        <w:tc>
          <w:tcPr>
            <w:tcW w:w="1134" w:type="dxa"/>
            <w:tcBorders>
              <w:top w:val="nil"/>
              <w:left w:val="nil"/>
              <w:bottom w:val="nil"/>
              <w:right w:val="nil"/>
            </w:tcBorders>
            <w:shd w:val="clear" w:color="auto" w:fill="auto"/>
            <w:noWrap/>
            <w:vAlign w:val="bottom"/>
            <w:hideMark/>
          </w:tcPr>
          <w:p w14:paraId="1F7F89A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-2.1726</w:t>
            </w:r>
          </w:p>
        </w:tc>
        <w:tc>
          <w:tcPr>
            <w:tcW w:w="1134" w:type="dxa"/>
            <w:tcBorders>
              <w:top w:val="nil"/>
              <w:left w:val="nil"/>
              <w:bottom w:val="nil"/>
              <w:right w:val="nil"/>
            </w:tcBorders>
            <w:shd w:val="clear" w:color="auto" w:fill="auto"/>
            <w:noWrap/>
            <w:vAlign w:val="bottom"/>
            <w:hideMark/>
          </w:tcPr>
          <w:p w14:paraId="7AD0CA1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-0.106</w:t>
            </w:r>
          </w:p>
        </w:tc>
        <w:tc>
          <w:tcPr>
            <w:tcW w:w="1117" w:type="dxa"/>
            <w:tcBorders>
              <w:top w:val="nil"/>
              <w:left w:val="nil"/>
              <w:bottom w:val="nil"/>
              <w:right w:val="nil"/>
            </w:tcBorders>
            <w:shd w:val="clear" w:color="auto" w:fill="auto"/>
            <w:noWrap/>
            <w:vAlign w:val="bottom"/>
            <w:hideMark/>
          </w:tcPr>
          <w:p w14:paraId="36E4FEC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0.5548</w:t>
            </w:r>
          </w:p>
        </w:tc>
      </w:tr>
      <w:tr w:rsidR="001D7F43" w:rsidRPr="001D7F43" w14:paraId="297D36BE"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0932A9D6"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Education expend.</w:t>
            </w:r>
          </w:p>
        </w:tc>
        <w:tc>
          <w:tcPr>
            <w:tcW w:w="1134" w:type="dxa"/>
            <w:tcBorders>
              <w:top w:val="nil"/>
              <w:left w:val="nil"/>
              <w:bottom w:val="nil"/>
              <w:right w:val="nil"/>
            </w:tcBorders>
            <w:shd w:val="clear" w:color="auto" w:fill="auto"/>
            <w:noWrap/>
            <w:vAlign w:val="bottom"/>
            <w:hideMark/>
          </w:tcPr>
          <w:p w14:paraId="77AA1BA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0.04638</w:t>
            </w:r>
          </w:p>
        </w:tc>
        <w:tc>
          <w:tcPr>
            <w:tcW w:w="1134" w:type="dxa"/>
            <w:tcBorders>
              <w:top w:val="nil"/>
              <w:left w:val="nil"/>
              <w:bottom w:val="nil"/>
              <w:right w:val="nil"/>
            </w:tcBorders>
            <w:shd w:val="clear" w:color="auto" w:fill="auto"/>
            <w:noWrap/>
            <w:vAlign w:val="bottom"/>
            <w:hideMark/>
          </w:tcPr>
          <w:p w14:paraId="53F4D11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0.188081</w:t>
            </w:r>
          </w:p>
        </w:tc>
        <w:tc>
          <w:tcPr>
            <w:tcW w:w="1134" w:type="dxa"/>
            <w:tcBorders>
              <w:top w:val="nil"/>
              <w:left w:val="nil"/>
              <w:bottom w:val="nil"/>
              <w:right w:val="nil"/>
            </w:tcBorders>
            <w:shd w:val="clear" w:color="auto" w:fill="auto"/>
            <w:noWrap/>
            <w:vAlign w:val="bottom"/>
            <w:hideMark/>
          </w:tcPr>
          <w:p w14:paraId="7206CC0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-0.28376</w:t>
            </w:r>
          </w:p>
        </w:tc>
        <w:tc>
          <w:tcPr>
            <w:tcW w:w="1134" w:type="dxa"/>
            <w:tcBorders>
              <w:top w:val="nil"/>
              <w:left w:val="nil"/>
              <w:bottom w:val="nil"/>
              <w:right w:val="nil"/>
            </w:tcBorders>
            <w:shd w:val="clear" w:color="auto" w:fill="auto"/>
            <w:noWrap/>
            <w:vAlign w:val="bottom"/>
            <w:hideMark/>
          </w:tcPr>
          <w:p w14:paraId="09CF075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0.587261</w:t>
            </w:r>
          </w:p>
        </w:tc>
        <w:tc>
          <w:tcPr>
            <w:tcW w:w="1117" w:type="dxa"/>
            <w:tcBorders>
              <w:top w:val="nil"/>
              <w:left w:val="nil"/>
              <w:bottom w:val="nil"/>
              <w:right w:val="nil"/>
            </w:tcBorders>
            <w:shd w:val="clear" w:color="auto" w:fill="auto"/>
            <w:noWrap/>
            <w:vAlign w:val="bottom"/>
            <w:hideMark/>
          </w:tcPr>
          <w:p w14:paraId="665A18F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0.56744</w:t>
            </w:r>
          </w:p>
        </w:tc>
      </w:tr>
      <w:tr w:rsidR="001D7F43" w:rsidRPr="001D7F43" w14:paraId="0F0955DA"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43A9DD88"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nil"/>
              <w:right w:val="nil"/>
            </w:tcBorders>
            <w:shd w:val="clear" w:color="auto" w:fill="auto"/>
            <w:noWrap/>
            <w:vAlign w:val="bottom"/>
            <w:hideMark/>
          </w:tcPr>
          <w:p w14:paraId="66A4815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-0.1853</w:t>
            </w:r>
          </w:p>
        </w:tc>
        <w:tc>
          <w:tcPr>
            <w:tcW w:w="1134" w:type="dxa"/>
            <w:tcBorders>
              <w:top w:val="nil"/>
              <w:left w:val="nil"/>
              <w:bottom w:val="nil"/>
              <w:right w:val="nil"/>
            </w:tcBorders>
            <w:shd w:val="clear" w:color="auto" w:fill="auto"/>
            <w:noWrap/>
            <w:vAlign w:val="bottom"/>
            <w:hideMark/>
          </w:tcPr>
          <w:p w14:paraId="50021B9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0.6061</w:t>
            </w:r>
          </w:p>
        </w:tc>
        <w:tc>
          <w:tcPr>
            <w:tcW w:w="1134" w:type="dxa"/>
            <w:tcBorders>
              <w:top w:val="nil"/>
              <w:left w:val="nil"/>
              <w:bottom w:val="nil"/>
              <w:right w:val="nil"/>
            </w:tcBorders>
            <w:shd w:val="clear" w:color="auto" w:fill="auto"/>
            <w:noWrap/>
            <w:vAlign w:val="bottom"/>
            <w:hideMark/>
          </w:tcPr>
          <w:p w14:paraId="7BE9C39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-0.7348</w:t>
            </w:r>
          </w:p>
        </w:tc>
        <w:tc>
          <w:tcPr>
            <w:tcW w:w="1134" w:type="dxa"/>
            <w:tcBorders>
              <w:top w:val="nil"/>
              <w:left w:val="nil"/>
              <w:bottom w:val="nil"/>
              <w:right w:val="nil"/>
            </w:tcBorders>
            <w:shd w:val="clear" w:color="auto" w:fill="auto"/>
            <w:noWrap/>
            <w:vAlign w:val="bottom"/>
            <w:hideMark/>
          </w:tcPr>
          <w:p w14:paraId="5201D0E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1.8534</w:t>
            </w:r>
          </w:p>
        </w:tc>
        <w:tc>
          <w:tcPr>
            <w:tcW w:w="1117" w:type="dxa"/>
            <w:tcBorders>
              <w:top w:val="nil"/>
              <w:left w:val="nil"/>
              <w:bottom w:val="nil"/>
              <w:right w:val="nil"/>
            </w:tcBorders>
            <w:shd w:val="clear" w:color="auto" w:fill="auto"/>
            <w:noWrap/>
            <w:vAlign w:val="bottom"/>
            <w:hideMark/>
          </w:tcPr>
          <w:p w14:paraId="2AB8CFD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1.2744</w:t>
            </w:r>
          </w:p>
        </w:tc>
      </w:tr>
      <w:tr w:rsidR="001D7F43" w:rsidRPr="001D7F43" w14:paraId="68EBBC5F"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742F4643"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Health expend.</w:t>
            </w:r>
          </w:p>
        </w:tc>
        <w:tc>
          <w:tcPr>
            <w:tcW w:w="1134" w:type="dxa"/>
            <w:tcBorders>
              <w:top w:val="nil"/>
              <w:left w:val="nil"/>
              <w:bottom w:val="nil"/>
              <w:right w:val="nil"/>
            </w:tcBorders>
            <w:shd w:val="clear" w:color="auto" w:fill="auto"/>
            <w:noWrap/>
            <w:vAlign w:val="bottom"/>
            <w:hideMark/>
          </w:tcPr>
          <w:p w14:paraId="54A76FC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-0.57195</w:t>
            </w:r>
          </w:p>
        </w:tc>
        <w:tc>
          <w:tcPr>
            <w:tcW w:w="1134" w:type="dxa"/>
            <w:tcBorders>
              <w:top w:val="nil"/>
              <w:left w:val="nil"/>
              <w:bottom w:val="nil"/>
              <w:right w:val="nil"/>
            </w:tcBorders>
            <w:shd w:val="clear" w:color="auto" w:fill="auto"/>
            <w:noWrap/>
            <w:vAlign w:val="bottom"/>
            <w:hideMark/>
          </w:tcPr>
          <w:p w14:paraId="3677ED7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-1.06849</w:t>
            </w:r>
          </w:p>
        </w:tc>
        <w:tc>
          <w:tcPr>
            <w:tcW w:w="1134" w:type="dxa"/>
            <w:tcBorders>
              <w:top w:val="nil"/>
              <w:left w:val="nil"/>
              <w:bottom w:val="nil"/>
              <w:right w:val="nil"/>
            </w:tcBorders>
            <w:shd w:val="clear" w:color="auto" w:fill="auto"/>
            <w:noWrap/>
            <w:vAlign w:val="bottom"/>
            <w:hideMark/>
          </w:tcPr>
          <w:p w14:paraId="31DD2B8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-0.97031</w:t>
            </w:r>
          </w:p>
        </w:tc>
        <w:tc>
          <w:tcPr>
            <w:tcW w:w="1134" w:type="dxa"/>
            <w:tcBorders>
              <w:top w:val="nil"/>
              <w:left w:val="nil"/>
              <w:bottom w:val="nil"/>
              <w:right w:val="nil"/>
            </w:tcBorders>
            <w:shd w:val="clear" w:color="auto" w:fill="auto"/>
            <w:noWrap/>
            <w:vAlign w:val="bottom"/>
            <w:hideMark/>
          </w:tcPr>
          <w:p w14:paraId="0CDC5A6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-0.34035</w:t>
            </w:r>
          </w:p>
        </w:tc>
        <w:tc>
          <w:tcPr>
            <w:tcW w:w="1117" w:type="dxa"/>
            <w:tcBorders>
              <w:top w:val="nil"/>
              <w:left w:val="nil"/>
              <w:bottom w:val="nil"/>
              <w:right w:val="nil"/>
            </w:tcBorders>
            <w:shd w:val="clear" w:color="auto" w:fill="auto"/>
            <w:noWrap/>
            <w:vAlign w:val="bottom"/>
            <w:hideMark/>
          </w:tcPr>
          <w:p w14:paraId="7C83D76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-0.38077</w:t>
            </w:r>
          </w:p>
        </w:tc>
      </w:tr>
      <w:tr w:rsidR="001D7F43" w:rsidRPr="001D7F43" w14:paraId="1746E28C"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36A671A3"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2A624DF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-1.6587</w:t>
            </w:r>
          </w:p>
        </w:tc>
        <w:tc>
          <w:tcPr>
            <w:tcW w:w="1134" w:type="dxa"/>
            <w:tcBorders>
              <w:top w:val="nil"/>
              <w:left w:val="nil"/>
              <w:bottom w:val="nil"/>
              <w:right w:val="nil"/>
            </w:tcBorders>
            <w:shd w:val="clear" w:color="auto" w:fill="auto"/>
            <w:noWrap/>
            <w:vAlign w:val="bottom"/>
            <w:hideMark/>
          </w:tcPr>
          <w:p w14:paraId="1856993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-3.2663</w:t>
            </w:r>
          </w:p>
        </w:tc>
        <w:tc>
          <w:tcPr>
            <w:tcW w:w="1134" w:type="dxa"/>
            <w:tcBorders>
              <w:top w:val="nil"/>
              <w:left w:val="nil"/>
              <w:bottom w:val="nil"/>
              <w:right w:val="nil"/>
            </w:tcBorders>
            <w:shd w:val="clear" w:color="auto" w:fill="auto"/>
            <w:noWrap/>
            <w:vAlign w:val="bottom"/>
            <w:hideMark/>
          </w:tcPr>
          <w:p w14:paraId="4D4160B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-3.1653</w:t>
            </w:r>
          </w:p>
        </w:tc>
        <w:tc>
          <w:tcPr>
            <w:tcW w:w="1134" w:type="dxa"/>
            <w:tcBorders>
              <w:top w:val="nil"/>
              <w:left w:val="nil"/>
              <w:bottom w:val="nil"/>
              <w:right w:val="nil"/>
            </w:tcBorders>
            <w:shd w:val="clear" w:color="auto" w:fill="auto"/>
            <w:noWrap/>
            <w:vAlign w:val="bottom"/>
            <w:hideMark/>
          </w:tcPr>
          <w:p w14:paraId="60286F7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-1.1746</w:t>
            </w:r>
          </w:p>
        </w:tc>
        <w:tc>
          <w:tcPr>
            <w:tcW w:w="1117" w:type="dxa"/>
            <w:tcBorders>
              <w:top w:val="nil"/>
              <w:left w:val="nil"/>
              <w:bottom w:val="nil"/>
              <w:right w:val="nil"/>
            </w:tcBorders>
            <w:shd w:val="clear" w:color="auto" w:fill="auto"/>
            <w:noWrap/>
            <w:vAlign w:val="bottom"/>
            <w:hideMark/>
          </w:tcPr>
          <w:p w14:paraId="0A486B3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-1.4103</w:t>
            </w:r>
          </w:p>
        </w:tc>
      </w:tr>
      <w:tr w:rsidR="001D7F43" w:rsidRPr="001D7F43" w14:paraId="537B4AB7"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156DD11B"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Health expend.</w:t>
            </w:r>
          </w:p>
        </w:tc>
        <w:tc>
          <w:tcPr>
            <w:tcW w:w="1134" w:type="dxa"/>
            <w:tcBorders>
              <w:top w:val="nil"/>
              <w:left w:val="nil"/>
              <w:bottom w:val="nil"/>
              <w:right w:val="nil"/>
            </w:tcBorders>
            <w:shd w:val="clear" w:color="auto" w:fill="auto"/>
            <w:noWrap/>
            <w:vAlign w:val="bottom"/>
            <w:hideMark/>
          </w:tcPr>
          <w:p w14:paraId="30FBADC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-0.2157</w:t>
            </w:r>
          </w:p>
        </w:tc>
        <w:tc>
          <w:tcPr>
            <w:tcW w:w="1134" w:type="dxa"/>
            <w:tcBorders>
              <w:top w:val="nil"/>
              <w:left w:val="nil"/>
              <w:bottom w:val="nil"/>
              <w:right w:val="nil"/>
            </w:tcBorders>
            <w:shd w:val="clear" w:color="auto" w:fill="auto"/>
            <w:noWrap/>
            <w:vAlign w:val="bottom"/>
            <w:hideMark/>
          </w:tcPr>
          <w:p w14:paraId="4246BB9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-0.50532</w:t>
            </w:r>
          </w:p>
        </w:tc>
        <w:tc>
          <w:tcPr>
            <w:tcW w:w="1134" w:type="dxa"/>
            <w:tcBorders>
              <w:top w:val="nil"/>
              <w:left w:val="nil"/>
              <w:bottom w:val="nil"/>
              <w:right w:val="nil"/>
            </w:tcBorders>
            <w:shd w:val="clear" w:color="auto" w:fill="auto"/>
            <w:noWrap/>
            <w:vAlign w:val="bottom"/>
            <w:hideMark/>
          </w:tcPr>
          <w:p w14:paraId="2E97FD0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-0.43922</w:t>
            </w:r>
          </w:p>
        </w:tc>
        <w:tc>
          <w:tcPr>
            <w:tcW w:w="1134" w:type="dxa"/>
            <w:tcBorders>
              <w:top w:val="nil"/>
              <w:left w:val="nil"/>
              <w:bottom w:val="nil"/>
              <w:right w:val="nil"/>
            </w:tcBorders>
            <w:shd w:val="clear" w:color="auto" w:fill="auto"/>
            <w:noWrap/>
            <w:vAlign w:val="bottom"/>
            <w:hideMark/>
          </w:tcPr>
          <w:p w14:paraId="17D1E51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0.295785</w:t>
            </w:r>
          </w:p>
        </w:tc>
        <w:tc>
          <w:tcPr>
            <w:tcW w:w="1117" w:type="dxa"/>
            <w:tcBorders>
              <w:top w:val="nil"/>
              <w:left w:val="nil"/>
              <w:bottom w:val="nil"/>
              <w:right w:val="nil"/>
            </w:tcBorders>
            <w:shd w:val="clear" w:color="auto" w:fill="auto"/>
            <w:noWrap/>
            <w:vAlign w:val="bottom"/>
            <w:hideMark/>
          </w:tcPr>
          <w:p w14:paraId="6A4E28A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0.298864</w:t>
            </w:r>
          </w:p>
        </w:tc>
      </w:tr>
      <w:tr w:rsidR="001D7F43" w:rsidRPr="001D7F43" w14:paraId="3E1724EB"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3BEE2E77"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nil"/>
              <w:right w:val="nil"/>
            </w:tcBorders>
            <w:shd w:val="clear" w:color="auto" w:fill="auto"/>
            <w:noWrap/>
            <w:vAlign w:val="bottom"/>
            <w:hideMark/>
          </w:tcPr>
          <w:p w14:paraId="3B7958D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-0.6347</w:t>
            </w:r>
          </w:p>
        </w:tc>
        <w:tc>
          <w:tcPr>
            <w:tcW w:w="1134" w:type="dxa"/>
            <w:tcBorders>
              <w:top w:val="nil"/>
              <w:left w:val="nil"/>
              <w:bottom w:val="nil"/>
              <w:right w:val="nil"/>
            </w:tcBorders>
            <w:shd w:val="clear" w:color="auto" w:fill="auto"/>
            <w:noWrap/>
            <w:vAlign w:val="bottom"/>
            <w:hideMark/>
          </w:tcPr>
          <w:p w14:paraId="3952AA4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-1.277</w:t>
            </w:r>
          </w:p>
        </w:tc>
        <w:tc>
          <w:tcPr>
            <w:tcW w:w="1134" w:type="dxa"/>
            <w:tcBorders>
              <w:top w:val="nil"/>
              <w:left w:val="nil"/>
              <w:bottom w:val="nil"/>
              <w:right w:val="nil"/>
            </w:tcBorders>
            <w:shd w:val="clear" w:color="auto" w:fill="auto"/>
            <w:noWrap/>
            <w:vAlign w:val="bottom"/>
            <w:hideMark/>
          </w:tcPr>
          <w:p w14:paraId="335BC5D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-1.5918</w:t>
            </w:r>
          </w:p>
        </w:tc>
        <w:tc>
          <w:tcPr>
            <w:tcW w:w="1134" w:type="dxa"/>
            <w:tcBorders>
              <w:top w:val="nil"/>
              <w:left w:val="nil"/>
              <w:bottom w:val="nil"/>
              <w:right w:val="nil"/>
            </w:tcBorders>
            <w:shd w:val="clear" w:color="auto" w:fill="auto"/>
            <w:noWrap/>
            <w:vAlign w:val="bottom"/>
            <w:hideMark/>
          </w:tcPr>
          <w:p w14:paraId="62C133E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0.9963</w:t>
            </w:r>
          </w:p>
        </w:tc>
        <w:tc>
          <w:tcPr>
            <w:tcW w:w="1117" w:type="dxa"/>
            <w:tcBorders>
              <w:top w:val="nil"/>
              <w:left w:val="nil"/>
              <w:bottom w:val="nil"/>
              <w:right w:val="nil"/>
            </w:tcBorders>
            <w:shd w:val="clear" w:color="auto" w:fill="auto"/>
            <w:noWrap/>
            <w:vAlign w:val="bottom"/>
            <w:hideMark/>
          </w:tcPr>
          <w:p w14:paraId="28F0EF4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0.564</w:t>
            </w:r>
          </w:p>
        </w:tc>
      </w:tr>
      <w:tr w:rsidR="001D7F43" w:rsidRPr="001D7F43" w14:paraId="60E2DC48"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18F02DD4"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In-kind transfers</w:t>
            </w:r>
          </w:p>
        </w:tc>
        <w:tc>
          <w:tcPr>
            <w:tcW w:w="1134" w:type="dxa"/>
            <w:tcBorders>
              <w:top w:val="nil"/>
              <w:left w:val="nil"/>
              <w:bottom w:val="nil"/>
              <w:right w:val="nil"/>
            </w:tcBorders>
            <w:shd w:val="clear" w:color="auto" w:fill="auto"/>
            <w:noWrap/>
            <w:vAlign w:val="bottom"/>
            <w:hideMark/>
          </w:tcPr>
          <w:p w14:paraId="511AEB6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-0.58563</w:t>
            </w:r>
          </w:p>
        </w:tc>
        <w:tc>
          <w:tcPr>
            <w:tcW w:w="1134" w:type="dxa"/>
            <w:tcBorders>
              <w:top w:val="nil"/>
              <w:left w:val="nil"/>
              <w:bottom w:val="nil"/>
              <w:right w:val="nil"/>
            </w:tcBorders>
            <w:shd w:val="clear" w:color="auto" w:fill="auto"/>
            <w:noWrap/>
            <w:vAlign w:val="bottom"/>
            <w:hideMark/>
          </w:tcPr>
          <w:p w14:paraId="10C633B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-0.76126</w:t>
            </w:r>
          </w:p>
        </w:tc>
        <w:tc>
          <w:tcPr>
            <w:tcW w:w="1134" w:type="dxa"/>
            <w:tcBorders>
              <w:top w:val="nil"/>
              <w:left w:val="nil"/>
              <w:bottom w:val="nil"/>
              <w:right w:val="nil"/>
            </w:tcBorders>
            <w:shd w:val="clear" w:color="auto" w:fill="auto"/>
            <w:noWrap/>
            <w:vAlign w:val="bottom"/>
            <w:hideMark/>
          </w:tcPr>
          <w:p w14:paraId="1EBA2CF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-0.47075</w:t>
            </w:r>
          </w:p>
        </w:tc>
        <w:tc>
          <w:tcPr>
            <w:tcW w:w="1134" w:type="dxa"/>
            <w:tcBorders>
              <w:top w:val="nil"/>
              <w:left w:val="nil"/>
              <w:bottom w:val="nil"/>
              <w:right w:val="nil"/>
            </w:tcBorders>
            <w:shd w:val="clear" w:color="auto" w:fill="auto"/>
            <w:noWrap/>
            <w:vAlign w:val="bottom"/>
            <w:hideMark/>
          </w:tcPr>
          <w:p w14:paraId="675C293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-0.50763</w:t>
            </w:r>
          </w:p>
        </w:tc>
        <w:tc>
          <w:tcPr>
            <w:tcW w:w="1117" w:type="dxa"/>
            <w:tcBorders>
              <w:top w:val="nil"/>
              <w:left w:val="nil"/>
              <w:bottom w:val="nil"/>
              <w:right w:val="nil"/>
            </w:tcBorders>
            <w:shd w:val="clear" w:color="auto" w:fill="auto"/>
            <w:noWrap/>
            <w:vAlign w:val="bottom"/>
            <w:hideMark/>
          </w:tcPr>
          <w:p w14:paraId="55A61E3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-0.18793</w:t>
            </w:r>
          </w:p>
        </w:tc>
      </w:tr>
      <w:tr w:rsidR="001D7F43" w:rsidRPr="001D7F43" w14:paraId="2ADBFD11"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7A2992FD"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27F8F62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-2.7591</w:t>
            </w:r>
          </w:p>
        </w:tc>
        <w:tc>
          <w:tcPr>
            <w:tcW w:w="1134" w:type="dxa"/>
            <w:tcBorders>
              <w:top w:val="nil"/>
              <w:left w:val="nil"/>
              <w:bottom w:val="nil"/>
              <w:right w:val="nil"/>
            </w:tcBorders>
            <w:shd w:val="clear" w:color="auto" w:fill="auto"/>
            <w:noWrap/>
            <w:vAlign w:val="bottom"/>
            <w:hideMark/>
          </w:tcPr>
          <w:p w14:paraId="15076AD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-3.5481</w:t>
            </w:r>
          </w:p>
        </w:tc>
        <w:tc>
          <w:tcPr>
            <w:tcW w:w="1134" w:type="dxa"/>
            <w:tcBorders>
              <w:top w:val="nil"/>
              <w:left w:val="nil"/>
              <w:bottom w:val="nil"/>
              <w:right w:val="nil"/>
            </w:tcBorders>
            <w:shd w:val="clear" w:color="auto" w:fill="auto"/>
            <w:noWrap/>
            <w:vAlign w:val="bottom"/>
            <w:hideMark/>
          </w:tcPr>
          <w:p w14:paraId="589B8B6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-1.5901</w:t>
            </w:r>
          </w:p>
        </w:tc>
        <w:tc>
          <w:tcPr>
            <w:tcW w:w="1134" w:type="dxa"/>
            <w:tcBorders>
              <w:top w:val="nil"/>
              <w:left w:val="nil"/>
              <w:bottom w:val="nil"/>
              <w:right w:val="nil"/>
            </w:tcBorders>
            <w:shd w:val="clear" w:color="auto" w:fill="auto"/>
            <w:noWrap/>
            <w:vAlign w:val="bottom"/>
            <w:hideMark/>
          </w:tcPr>
          <w:p w14:paraId="6240F16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-2.5431</w:t>
            </w:r>
          </w:p>
        </w:tc>
        <w:tc>
          <w:tcPr>
            <w:tcW w:w="1117" w:type="dxa"/>
            <w:tcBorders>
              <w:top w:val="nil"/>
              <w:left w:val="nil"/>
              <w:bottom w:val="nil"/>
              <w:right w:val="nil"/>
            </w:tcBorders>
            <w:shd w:val="clear" w:color="auto" w:fill="auto"/>
            <w:noWrap/>
            <w:vAlign w:val="bottom"/>
            <w:hideMark/>
          </w:tcPr>
          <w:p w14:paraId="707A9CB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-0.8339</w:t>
            </w:r>
          </w:p>
        </w:tc>
      </w:tr>
      <w:tr w:rsidR="001D7F43" w:rsidRPr="001D7F43" w14:paraId="06BED28A"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54883923"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In-kind transfers</w:t>
            </w:r>
          </w:p>
        </w:tc>
        <w:tc>
          <w:tcPr>
            <w:tcW w:w="1134" w:type="dxa"/>
            <w:tcBorders>
              <w:top w:val="nil"/>
              <w:left w:val="nil"/>
              <w:bottom w:val="nil"/>
              <w:right w:val="nil"/>
            </w:tcBorders>
            <w:shd w:val="clear" w:color="auto" w:fill="auto"/>
            <w:noWrap/>
            <w:vAlign w:val="bottom"/>
            <w:hideMark/>
          </w:tcPr>
          <w:p w14:paraId="0904C3E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0.146704</w:t>
            </w:r>
          </w:p>
        </w:tc>
        <w:tc>
          <w:tcPr>
            <w:tcW w:w="1134" w:type="dxa"/>
            <w:tcBorders>
              <w:top w:val="nil"/>
              <w:left w:val="nil"/>
              <w:bottom w:val="nil"/>
              <w:right w:val="nil"/>
            </w:tcBorders>
            <w:shd w:val="clear" w:color="auto" w:fill="auto"/>
            <w:noWrap/>
            <w:vAlign w:val="bottom"/>
            <w:hideMark/>
          </w:tcPr>
          <w:p w14:paraId="16DBC2F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-0.19295</w:t>
            </w:r>
          </w:p>
        </w:tc>
        <w:tc>
          <w:tcPr>
            <w:tcW w:w="1134" w:type="dxa"/>
            <w:tcBorders>
              <w:top w:val="nil"/>
              <w:left w:val="nil"/>
              <w:bottom w:val="nil"/>
              <w:right w:val="nil"/>
            </w:tcBorders>
            <w:shd w:val="clear" w:color="auto" w:fill="auto"/>
            <w:noWrap/>
            <w:vAlign w:val="bottom"/>
            <w:hideMark/>
          </w:tcPr>
          <w:p w14:paraId="07D26B7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0.169891</w:t>
            </w:r>
          </w:p>
        </w:tc>
        <w:tc>
          <w:tcPr>
            <w:tcW w:w="1134" w:type="dxa"/>
            <w:tcBorders>
              <w:top w:val="nil"/>
              <w:left w:val="nil"/>
              <w:bottom w:val="nil"/>
              <w:right w:val="nil"/>
            </w:tcBorders>
            <w:shd w:val="clear" w:color="auto" w:fill="auto"/>
            <w:noWrap/>
            <w:vAlign w:val="bottom"/>
            <w:hideMark/>
          </w:tcPr>
          <w:p w14:paraId="2E71C53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-0.12906</w:t>
            </w:r>
          </w:p>
        </w:tc>
        <w:tc>
          <w:tcPr>
            <w:tcW w:w="1117" w:type="dxa"/>
            <w:tcBorders>
              <w:top w:val="nil"/>
              <w:left w:val="nil"/>
              <w:bottom w:val="nil"/>
              <w:right w:val="nil"/>
            </w:tcBorders>
            <w:shd w:val="clear" w:color="auto" w:fill="auto"/>
            <w:noWrap/>
            <w:vAlign w:val="bottom"/>
            <w:hideMark/>
          </w:tcPr>
          <w:p w14:paraId="5DA7BB0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0.396081</w:t>
            </w:r>
          </w:p>
        </w:tc>
      </w:tr>
      <w:tr w:rsidR="001D7F43" w:rsidRPr="001D7F43" w14:paraId="0A1D4172"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619FA730"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nil"/>
              <w:right w:val="nil"/>
            </w:tcBorders>
            <w:shd w:val="clear" w:color="auto" w:fill="auto"/>
            <w:noWrap/>
            <w:vAlign w:val="bottom"/>
            <w:hideMark/>
          </w:tcPr>
          <w:p w14:paraId="44DDB8F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-0.5468</w:t>
            </w:r>
          </w:p>
        </w:tc>
        <w:tc>
          <w:tcPr>
            <w:tcW w:w="1134" w:type="dxa"/>
            <w:tcBorders>
              <w:top w:val="nil"/>
              <w:left w:val="nil"/>
              <w:bottom w:val="nil"/>
              <w:right w:val="nil"/>
            </w:tcBorders>
            <w:shd w:val="clear" w:color="auto" w:fill="auto"/>
            <w:noWrap/>
            <w:vAlign w:val="bottom"/>
            <w:hideMark/>
          </w:tcPr>
          <w:p w14:paraId="090E0ED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-1.1876</w:t>
            </w:r>
          </w:p>
        </w:tc>
        <w:tc>
          <w:tcPr>
            <w:tcW w:w="1134" w:type="dxa"/>
            <w:tcBorders>
              <w:top w:val="nil"/>
              <w:left w:val="nil"/>
              <w:bottom w:val="nil"/>
              <w:right w:val="nil"/>
            </w:tcBorders>
            <w:shd w:val="clear" w:color="auto" w:fill="auto"/>
            <w:noWrap/>
            <w:vAlign w:val="bottom"/>
            <w:hideMark/>
          </w:tcPr>
          <w:p w14:paraId="7B5AF9A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1.3499</w:t>
            </w:r>
          </w:p>
        </w:tc>
        <w:tc>
          <w:tcPr>
            <w:tcW w:w="1134" w:type="dxa"/>
            <w:tcBorders>
              <w:top w:val="nil"/>
              <w:left w:val="nil"/>
              <w:bottom w:val="nil"/>
              <w:right w:val="nil"/>
            </w:tcBorders>
            <w:shd w:val="clear" w:color="auto" w:fill="auto"/>
            <w:noWrap/>
            <w:vAlign w:val="bottom"/>
            <w:hideMark/>
          </w:tcPr>
          <w:p w14:paraId="6C298A4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-0.6827</w:t>
            </w:r>
          </w:p>
        </w:tc>
        <w:tc>
          <w:tcPr>
            <w:tcW w:w="1117" w:type="dxa"/>
            <w:tcBorders>
              <w:top w:val="nil"/>
              <w:left w:val="nil"/>
              <w:bottom w:val="nil"/>
              <w:right w:val="nil"/>
            </w:tcBorders>
            <w:shd w:val="clear" w:color="auto" w:fill="auto"/>
            <w:noWrap/>
            <w:vAlign w:val="bottom"/>
            <w:hideMark/>
          </w:tcPr>
          <w:p w14:paraId="10AAF8F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1.2747</w:t>
            </w:r>
          </w:p>
        </w:tc>
      </w:tr>
      <w:tr w:rsidR="001D7F43" w:rsidRPr="001D7F43" w14:paraId="38F9853E"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1F646A9D"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In-cash transfers</w:t>
            </w:r>
          </w:p>
        </w:tc>
        <w:tc>
          <w:tcPr>
            <w:tcW w:w="1134" w:type="dxa"/>
            <w:tcBorders>
              <w:top w:val="nil"/>
              <w:left w:val="nil"/>
              <w:bottom w:val="nil"/>
              <w:right w:val="nil"/>
            </w:tcBorders>
            <w:shd w:val="clear" w:color="auto" w:fill="auto"/>
            <w:noWrap/>
            <w:vAlign w:val="bottom"/>
            <w:hideMark/>
          </w:tcPr>
          <w:p w14:paraId="6A5AC55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-0.95255</w:t>
            </w:r>
          </w:p>
        </w:tc>
        <w:tc>
          <w:tcPr>
            <w:tcW w:w="1134" w:type="dxa"/>
            <w:tcBorders>
              <w:top w:val="nil"/>
              <w:left w:val="nil"/>
              <w:bottom w:val="nil"/>
              <w:right w:val="nil"/>
            </w:tcBorders>
            <w:shd w:val="clear" w:color="auto" w:fill="auto"/>
            <w:noWrap/>
            <w:vAlign w:val="bottom"/>
            <w:hideMark/>
          </w:tcPr>
          <w:p w14:paraId="3751F00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-1.25267</w:t>
            </w:r>
          </w:p>
        </w:tc>
        <w:tc>
          <w:tcPr>
            <w:tcW w:w="1134" w:type="dxa"/>
            <w:tcBorders>
              <w:top w:val="nil"/>
              <w:left w:val="nil"/>
              <w:bottom w:val="nil"/>
              <w:right w:val="nil"/>
            </w:tcBorders>
            <w:shd w:val="clear" w:color="auto" w:fill="auto"/>
            <w:noWrap/>
            <w:vAlign w:val="bottom"/>
            <w:hideMark/>
          </w:tcPr>
          <w:p w14:paraId="5D7115D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-0.92266</w:t>
            </w:r>
          </w:p>
        </w:tc>
        <w:tc>
          <w:tcPr>
            <w:tcW w:w="1134" w:type="dxa"/>
            <w:tcBorders>
              <w:top w:val="nil"/>
              <w:left w:val="nil"/>
              <w:bottom w:val="nil"/>
              <w:right w:val="nil"/>
            </w:tcBorders>
            <w:shd w:val="clear" w:color="auto" w:fill="auto"/>
            <w:noWrap/>
            <w:vAlign w:val="bottom"/>
            <w:hideMark/>
          </w:tcPr>
          <w:p w14:paraId="565F3A1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0.830377</w:t>
            </w:r>
          </w:p>
        </w:tc>
        <w:tc>
          <w:tcPr>
            <w:tcW w:w="1117" w:type="dxa"/>
            <w:tcBorders>
              <w:top w:val="nil"/>
              <w:left w:val="nil"/>
              <w:bottom w:val="nil"/>
              <w:right w:val="nil"/>
            </w:tcBorders>
            <w:shd w:val="clear" w:color="auto" w:fill="auto"/>
            <w:noWrap/>
            <w:vAlign w:val="bottom"/>
            <w:hideMark/>
          </w:tcPr>
          <w:p w14:paraId="1E44303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-0.55081</w:t>
            </w:r>
          </w:p>
        </w:tc>
      </w:tr>
      <w:tr w:rsidR="001D7F43" w:rsidRPr="001D7F43" w14:paraId="06D0461E"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57797343"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6947C61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-6.1854</w:t>
            </w:r>
          </w:p>
        </w:tc>
        <w:tc>
          <w:tcPr>
            <w:tcW w:w="1134" w:type="dxa"/>
            <w:tcBorders>
              <w:top w:val="nil"/>
              <w:left w:val="nil"/>
              <w:bottom w:val="nil"/>
              <w:right w:val="nil"/>
            </w:tcBorders>
            <w:shd w:val="clear" w:color="auto" w:fill="auto"/>
            <w:noWrap/>
            <w:vAlign w:val="bottom"/>
            <w:hideMark/>
          </w:tcPr>
          <w:p w14:paraId="0186C6F5"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-5.0232</w:t>
            </w:r>
          </w:p>
        </w:tc>
        <w:tc>
          <w:tcPr>
            <w:tcW w:w="1134" w:type="dxa"/>
            <w:tcBorders>
              <w:top w:val="nil"/>
              <w:left w:val="nil"/>
              <w:bottom w:val="nil"/>
              <w:right w:val="nil"/>
            </w:tcBorders>
            <w:shd w:val="clear" w:color="auto" w:fill="auto"/>
            <w:noWrap/>
            <w:vAlign w:val="bottom"/>
            <w:hideMark/>
          </w:tcPr>
          <w:p w14:paraId="2A8B68B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-4.5687</w:t>
            </w:r>
          </w:p>
        </w:tc>
        <w:tc>
          <w:tcPr>
            <w:tcW w:w="1134" w:type="dxa"/>
            <w:tcBorders>
              <w:top w:val="nil"/>
              <w:left w:val="nil"/>
              <w:bottom w:val="nil"/>
              <w:right w:val="nil"/>
            </w:tcBorders>
            <w:shd w:val="clear" w:color="auto" w:fill="auto"/>
            <w:noWrap/>
            <w:vAlign w:val="bottom"/>
            <w:hideMark/>
          </w:tcPr>
          <w:p w14:paraId="413DFC4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-3.851</w:t>
            </w:r>
          </w:p>
        </w:tc>
        <w:tc>
          <w:tcPr>
            <w:tcW w:w="1117" w:type="dxa"/>
            <w:tcBorders>
              <w:top w:val="nil"/>
              <w:left w:val="nil"/>
              <w:bottom w:val="nil"/>
              <w:right w:val="nil"/>
            </w:tcBorders>
            <w:shd w:val="clear" w:color="auto" w:fill="auto"/>
            <w:noWrap/>
            <w:vAlign w:val="bottom"/>
            <w:hideMark/>
          </w:tcPr>
          <w:p w14:paraId="0204A23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-1.8234</w:t>
            </w:r>
          </w:p>
        </w:tc>
      </w:tr>
      <w:tr w:rsidR="001D7F43" w:rsidRPr="001D7F43" w14:paraId="093E9685"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7F1EA578"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In-cash transfers</w:t>
            </w:r>
          </w:p>
        </w:tc>
        <w:tc>
          <w:tcPr>
            <w:tcW w:w="1134" w:type="dxa"/>
            <w:tcBorders>
              <w:top w:val="nil"/>
              <w:left w:val="nil"/>
              <w:bottom w:val="nil"/>
              <w:right w:val="nil"/>
            </w:tcBorders>
            <w:shd w:val="clear" w:color="auto" w:fill="auto"/>
            <w:noWrap/>
            <w:vAlign w:val="bottom"/>
            <w:hideMark/>
          </w:tcPr>
          <w:p w14:paraId="55BEE2BF"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-0.71124</w:t>
            </w:r>
          </w:p>
        </w:tc>
        <w:tc>
          <w:tcPr>
            <w:tcW w:w="1134" w:type="dxa"/>
            <w:tcBorders>
              <w:top w:val="nil"/>
              <w:left w:val="nil"/>
              <w:bottom w:val="nil"/>
              <w:right w:val="nil"/>
            </w:tcBorders>
            <w:shd w:val="clear" w:color="auto" w:fill="auto"/>
            <w:noWrap/>
            <w:vAlign w:val="bottom"/>
            <w:hideMark/>
          </w:tcPr>
          <w:p w14:paraId="170D952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-0.191</w:t>
            </w:r>
          </w:p>
        </w:tc>
        <w:tc>
          <w:tcPr>
            <w:tcW w:w="1134" w:type="dxa"/>
            <w:tcBorders>
              <w:top w:val="nil"/>
              <w:left w:val="nil"/>
              <w:bottom w:val="nil"/>
              <w:right w:val="nil"/>
            </w:tcBorders>
            <w:shd w:val="clear" w:color="auto" w:fill="auto"/>
            <w:noWrap/>
            <w:vAlign w:val="bottom"/>
            <w:hideMark/>
          </w:tcPr>
          <w:p w14:paraId="7F20A66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0.007326</w:t>
            </w:r>
          </w:p>
        </w:tc>
        <w:tc>
          <w:tcPr>
            <w:tcW w:w="1134" w:type="dxa"/>
            <w:tcBorders>
              <w:top w:val="nil"/>
              <w:left w:val="nil"/>
              <w:bottom w:val="nil"/>
              <w:right w:val="nil"/>
            </w:tcBorders>
            <w:shd w:val="clear" w:color="auto" w:fill="auto"/>
            <w:noWrap/>
            <w:vAlign w:val="bottom"/>
            <w:hideMark/>
          </w:tcPr>
          <w:p w14:paraId="229BB89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-0.03079</w:t>
            </w:r>
          </w:p>
        </w:tc>
        <w:tc>
          <w:tcPr>
            <w:tcW w:w="1117" w:type="dxa"/>
            <w:tcBorders>
              <w:top w:val="nil"/>
              <w:left w:val="nil"/>
              <w:bottom w:val="nil"/>
              <w:right w:val="nil"/>
            </w:tcBorders>
            <w:shd w:val="clear" w:color="auto" w:fill="auto"/>
            <w:noWrap/>
            <w:vAlign w:val="bottom"/>
            <w:hideMark/>
          </w:tcPr>
          <w:p w14:paraId="4B04911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-0.02675</w:t>
            </w:r>
          </w:p>
        </w:tc>
      </w:tr>
      <w:tr w:rsidR="001D7F43" w:rsidRPr="001D7F43" w14:paraId="5AE9448F" w14:textId="77777777" w:rsidTr="006855EE">
        <w:trPr>
          <w:gridAfter w:val="2"/>
          <w:divId w:val="963850383"/>
          <w:wAfter w:w="397" w:type="dxa"/>
          <w:trHeight w:val="20"/>
          <w:jc w:val="center"/>
        </w:trPr>
        <w:tc>
          <w:tcPr>
            <w:tcW w:w="1985" w:type="dxa"/>
            <w:tcBorders>
              <w:top w:val="nil"/>
              <w:left w:val="nil"/>
              <w:bottom w:val="single" w:sz="4" w:space="0" w:color="auto"/>
              <w:right w:val="nil"/>
            </w:tcBorders>
            <w:shd w:val="clear" w:color="auto" w:fill="auto"/>
            <w:noWrap/>
            <w:vAlign w:val="bottom"/>
            <w:hideMark/>
          </w:tcPr>
          <w:p w14:paraId="41210F29"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single" w:sz="4" w:space="0" w:color="auto"/>
              <w:right w:val="nil"/>
            </w:tcBorders>
            <w:shd w:val="clear" w:color="auto" w:fill="auto"/>
            <w:noWrap/>
            <w:vAlign w:val="bottom"/>
            <w:hideMark/>
          </w:tcPr>
          <w:p w14:paraId="2C4F5D2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-2.2879</w:t>
            </w:r>
          </w:p>
        </w:tc>
        <w:tc>
          <w:tcPr>
            <w:tcW w:w="1134" w:type="dxa"/>
            <w:tcBorders>
              <w:top w:val="nil"/>
              <w:left w:val="nil"/>
              <w:bottom w:val="single" w:sz="4" w:space="0" w:color="auto"/>
              <w:right w:val="nil"/>
            </w:tcBorders>
            <w:shd w:val="clear" w:color="auto" w:fill="auto"/>
            <w:noWrap/>
            <w:vAlign w:val="bottom"/>
            <w:hideMark/>
          </w:tcPr>
          <w:p w14:paraId="7BB48E8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-0.5983</w:t>
            </w:r>
          </w:p>
        </w:tc>
        <w:tc>
          <w:tcPr>
            <w:tcW w:w="1134" w:type="dxa"/>
            <w:tcBorders>
              <w:top w:val="nil"/>
              <w:left w:val="nil"/>
              <w:bottom w:val="single" w:sz="4" w:space="0" w:color="auto"/>
              <w:right w:val="nil"/>
            </w:tcBorders>
            <w:shd w:val="clear" w:color="auto" w:fill="auto"/>
            <w:noWrap/>
            <w:vAlign w:val="bottom"/>
            <w:hideMark/>
          </w:tcPr>
          <w:p w14:paraId="58CCE58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0.0261</w:t>
            </w:r>
          </w:p>
        </w:tc>
        <w:tc>
          <w:tcPr>
            <w:tcW w:w="1134" w:type="dxa"/>
            <w:tcBorders>
              <w:top w:val="nil"/>
              <w:left w:val="nil"/>
              <w:bottom w:val="single" w:sz="4" w:space="0" w:color="auto"/>
              <w:right w:val="nil"/>
            </w:tcBorders>
            <w:shd w:val="clear" w:color="auto" w:fill="auto"/>
            <w:noWrap/>
            <w:vAlign w:val="bottom"/>
            <w:hideMark/>
          </w:tcPr>
          <w:p w14:paraId="478F2CA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-0.0872</w:t>
            </w:r>
          </w:p>
        </w:tc>
        <w:tc>
          <w:tcPr>
            <w:tcW w:w="1117" w:type="dxa"/>
            <w:tcBorders>
              <w:top w:val="nil"/>
              <w:left w:val="nil"/>
              <w:bottom w:val="single" w:sz="4" w:space="0" w:color="auto"/>
              <w:right w:val="nil"/>
            </w:tcBorders>
            <w:shd w:val="clear" w:color="auto" w:fill="auto"/>
            <w:noWrap/>
            <w:vAlign w:val="bottom"/>
            <w:hideMark/>
          </w:tcPr>
          <w:p w14:paraId="5AB1327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-0.0261</w:t>
            </w:r>
          </w:p>
        </w:tc>
      </w:tr>
      <w:tr w:rsidR="001D7F43" w:rsidRPr="001D7F43" w14:paraId="40BEBC4B"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41F8198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p>
        </w:tc>
        <w:tc>
          <w:tcPr>
            <w:tcW w:w="1134" w:type="dxa"/>
            <w:tcBorders>
              <w:top w:val="nil"/>
              <w:left w:val="nil"/>
              <w:bottom w:val="nil"/>
              <w:right w:val="nil"/>
            </w:tcBorders>
            <w:shd w:val="clear" w:color="auto" w:fill="auto"/>
            <w:noWrap/>
            <w:vAlign w:val="bottom"/>
            <w:hideMark/>
          </w:tcPr>
          <w:p w14:paraId="65F872B6"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07559713"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7991570A"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57C5221A"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40BA28DF"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r>
      <w:tr w:rsidR="001D7F43" w:rsidRPr="001D7F43" w14:paraId="1898093B"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704A5572"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EBCEC33"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0BE4F0B"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7FEB5633"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0256D060"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5784B170"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r>
      <w:tr w:rsidR="001D7F43" w:rsidRPr="001D7F43" w14:paraId="4493A6D2" w14:textId="77777777" w:rsidTr="006855EE">
        <w:trPr>
          <w:gridAfter w:val="2"/>
          <w:divId w:val="963850383"/>
          <w:wAfter w:w="397" w:type="dxa"/>
          <w:trHeight w:val="20"/>
          <w:jc w:val="center"/>
        </w:trPr>
        <w:tc>
          <w:tcPr>
            <w:tcW w:w="1985" w:type="dxa"/>
            <w:tcBorders>
              <w:top w:val="single" w:sz="4" w:space="0" w:color="auto"/>
              <w:left w:val="nil"/>
              <w:bottom w:val="nil"/>
              <w:right w:val="nil"/>
            </w:tcBorders>
            <w:shd w:val="clear" w:color="auto" w:fill="auto"/>
            <w:noWrap/>
            <w:vAlign w:val="bottom"/>
            <w:hideMark/>
          </w:tcPr>
          <w:p w14:paraId="1BA6EA5D"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Property taxes</w:t>
            </w:r>
          </w:p>
        </w:tc>
        <w:tc>
          <w:tcPr>
            <w:tcW w:w="1134" w:type="dxa"/>
            <w:tcBorders>
              <w:top w:val="single" w:sz="4" w:space="0" w:color="auto"/>
              <w:left w:val="nil"/>
              <w:bottom w:val="nil"/>
              <w:right w:val="nil"/>
            </w:tcBorders>
            <w:shd w:val="clear" w:color="auto" w:fill="auto"/>
            <w:noWrap/>
            <w:vAlign w:val="bottom"/>
            <w:hideMark/>
          </w:tcPr>
          <w:p w14:paraId="6D79A1A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0.012637</w:t>
            </w:r>
          </w:p>
        </w:tc>
        <w:tc>
          <w:tcPr>
            <w:tcW w:w="1134" w:type="dxa"/>
            <w:tcBorders>
              <w:top w:val="single" w:sz="4" w:space="0" w:color="auto"/>
              <w:left w:val="nil"/>
              <w:bottom w:val="nil"/>
              <w:right w:val="nil"/>
            </w:tcBorders>
            <w:shd w:val="clear" w:color="auto" w:fill="auto"/>
            <w:noWrap/>
            <w:vAlign w:val="bottom"/>
            <w:hideMark/>
          </w:tcPr>
          <w:p w14:paraId="6E3BD33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0.04311</w:t>
            </w:r>
          </w:p>
        </w:tc>
        <w:tc>
          <w:tcPr>
            <w:tcW w:w="1134" w:type="dxa"/>
            <w:tcBorders>
              <w:top w:val="single" w:sz="4" w:space="0" w:color="auto"/>
              <w:left w:val="nil"/>
              <w:bottom w:val="nil"/>
              <w:right w:val="nil"/>
            </w:tcBorders>
            <w:shd w:val="clear" w:color="auto" w:fill="auto"/>
            <w:noWrap/>
            <w:vAlign w:val="bottom"/>
            <w:hideMark/>
          </w:tcPr>
          <w:p w14:paraId="0822EAE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0.048724</w:t>
            </w:r>
          </w:p>
        </w:tc>
        <w:tc>
          <w:tcPr>
            <w:tcW w:w="1134" w:type="dxa"/>
            <w:tcBorders>
              <w:top w:val="single" w:sz="4" w:space="0" w:color="auto"/>
              <w:left w:val="nil"/>
              <w:bottom w:val="nil"/>
              <w:right w:val="nil"/>
            </w:tcBorders>
            <w:shd w:val="clear" w:color="auto" w:fill="auto"/>
            <w:noWrap/>
            <w:vAlign w:val="bottom"/>
            <w:hideMark/>
          </w:tcPr>
          <w:p w14:paraId="3E9983F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0.038707</w:t>
            </w:r>
          </w:p>
        </w:tc>
        <w:tc>
          <w:tcPr>
            <w:tcW w:w="1117" w:type="dxa"/>
            <w:tcBorders>
              <w:top w:val="single" w:sz="4" w:space="0" w:color="auto"/>
              <w:left w:val="nil"/>
              <w:bottom w:val="nil"/>
              <w:right w:val="nil"/>
            </w:tcBorders>
            <w:shd w:val="clear" w:color="auto" w:fill="auto"/>
            <w:noWrap/>
            <w:vAlign w:val="bottom"/>
            <w:hideMark/>
          </w:tcPr>
          <w:p w14:paraId="2269815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0.033993</w:t>
            </w:r>
          </w:p>
        </w:tc>
      </w:tr>
      <w:tr w:rsidR="001D7F43" w:rsidRPr="001D7F43" w14:paraId="4D21F86D"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6F739350"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3FE759C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0.5584</w:t>
            </w:r>
          </w:p>
        </w:tc>
        <w:tc>
          <w:tcPr>
            <w:tcW w:w="1134" w:type="dxa"/>
            <w:tcBorders>
              <w:top w:val="nil"/>
              <w:left w:val="nil"/>
              <w:bottom w:val="nil"/>
              <w:right w:val="nil"/>
            </w:tcBorders>
            <w:shd w:val="clear" w:color="auto" w:fill="auto"/>
            <w:noWrap/>
            <w:vAlign w:val="bottom"/>
            <w:hideMark/>
          </w:tcPr>
          <w:p w14:paraId="296BE88F"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1.433</w:t>
            </w:r>
          </w:p>
        </w:tc>
        <w:tc>
          <w:tcPr>
            <w:tcW w:w="1134" w:type="dxa"/>
            <w:tcBorders>
              <w:top w:val="nil"/>
              <w:left w:val="nil"/>
              <w:bottom w:val="nil"/>
              <w:right w:val="nil"/>
            </w:tcBorders>
            <w:shd w:val="clear" w:color="auto" w:fill="auto"/>
            <w:noWrap/>
            <w:vAlign w:val="bottom"/>
            <w:hideMark/>
          </w:tcPr>
          <w:p w14:paraId="2BC5717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1.6213</w:t>
            </w:r>
          </w:p>
        </w:tc>
        <w:tc>
          <w:tcPr>
            <w:tcW w:w="1134" w:type="dxa"/>
            <w:tcBorders>
              <w:top w:val="nil"/>
              <w:left w:val="nil"/>
              <w:bottom w:val="nil"/>
              <w:right w:val="nil"/>
            </w:tcBorders>
            <w:shd w:val="clear" w:color="auto" w:fill="auto"/>
            <w:noWrap/>
            <w:vAlign w:val="bottom"/>
            <w:hideMark/>
          </w:tcPr>
          <w:p w14:paraId="509DDE6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1.1414</w:t>
            </w:r>
          </w:p>
        </w:tc>
        <w:tc>
          <w:tcPr>
            <w:tcW w:w="1117" w:type="dxa"/>
            <w:tcBorders>
              <w:top w:val="nil"/>
              <w:left w:val="nil"/>
              <w:bottom w:val="nil"/>
              <w:right w:val="nil"/>
            </w:tcBorders>
            <w:shd w:val="clear" w:color="auto" w:fill="auto"/>
            <w:noWrap/>
            <w:vAlign w:val="bottom"/>
            <w:hideMark/>
          </w:tcPr>
          <w:p w14:paraId="536B0EC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1.006</w:t>
            </w:r>
          </w:p>
        </w:tc>
      </w:tr>
      <w:tr w:rsidR="001D7F43" w:rsidRPr="001D7F43" w14:paraId="08229D18"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2B44402C"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Property taxes</w:t>
            </w:r>
          </w:p>
        </w:tc>
        <w:tc>
          <w:tcPr>
            <w:tcW w:w="1134" w:type="dxa"/>
            <w:tcBorders>
              <w:top w:val="nil"/>
              <w:left w:val="nil"/>
              <w:bottom w:val="nil"/>
              <w:right w:val="nil"/>
            </w:tcBorders>
            <w:shd w:val="clear" w:color="auto" w:fill="auto"/>
            <w:noWrap/>
            <w:vAlign w:val="bottom"/>
            <w:hideMark/>
          </w:tcPr>
          <w:p w14:paraId="745E91E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0.007071</w:t>
            </w:r>
          </w:p>
        </w:tc>
        <w:tc>
          <w:tcPr>
            <w:tcW w:w="1134" w:type="dxa"/>
            <w:tcBorders>
              <w:top w:val="nil"/>
              <w:left w:val="nil"/>
              <w:bottom w:val="nil"/>
              <w:right w:val="nil"/>
            </w:tcBorders>
            <w:shd w:val="clear" w:color="auto" w:fill="auto"/>
            <w:noWrap/>
            <w:vAlign w:val="bottom"/>
            <w:hideMark/>
          </w:tcPr>
          <w:p w14:paraId="6B10346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0.022379</w:t>
            </w:r>
          </w:p>
        </w:tc>
        <w:tc>
          <w:tcPr>
            <w:tcW w:w="1134" w:type="dxa"/>
            <w:tcBorders>
              <w:top w:val="nil"/>
              <w:left w:val="nil"/>
              <w:bottom w:val="nil"/>
              <w:right w:val="nil"/>
            </w:tcBorders>
            <w:shd w:val="clear" w:color="auto" w:fill="auto"/>
            <w:noWrap/>
            <w:vAlign w:val="bottom"/>
            <w:hideMark/>
          </w:tcPr>
          <w:p w14:paraId="67B7BD1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0.044496</w:t>
            </w:r>
          </w:p>
        </w:tc>
        <w:tc>
          <w:tcPr>
            <w:tcW w:w="1134" w:type="dxa"/>
            <w:tcBorders>
              <w:top w:val="nil"/>
              <w:left w:val="nil"/>
              <w:bottom w:val="nil"/>
              <w:right w:val="nil"/>
            </w:tcBorders>
            <w:shd w:val="clear" w:color="auto" w:fill="auto"/>
            <w:noWrap/>
            <w:vAlign w:val="bottom"/>
            <w:hideMark/>
          </w:tcPr>
          <w:p w14:paraId="0EDF166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0.002223</w:t>
            </w:r>
          </w:p>
        </w:tc>
        <w:tc>
          <w:tcPr>
            <w:tcW w:w="1117" w:type="dxa"/>
            <w:tcBorders>
              <w:top w:val="nil"/>
              <w:left w:val="nil"/>
              <w:bottom w:val="nil"/>
              <w:right w:val="nil"/>
            </w:tcBorders>
            <w:shd w:val="clear" w:color="auto" w:fill="auto"/>
            <w:noWrap/>
            <w:vAlign w:val="bottom"/>
            <w:hideMark/>
          </w:tcPr>
          <w:p w14:paraId="1F6BDDA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0.026811</w:t>
            </w:r>
          </w:p>
        </w:tc>
      </w:tr>
      <w:tr w:rsidR="001D7F43" w:rsidRPr="001D7F43" w14:paraId="7F7A79A7"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32F16442"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nil"/>
              <w:right w:val="nil"/>
            </w:tcBorders>
            <w:shd w:val="clear" w:color="auto" w:fill="auto"/>
            <w:noWrap/>
            <w:vAlign w:val="bottom"/>
            <w:hideMark/>
          </w:tcPr>
          <w:p w14:paraId="719FF6D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0.2354</w:t>
            </w:r>
          </w:p>
        </w:tc>
        <w:tc>
          <w:tcPr>
            <w:tcW w:w="1134" w:type="dxa"/>
            <w:tcBorders>
              <w:top w:val="nil"/>
              <w:left w:val="nil"/>
              <w:bottom w:val="nil"/>
              <w:right w:val="nil"/>
            </w:tcBorders>
            <w:shd w:val="clear" w:color="auto" w:fill="auto"/>
            <w:noWrap/>
            <w:vAlign w:val="bottom"/>
            <w:hideMark/>
          </w:tcPr>
          <w:p w14:paraId="20CD7F28"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0.6374</w:t>
            </w:r>
          </w:p>
        </w:tc>
        <w:tc>
          <w:tcPr>
            <w:tcW w:w="1134" w:type="dxa"/>
            <w:tcBorders>
              <w:top w:val="nil"/>
              <w:left w:val="nil"/>
              <w:bottom w:val="nil"/>
              <w:right w:val="nil"/>
            </w:tcBorders>
            <w:shd w:val="clear" w:color="auto" w:fill="auto"/>
            <w:noWrap/>
            <w:vAlign w:val="bottom"/>
            <w:hideMark/>
          </w:tcPr>
          <w:p w14:paraId="0693EE7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1.0837</w:t>
            </w:r>
          </w:p>
        </w:tc>
        <w:tc>
          <w:tcPr>
            <w:tcW w:w="1134" w:type="dxa"/>
            <w:tcBorders>
              <w:top w:val="nil"/>
              <w:left w:val="nil"/>
              <w:bottom w:val="nil"/>
              <w:right w:val="nil"/>
            </w:tcBorders>
            <w:shd w:val="clear" w:color="auto" w:fill="auto"/>
            <w:noWrap/>
            <w:vAlign w:val="bottom"/>
            <w:hideMark/>
          </w:tcPr>
          <w:p w14:paraId="7430D36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0.0514</w:t>
            </w:r>
          </w:p>
        </w:tc>
        <w:tc>
          <w:tcPr>
            <w:tcW w:w="1117" w:type="dxa"/>
            <w:tcBorders>
              <w:top w:val="nil"/>
              <w:left w:val="nil"/>
              <w:bottom w:val="nil"/>
              <w:right w:val="nil"/>
            </w:tcBorders>
            <w:shd w:val="clear" w:color="auto" w:fill="auto"/>
            <w:noWrap/>
            <w:vAlign w:val="bottom"/>
            <w:hideMark/>
          </w:tcPr>
          <w:p w14:paraId="102BE84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0.4623</w:t>
            </w:r>
          </w:p>
        </w:tc>
      </w:tr>
      <w:tr w:rsidR="001D7F43" w:rsidRPr="001D7F43" w14:paraId="24E871AC"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1899ECAA"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Indirect taxes</w:t>
            </w:r>
          </w:p>
        </w:tc>
        <w:tc>
          <w:tcPr>
            <w:tcW w:w="1134" w:type="dxa"/>
            <w:tcBorders>
              <w:top w:val="nil"/>
              <w:left w:val="nil"/>
              <w:bottom w:val="nil"/>
              <w:right w:val="nil"/>
            </w:tcBorders>
            <w:shd w:val="clear" w:color="auto" w:fill="auto"/>
            <w:noWrap/>
            <w:vAlign w:val="bottom"/>
            <w:hideMark/>
          </w:tcPr>
          <w:p w14:paraId="6418E5EF"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-0.48486</w:t>
            </w:r>
          </w:p>
        </w:tc>
        <w:tc>
          <w:tcPr>
            <w:tcW w:w="1134" w:type="dxa"/>
            <w:tcBorders>
              <w:top w:val="nil"/>
              <w:left w:val="nil"/>
              <w:bottom w:val="nil"/>
              <w:right w:val="nil"/>
            </w:tcBorders>
            <w:shd w:val="clear" w:color="auto" w:fill="auto"/>
            <w:noWrap/>
            <w:vAlign w:val="bottom"/>
            <w:hideMark/>
          </w:tcPr>
          <w:p w14:paraId="2A39FA2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-0.54533</w:t>
            </w:r>
          </w:p>
        </w:tc>
        <w:tc>
          <w:tcPr>
            <w:tcW w:w="1134" w:type="dxa"/>
            <w:tcBorders>
              <w:top w:val="nil"/>
              <w:left w:val="nil"/>
              <w:bottom w:val="nil"/>
              <w:right w:val="nil"/>
            </w:tcBorders>
            <w:shd w:val="clear" w:color="auto" w:fill="auto"/>
            <w:noWrap/>
            <w:vAlign w:val="bottom"/>
            <w:hideMark/>
          </w:tcPr>
          <w:p w14:paraId="0D3EC5C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-0.59608</w:t>
            </w:r>
          </w:p>
        </w:tc>
        <w:tc>
          <w:tcPr>
            <w:tcW w:w="1134" w:type="dxa"/>
            <w:tcBorders>
              <w:top w:val="nil"/>
              <w:left w:val="nil"/>
              <w:bottom w:val="nil"/>
              <w:right w:val="nil"/>
            </w:tcBorders>
            <w:shd w:val="clear" w:color="auto" w:fill="auto"/>
            <w:noWrap/>
            <w:vAlign w:val="bottom"/>
            <w:hideMark/>
          </w:tcPr>
          <w:p w14:paraId="3C36E0D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-0.47982</w:t>
            </w:r>
          </w:p>
        </w:tc>
        <w:tc>
          <w:tcPr>
            <w:tcW w:w="1117" w:type="dxa"/>
            <w:tcBorders>
              <w:top w:val="nil"/>
              <w:left w:val="nil"/>
              <w:bottom w:val="nil"/>
              <w:right w:val="nil"/>
            </w:tcBorders>
            <w:shd w:val="clear" w:color="auto" w:fill="auto"/>
            <w:noWrap/>
            <w:vAlign w:val="bottom"/>
            <w:hideMark/>
          </w:tcPr>
          <w:p w14:paraId="205CD87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-0.86514</w:t>
            </w:r>
          </w:p>
        </w:tc>
      </w:tr>
      <w:tr w:rsidR="001D7F43" w:rsidRPr="001D7F43" w14:paraId="63E378EB"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045D8850"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13431AB7"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-2.2728</w:t>
            </w:r>
          </w:p>
        </w:tc>
        <w:tc>
          <w:tcPr>
            <w:tcW w:w="1134" w:type="dxa"/>
            <w:tcBorders>
              <w:top w:val="nil"/>
              <w:left w:val="nil"/>
              <w:bottom w:val="nil"/>
              <w:right w:val="nil"/>
            </w:tcBorders>
            <w:shd w:val="clear" w:color="auto" w:fill="auto"/>
            <w:noWrap/>
            <w:vAlign w:val="bottom"/>
            <w:hideMark/>
          </w:tcPr>
          <w:p w14:paraId="1064940F"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-1.6573</w:t>
            </w:r>
          </w:p>
        </w:tc>
        <w:tc>
          <w:tcPr>
            <w:tcW w:w="1134" w:type="dxa"/>
            <w:tcBorders>
              <w:top w:val="nil"/>
              <w:left w:val="nil"/>
              <w:bottom w:val="nil"/>
              <w:right w:val="nil"/>
            </w:tcBorders>
            <w:shd w:val="clear" w:color="auto" w:fill="auto"/>
            <w:noWrap/>
            <w:vAlign w:val="bottom"/>
            <w:hideMark/>
          </w:tcPr>
          <w:p w14:paraId="7D90B20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-1.8594</w:t>
            </w:r>
          </w:p>
        </w:tc>
        <w:tc>
          <w:tcPr>
            <w:tcW w:w="1134" w:type="dxa"/>
            <w:tcBorders>
              <w:top w:val="nil"/>
              <w:left w:val="nil"/>
              <w:bottom w:val="nil"/>
              <w:right w:val="nil"/>
            </w:tcBorders>
            <w:shd w:val="clear" w:color="auto" w:fill="auto"/>
            <w:noWrap/>
            <w:vAlign w:val="bottom"/>
            <w:hideMark/>
          </w:tcPr>
          <w:p w14:paraId="330B9C2D"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-2.2728</w:t>
            </w:r>
          </w:p>
        </w:tc>
        <w:tc>
          <w:tcPr>
            <w:tcW w:w="1117" w:type="dxa"/>
            <w:tcBorders>
              <w:top w:val="nil"/>
              <w:left w:val="nil"/>
              <w:bottom w:val="nil"/>
              <w:right w:val="nil"/>
            </w:tcBorders>
            <w:shd w:val="clear" w:color="auto" w:fill="auto"/>
            <w:noWrap/>
            <w:vAlign w:val="bottom"/>
            <w:hideMark/>
          </w:tcPr>
          <w:p w14:paraId="5F73432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-3.575</w:t>
            </w:r>
          </w:p>
        </w:tc>
      </w:tr>
      <w:tr w:rsidR="001D7F43" w:rsidRPr="001D7F43" w14:paraId="66AF7550"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28A2BC18" w14:textId="77777777" w:rsidR="001D7F43" w:rsidRPr="001D7F43" w:rsidRDefault="001D7F43" w:rsidP="001D7F43">
            <w:pPr>
              <w:spacing w:after="0" w:line="240" w:lineRule="auto"/>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Indirect taxes</w:t>
            </w:r>
          </w:p>
        </w:tc>
        <w:tc>
          <w:tcPr>
            <w:tcW w:w="1134" w:type="dxa"/>
            <w:tcBorders>
              <w:top w:val="nil"/>
              <w:left w:val="nil"/>
              <w:bottom w:val="nil"/>
              <w:right w:val="nil"/>
            </w:tcBorders>
            <w:shd w:val="clear" w:color="auto" w:fill="auto"/>
            <w:noWrap/>
            <w:vAlign w:val="bottom"/>
            <w:hideMark/>
          </w:tcPr>
          <w:p w14:paraId="0616ADB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-0.41799</w:t>
            </w:r>
          </w:p>
        </w:tc>
        <w:tc>
          <w:tcPr>
            <w:tcW w:w="1134" w:type="dxa"/>
            <w:tcBorders>
              <w:top w:val="nil"/>
              <w:left w:val="nil"/>
              <w:bottom w:val="nil"/>
              <w:right w:val="nil"/>
            </w:tcBorders>
            <w:shd w:val="clear" w:color="auto" w:fill="auto"/>
            <w:noWrap/>
            <w:vAlign w:val="bottom"/>
            <w:hideMark/>
          </w:tcPr>
          <w:p w14:paraId="2F1282B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-1.15687</w:t>
            </w:r>
          </w:p>
        </w:tc>
        <w:tc>
          <w:tcPr>
            <w:tcW w:w="1134" w:type="dxa"/>
            <w:tcBorders>
              <w:top w:val="nil"/>
              <w:left w:val="nil"/>
              <w:bottom w:val="nil"/>
              <w:right w:val="nil"/>
            </w:tcBorders>
            <w:shd w:val="clear" w:color="auto" w:fill="auto"/>
            <w:noWrap/>
            <w:vAlign w:val="bottom"/>
            <w:hideMark/>
          </w:tcPr>
          <w:p w14:paraId="742DACC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-1.18382</w:t>
            </w:r>
          </w:p>
        </w:tc>
        <w:tc>
          <w:tcPr>
            <w:tcW w:w="1134" w:type="dxa"/>
            <w:tcBorders>
              <w:top w:val="nil"/>
              <w:left w:val="nil"/>
              <w:bottom w:val="nil"/>
              <w:right w:val="nil"/>
            </w:tcBorders>
            <w:shd w:val="clear" w:color="auto" w:fill="auto"/>
            <w:noWrap/>
            <w:vAlign w:val="bottom"/>
            <w:hideMark/>
          </w:tcPr>
          <w:p w14:paraId="17492EC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-1.02618</w:t>
            </w:r>
          </w:p>
        </w:tc>
        <w:tc>
          <w:tcPr>
            <w:tcW w:w="1117" w:type="dxa"/>
            <w:tcBorders>
              <w:top w:val="nil"/>
              <w:left w:val="nil"/>
              <w:bottom w:val="nil"/>
              <w:right w:val="nil"/>
            </w:tcBorders>
            <w:shd w:val="clear" w:color="auto" w:fill="auto"/>
            <w:noWrap/>
            <w:vAlign w:val="bottom"/>
            <w:hideMark/>
          </w:tcPr>
          <w:p w14:paraId="6D94207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-1.30148</w:t>
            </w:r>
          </w:p>
        </w:tc>
      </w:tr>
      <w:tr w:rsidR="001D7F43" w:rsidRPr="001D7F43" w14:paraId="4910D7BD" w14:textId="77777777" w:rsidTr="006855EE">
        <w:trPr>
          <w:gridAfter w:val="2"/>
          <w:divId w:val="963850383"/>
          <w:wAfter w:w="397" w:type="dxa"/>
          <w:trHeight w:val="20"/>
          <w:jc w:val="center"/>
        </w:trPr>
        <w:tc>
          <w:tcPr>
            <w:tcW w:w="1985" w:type="dxa"/>
            <w:tcBorders>
              <w:top w:val="nil"/>
              <w:left w:val="nil"/>
              <w:bottom w:val="single" w:sz="4" w:space="0" w:color="auto"/>
              <w:right w:val="nil"/>
            </w:tcBorders>
            <w:shd w:val="clear" w:color="auto" w:fill="auto"/>
            <w:noWrap/>
            <w:vAlign w:val="bottom"/>
            <w:hideMark/>
          </w:tcPr>
          <w:p w14:paraId="74345B7F"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single" w:sz="4" w:space="0" w:color="auto"/>
              <w:right w:val="nil"/>
            </w:tcBorders>
            <w:shd w:val="clear" w:color="auto" w:fill="auto"/>
            <w:noWrap/>
            <w:vAlign w:val="bottom"/>
            <w:hideMark/>
          </w:tcPr>
          <w:p w14:paraId="17A7046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-1.0942</w:t>
            </w:r>
          </w:p>
        </w:tc>
        <w:tc>
          <w:tcPr>
            <w:tcW w:w="1134" w:type="dxa"/>
            <w:tcBorders>
              <w:top w:val="nil"/>
              <w:left w:val="nil"/>
              <w:bottom w:val="single" w:sz="4" w:space="0" w:color="auto"/>
              <w:right w:val="nil"/>
            </w:tcBorders>
            <w:shd w:val="clear" w:color="auto" w:fill="auto"/>
            <w:noWrap/>
            <w:vAlign w:val="bottom"/>
            <w:hideMark/>
          </w:tcPr>
          <w:p w14:paraId="7D5FF725"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-4.2043</w:t>
            </w:r>
          </w:p>
        </w:tc>
        <w:tc>
          <w:tcPr>
            <w:tcW w:w="1134" w:type="dxa"/>
            <w:tcBorders>
              <w:top w:val="nil"/>
              <w:left w:val="nil"/>
              <w:bottom w:val="single" w:sz="4" w:space="0" w:color="auto"/>
              <w:right w:val="nil"/>
            </w:tcBorders>
            <w:shd w:val="clear" w:color="auto" w:fill="auto"/>
            <w:noWrap/>
            <w:vAlign w:val="bottom"/>
            <w:hideMark/>
          </w:tcPr>
          <w:p w14:paraId="6599349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-3.4258</w:t>
            </w:r>
          </w:p>
        </w:tc>
        <w:tc>
          <w:tcPr>
            <w:tcW w:w="1134" w:type="dxa"/>
            <w:tcBorders>
              <w:top w:val="nil"/>
              <w:left w:val="nil"/>
              <w:bottom w:val="single" w:sz="4" w:space="0" w:color="auto"/>
              <w:right w:val="nil"/>
            </w:tcBorders>
            <w:shd w:val="clear" w:color="auto" w:fill="auto"/>
            <w:noWrap/>
            <w:vAlign w:val="bottom"/>
            <w:hideMark/>
          </w:tcPr>
          <w:p w14:paraId="418338E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-2.8469</w:t>
            </w:r>
          </w:p>
        </w:tc>
        <w:tc>
          <w:tcPr>
            <w:tcW w:w="1117" w:type="dxa"/>
            <w:tcBorders>
              <w:top w:val="nil"/>
              <w:left w:val="nil"/>
              <w:bottom w:val="single" w:sz="4" w:space="0" w:color="auto"/>
              <w:right w:val="nil"/>
            </w:tcBorders>
            <w:shd w:val="clear" w:color="auto" w:fill="auto"/>
            <w:noWrap/>
            <w:vAlign w:val="bottom"/>
            <w:hideMark/>
          </w:tcPr>
          <w:p w14:paraId="622BE584"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-2.4154</w:t>
            </w:r>
          </w:p>
        </w:tc>
      </w:tr>
      <w:tr w:rsidR="001D7F43" w:rsidRPr="001D7F43" w14:paraId="4F5ACE44"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26313EE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p>
        </w:tc>
        <w:tc>
          <w:tcPr>
            <w:tcW w:w="1134" w:type="dxa"/>
            <w:tcBorders>
              <w:top w:val="nil"/>
              <w:left w:val="nil"/>
              <w:bottom w:val="nil"/>
              <w:right w:val="nil"/>
            </w:tcBorders>
            <w:shd w:val="clear" w:color="auto" w:fill="auto"/>
            <w:noWrap/>
            <w:vAlign w:val="bottom"/>
            <w:hideMark/>
          </w:tcPr>
          <w:p w14:paraId="4A463A0B"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032D9EF4"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083799C9"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58136EC4"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7C8D2F41"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r>
      <w:tr w:rsidR="001D7F43" w:rsidRPr="001D7F43" w14:paraId="4A9FE699"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69A7F811"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BE49D8F"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3C7D5AAE"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300C960F"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DE596E9"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1BDB6434" w14:textId="77777777" w:rsidR="001D7F43" w:rsidRPr="001D7F43" w:rsidRDefault="001D7F43" w:rsidP="001D7F43">
            <w:pPr>
              <w:spacing w:after="0" w:line="240" w:lineRule="auto"/>
              <w:rPr>
                <w:rFonts w:ascii="LM Roman 10" w:eastAsia="Times New Roman" w:hAnsi="LM Roman 10" w:cs="Times New Roman"/>
                <w:sz w:val="18"/>
                <w:szCs w:val="18"/>
                <w:lang w:eastAsia="es-ES"/>
              </w:rPr>
            </w:pPr>
          </w:p>
        </w:tc>
      </w:tr>
      <w:tr w:rsidR="001D7F43" w:rsidRPr="001D7F43" w14:paraId="15AD7DA8" w14:textId="77777777" w:rsidTr="006855EE">
        <w:trPr>
          <w:gridAfter w:val="2"/>
          <w:divId w:val="963850383"/>
          <w:wAfter w:w="397" w:type="dxa"/>
          <w:trHeight w:val="20"/>
          <w:jc w:val="center"/>
        </w:trPr>
        <w:tc>
          <w:tcPr>
            <w:tcW w:w="1985" w:type="dxa"/>
            <w:tcBorders>
              <w:top w:val="single" w:sz="4" w:space="0" w:color="auto"/>
              <w:left w:val="nil"/>
              <w:bottom w:val="nil"/>
              <w:right w:val="nil"/>
            </w:tcBorders>
            <w:shd w:val="clear" w:color="auto" w:fill="auto"/>
            <w:noWrap/>
            <w:vAlign w:val="bottom"/>
            <w:hideMark/>
          </w:tcPr>
          <w:p w14:paraId="735E4EE6" w14:textId="77777777" w:rsidR="001D7F43" w:rsidRPr="001D7F43" w:rsidRDefault="001D7F43" w:rsidP="001D7F43">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R&amp;D + Savings</w:t>
            </w:r>
          </w:p>
        </w:tc>
        <w:tc>
          <w:tcPr>
            <w:tcW w:w="1134" w:type="dxa"/>
            <w:tcBorders>
              <w:top w:val="single" w:sz="4" w:space="0" w:color="auto"/>
              <w:left w:val="nil"/>
              <w:bottom w:val="nil"/>
              <w:right w:val="nil"/>
            </w:tcBorders>
            <w:shd w:val="clear" w:color="auto" w:fill="auto"/>
            <w:noWrap/>
            <w:vAlign w:val="bottom"/>
            <w:hideMark/>
          </w:tcPr>
          <w:p w14:paraId="0405CD29"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 </w:t>
            </w:r>
          </w:p>
        </w:tc>
        <w:tc>
          <w:tcPr>
            <w:tcW w:w="1134" w:type="dxa"/>
            <w:tcBorders>
              <w:top w:val="single" w:sz="4" w:space="0" w:color="auto"/>
              <w:left w:val="nil"/>
              <w:bottom w:val="nil"/>
              <w:right w:val="nil"/>
            </w:tcBorders>
            <w:shd w:val="clear" w:color="auto" w:fill="auto"/>
            <w:noWrap/>
            <w:vAlign w:val="bottom"/>
            <w:hideMark/>
          </w:tcPr>
          <w:p w14:paraId="6D9C5E4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 </w:t>
            </w:r>
          </w:p>
        </w:tc>
        <w:tc>
          <w:tcPr>
            <w:tcW w:w="1134" w:type="dxa"/>
            <w:tcBorders>
              <w:top w:val="single" w:sz="4" w:space="0" w:color="auto"/>
              <w:left w:val="nil"/>
              <w:bottom w:val="nil"/>
              <w:right w:val="nil"/>
            </w:tcBorders>
            <w:shd w:val="clear" w:color="auto" w:fill="auto"/>
            <w:noWrap/>
            <w:vAlign w:val="bottom"/>
            <w:hideMark/>
          </w:tcPr>
          <w:p w14:paraId="22D8E4F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 </w:t>
            </w:r>
          </w:p>
        </w:tc>
        <w:tc>
          <w:tcPr>
            <w:tcW w:w="1134" w:type="dxa"/>
            <w:tcBorders>
              <w:top w:val="single" w:sz="4" w:space="0" w:color="auto"/>
              <w:left w:val="nil"/>
              <w:bottom w:val="nil"/>
              <w:right w:val="nil"/>
            </w:tcBorders>
            <w:shd w:val="clear" w:color="auto" w:fill="auto"/>
            <w:noWrap/>
            <w:vAlign w:val="bottom"/>
            <w:hideMark/>
          </w:tcPr>
          <w:p w14:paraId="75D3B8CE"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 </w:t>
            </w:r>
          </w:p>
        </w:tc>
        <w:tc>
          <w:tcPr>
            <w:tcW w:w="1117" w:type="dxa"/>
            <w:tcBorders>
              <w:top w:val="single" w:sz="4" w:space="0" w:color="auto"/>
              <w:left w:val="nil"/>
              <w:bottom w:val="nil"/>
              <w:right w:val="nil"/>
            </w:tcBorders>
            <w:shd w:val="clear" w:color="auto" w:fill="auto"/>
            <w:noWrap/>
            <w:vAlign w:val="bottom"/>
            <w:hideMark/>
          </w:tcPr>
          <w:p w14:paraId="5665AD1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 </w:t>
            </w:r>
          </w:p>
        </w:tc>
      </w:tr>
      <w:tr w:rsidR="001D7F43" w:rsidRPr="001D7F43" w14:paraId="5E83F49B"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3BBA6202"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784EC79B"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p>
        </w:tc>
        <w:tc>
          <w:tcPr>
            <w:tcW w:w="1134" w:type="dxa"/>
            <w:tcBorders>
              <w:top w:val="nil"/>
              <w:left w:val="nil"/>
              <w:bottom w:val="nil"/>
              <w:right w:val="nil"/>
            </w:tcBorders>
            <w:shd w:val="clear" w:color="auto" w:fill="auto"/>
            <w:noWrap/>
            <w:vAlign w:val="bottom"/>
            <w:hideMark/>
          </w:tcPr>
          <w:p w14:paraId="014C8032" w14:textId="77777777" w:rsidR="001D7F43" w:rsidRPr="001D7F43" w:rsidRDefault="001D7F43" w:rsidP="001D7F43">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EDEAD71" w14:textId="77777777" w:rsidR="001D7F43" w:rsidRPr="001D7F43" w:rsidRDefault="001D7F43" w:rsidP="001D7F43">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FB0B97E" w14:textId="77777777" w:rsidR="001D7F43" w:rsidRPr="001D7F43" w:rsidRDefault="001D7F43" w:rsidP="001D7F43">
            <w:pPr>
              <w:spacing w:after="0" w:line="240" w:lineRule="auto"/>
              <w:jc w:val="center"/>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69C8FC4D" w14:textId="77777777" w:rsidR="001D7F43" w:rsidRPr="001D7F43" w:rsidRDefault="001D7F43" w:rsidP="001D7F43">
            <w:pPr>
              <w:spacing w:after="0" w:line="240" w:lineRule="auto"/>
              <w:jc w:val="center"/>
              <w:rPr>
                <w:rFonts w:ascii="LM Roman 10" w:eastAsia="Times New Roman" w:hAnsi="LM Roman 10" w:cs="Times New Roman"/>
                <w:sz w:val="18"/>
                <w:szCs w:val="18"/>
                <w:lang w:eastAsia="es-ES"/>
              </w:rPr>
            </w:pPr>
          </w:p>
        </w:tc>
      </w:tr>
      <w:tr w:rsidR="001D7F43" w:rsidRPr="001D7F43" w14:paraId="1251619A" w14:textId="77777777" w:rsidTr="006855EE">
        <w:trPr>
          <w:gridAfter w:val="2"/>
          <w:divId w:val="963850383"/>
          <w:wAfter w:w="397" w:type="dxa"/>
          <w:trHeight w:val="20"/>
          <w:jc w:val="center"/>
        </w:trPr>
        <w:tc>
          <w:tcPr>
            <w:tcW w:w="1985" w:type="dxa"/>
            <w:tcBorders>
              <w:top w:val="nil"/>
              <w:left w:val="nil"/>
              <w:bottom w:val="nil"/>
              <w:right w:val="nil"/>
            </w:tcBorders>
            <w:shd w:val="clear" w:color="auto" w:fill="auto"/>
            <w:noWrap/>
            <w:vAlign w:val="bottom"/>
            <w:hideMark/>
          </w:tcPr>
          <w:p w14:paraId="074BC7F6" w14:textId="77777777" w:rsidR="001D7F43" w:rsidRPr="001D7F43" w:rsidRDefault="001D7F43" w:rsidP="001D7F43">
            <w:pPr>
              <w:spacing w:after="0" w:line="240" w:lineRule="auto"/>
              <w:rPr>
                <w:rFonts w:ascii="LM Roman 10" w:eastAsia="Times New Roman" w:hAnsi="LM Roman 10" w:cs="Calibri"/>
                <w:sz w:val="18"/>
                <w:szCs w:val="18"/>
                <w:lang w:eastAsia="es-ES"/>
              </w:rPr>
            </w:pPr>
            <w:r w:rsidRPr="001D7F43">
              <w:rPr>
                <w:rFonts w:ascii="LM Roman 10" w:eastAsia="Times New Roman" w:hAnsi="LM Roman 10" w:cs="Calibri"/>
                <w:sz w:val="18"/>
                <w:szCs w:val="18"/>
                <w:lang w:eastAsia="es-ES"/>
              </w:rPr>
              <w:t>R&amp;D + Savings</w:t>
            </w:r>
          </w:p>
        </w:tc>
        <w:tc>
          <w:tcPr>
            <w:tcW w:w="1134" w:type="dxa"/>
            <w:tcBorders>
              <w:top w:val="nil"/>
              <w:left w:val="nil"/>
              <w:bottom w:val="nil"/>
              <w:right w:val="nil"/>
            </w:tcBorders>
            <w:shd w:val="clear" w:color="auto" w:fill="auto"/>
            <w:noWrap/>
            <w:vAlign w:val="bottom"/>
            <w:hideMark/>
          </w:tcPr>
          <w:p w14:paraId="0142E031"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0.121633</w:t>
            </w:r>
          </w:p>
        </w:tc>
        <w:tc>
          <w:tcPr>
            <w:tcW w:w="1134" w:type="dxa"/>
            <w:tcBorders>
              <w:top w:val="nil"/>
              <w:left w:val="nil"/>
              <w:bottom w:val="nil"/>
              <w:right w:val="nil"/>
            </w:tcBorders>
            <w:shd w:val="clear" w:color="auto" w:fill="auto"/>
            <w:noWrap/>
            <w:vAlign w:val="bottom"/>
            <w:hideMark/>
          </w:tcPr>
          <w:p w14:paraId="7D9F77A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0.080426</w:t>
            </w:r>
          </w:p>
        </w:tc>
        <w:tc>
          <w:tcPr>
            <w:tcW w:w="1134" w:type="dxa"/>
            <w:tcBorders>
              <w:top w:val="nil"/>
              <w:left w:val="nil"/>
              <w:bottom w:val="nil"/>
              <w:right w:val="nil"/>
            </w:tcBorders>
            <w:shd w:val="clear" w:color="auto" w:fill="auto"/>
            <w:noWrap/>
            <w:vAlign w:val="bottom"/>
            <w:hideMark/>
          </w:tcPr>
          <w:p w14:paraId="69BD9F20"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-0.20576</w:t>
            </w:r>
          </w:p>
        </w:tc>
        <w:tc>
          <w:tcPr>
            <w:tcW w:w="1134" w:type="dxa"/>
            <w:tcBorders>
              <w:top w:val="nil"/>
              <w:left w:val="nil"/>
              <w:bottom w:val="nil"/>
              <w:right w:val="nil"/>
            </w:tcBorders>
            <w:shd w:val="clear" w:color="auto" w:fill="auto"/>
            <w:noWrap/>
            <w:vAlign w:val="bottom"/>
            <w:hideMark/>
          </w:tcPr>
          <w:p w14:paraId="2A8E7E32"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-0.08958</w:t>
            </w:r>
          </w:p>
        </w:tc>
        <w:tc>
          <w:tcPr>
            <w:tcW w:w="1117" w:type="dxa"/>
            <w:tcBorders>
              <w:top w:val="nil"/>
              <w:left w:val="nil"/>
              <w:bottom w:val="nil"/>
              <w:right w:val="nil"/>
            </w:tcBorders>
            <w:shd w:val="clear" w:color="auto" w:fill="auto"/>
            <w:noWrap/>
            <w:vAlign w:val="bottom"/>
            <w:hideMark/>
          </w:tcPr>
          <w:p w14:paraId="378C0966"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-0.64455</w:t>
            </w:r>
          </w:p>
        </w:tc>
      </w:tr>
      <w:tr w:rsidR="001D7F43" w:rsidRPr="001D7F43" w14:paraId="7808A0A6" w14:textId="77777777" w:rsidTr="006855EE">
        <w:trPr>
          <w:gridAfter w:val="2"/>
          <w:divId w:val="963850383"/>
          <w:wAfter w:w="397" w:type="dxa"/>
          <w:trHeight w:val="20"/>
          <w:jc w:val="center"/>
        </w:trPr>
        <w:tc>
          <w:tcPr>
            <w:tcW w:w="1985" w:type="dxa"/>
            <w:tcBorders>
              <w:top w:val="nil"/>
              <w:left w:val="nil"/>
              <w:bottom w:val="single" w:sz="4" w:space="0" w:color="auto"/>
              <w:right w:val="nil"/>
            </w:tcBorders>
            <w:shd w:val="clear" w:color="auto" w:fill="auto"/>
            <w:noWrap/>
            <w:vAlign w:val="bottom"/>
            <w:hideMark/>
          </w:tcPr>
          <w:p w14:paraId="571A18BA" w14:textId="77777777" w:rsidR="001D7F43" w:rsidRPr="001D7F43" w:rsidRDefault="001D7F43" w:rsidP="001D7F43">
            <w:pPr>
              <w:spacing w:after="0" w:line="240" w:lineRule="auto"/>
              <w:rPr>
                <w:rFonts w:ascii="LM Roman 10" w:eastAsia="Times New Roman" w:hAnsi="LM Roman 10" w:cs="Calibri"/>
                <w:i/>
                <w:iCs/>
                <w:color w:val="000000"/>
                <w:sz w:val="18"/>
                <w:szCs w:val="18"/>
                <w:lang w:eastAsia="es-ES"/>
              </w:rPr>
            </w:pPr>
            <w:r w:rsidRPr="001D7F43">
              <w:rPr>
                <w:rFonts w:ascii="LM Roman 10" w:eastAsia="Times New Roman" w:hAnsi="LM Roman 10" w:cs="Calibri"/>
                <w:i/>
                <w:iCs/>
                <w:color w:val="000000"/>
                <w:sz w:val="18"/>
                <w:szCs w:val="18"/>
                <w:lang w:eastAsia="es-ES"/>
              </w:rPr>
              <w:t>y &lt;= 0, slump</w:t>
            </w:r>
          </w:p>
        </w:tc>
        <w:tc>
          <w:tcPr>
            <w:tcW w:w="1134" w:type="dxa"/>
            <w:tcBorders>
              <w:top w:val="nil"/>
              <w:left w:val="nil"/>
              <w:bottom w:val="single" w:sz="4" w:space="0" w:color="auto"/>
              <w:right w:val="nil"/>
            </w:tcBorders>
            <w:shd w:val="clear" w:color="auto" w:fill="auto"/>
            <w:noWrap/>
            <w:vAlign w:val="bottom"/>
            <w:hideMark/>
          </w:tcPr>
          <w:p w14:paraId="1F3371DC"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0.7816</w:t>
            </w:r>
          </w:p>
        </w:tc>
        <w:tc>
          <w:tcPr>
            <w:tcW w:w="1134" w:type="dxa"/>
            <w:tcBorders>
              <w:top w:val="nil"/>
              <w:left w:val="nil"/>
              <w:bottom w:val="single" w:sz="4" w:space="0" w:color="auto"/>
              <w:right w:val="nil"/>
            </w:tcBorders>
            <w:shd w:val="clear" w:color="auto" w:fill="auto"/>
            <w:noWrap/>
            <w:vAlign w:val="bottom"/>
            <w:hideMark/>
          </w:tcPr>
          <w:p w14:paraId="13A3DA0B"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0.5755</w:t>
            </w:r>
          </w:p>
        </w:tc>
        <w:tc>
          <w:tcPr>
            <w:tcW w:w="1134" w:type="dxa"/>
            <w:tcBorders>
              <w:top w:val="nil"/>
              <w:left w:val="nil"/>
              <w:bottom w:val="single" w:sz="4" w:space="0" w:color="auto"/>
              <w:right w:val="nil"/>
            </w:tcBorders>
            <w:shd w:val="clear" w:color="auto" w:fill="auto"/>
            <w:noWrap/>
            <w:vAlign w:val="bottom"/>
            <w:hideMark/>
          </w:tcPr>
          <w:p w14:paraId="0FF098AA"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-1.2557</w:t>
            </w:r>
          </w:p>
        </w:tc>
        <w:tc>
          <w:tcPr>
            <w:tcW w:w="1134" w:type="dxa"/>
            <w:tcBorders>
              <w:top w:val="nil"/>
              <w:left w:val="nil"/>
              <w:bottom w:val="single" w:sz="4" w:space="0" w:color="auto"/>
              <w:right w:val="nil"/>
            </w:tcBorders>
            <w:shd w:val="clear" w:color="auto" w:fill="auto"/>
            <w:noWrap/>
            <w:vAlign w:val="bottom"/>
            <w:hideMark/>
          </w:tcPr>
          <w:p w14:paraId="1C1D5BDF"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-0.2553</w:t>
            </w:r>
          </w:p>
        </w:tc>
        <w:tc>
          <w:tcPr>
            <w:tcW w:w="1117" w:type="dxa"/>
            <w:tcBorders>
              <w:top w:val="nil"/>
              <w:left w:val="nil"/>
              <w:bottom w:val="single" w:sz="4" w:space="0" w:color="auto"/>
              <w:right w:val="nil"/>
            </w:tcBorders>
            <w:shd w:val="clear" w:color="auto" w:fill="auto"/>
            <w:noWrap/>
            <w:vAlign w:val="bottom"/>
            <w:hideMark/>
          </w:tcPr>
          <w:p w14:paraId="2D5A30A3" w14:textId="77777777" w:rsidR="001D7F43" w:rsidRPr="001D7F43" w:rsidRDefault="001D7F43" w:rsidP="001D7F43">
            <w:pPr>
              <w:spacing w:after="0" w:line="240" w:lineRule="auto"/>
              <w:jc w:val="center"/>
              <w:rPr>
                <w:rFonts w:ascii="LM Roman 10" w:eastAsia="Times New Roman" w:hAnsi="LM Roman 10" w:cs="Calibri"/>
                <w:color w:val="000000"/>
                <w:sz w:val="18"/>
                <w:szCs w:val="18"/>
                <w:lang w:eastAsia="es-ES"/>
              </w:rPr>
            </w:pPr>
            <w:r w:rsidRPr="001D7F43">
              <w:rPr>
                <w:rFonts w:ascii="LM Roman 10" w:eastAsia="Times New Roman" w:hAnsi="LM Roman 10" w:cs="Calibri"/>
                <w:color w:val="000000"/>
                <w:sz w:val="18"/>
                <w:szCs w:val="18"/>
                <w:lang w:eastAsia="es-ES"/>
              </w:rPr>
              <w:t>-2.1624</w:t>
            </w:r>
          </w:p>
        </w:tc>
      </w:tr>
    </w:tbl>
    <w:p w14:paraId="440E10A0" w14:textId="32D89CF6" w:rsidR="004B7D72" w:rsidRPr="00F86A70" w:rsidRDefault="004B7D72">
      <w:pPr>
        <w:rPr>
          <w:rFonts w:ascii="LM Roman 10" w:hAnsi="LM Roman 10"/>
        </w:rPr>
      </w:pPr>
      <w:r w:rsidRPr="00F86A70">
        <w:rPr>
          <w:rFonts w:ascii="LM Roman 10" w:hAnsi="LM Roman 10"/>
        </w:rPr>
        <w:fldChar w:fldCharType="end"/>
      </w:r>
    </w:p>
    <w:p w14:paraId="3B0A557F" w14:textId="167EB198" w:rsidR="00B26BEA" w:rsidRPr="00F86A70" w:rsidRDefault="00B26BEA">
      <w:pPr>
        <w:rPr>
          <w:rFonts w:ascii="LM Roman 10" w:hAnsi="LM Roman 10"/>
        </w:rPr>
      </w:pPr>
    </w:p>
    <w:p w14:paraId="56CED6A0" w14:textId="0B48BB15" w:rsidR="00B26BEA" w:rsidRPr="00F86A70" w:rsidRDefault="00B26BEA">
      <w:pPr>
        <w:rPr>
          <w:rFonts w:ascii="LM Roman 10" w:hAnsi="LM Roman 10"/>
          <w:lang w:val="en-US"/>
        </w:rPr>
      </w:pPr>
      <w:r w:rsidRPr="00F86A70">
        <w:rPr>
          <w:rFonts w:ascii="LM Roman 10" w:hAnsi="LM Roman 10"/>
          <w:lang w:val="en-US"/>
        </w:rPr>
        <w:t xml:space="preserve">Following a new and arguably more promising direction, we take a third fork on the road to identification based on the Rubin Causal Model. This approach has the attractive features of being semiparametric (and hence flexible with respect to the functional form), providing better control for observables, and offering a more reliable alternative when the putative instrumental variables for policy action are themselves possibly endogenous. Tests of instrument validity are well-known to have low power (see, </w:t>
      </w:r>
      <w:proofErr w:type="gramStart"/>
      <w:r w:rsidRPr="00F86A70">
        <w:rPr>
          <w:rFonts w:ascii="LM Roman 10" w:hAnsi="LM Roman 10"/>
          <w:lang w:val="en-US"/>
        </w:rPr>
        <w:t>e.g.</w:t>
      </w:r>
      <w:proofErr w:type="gramEnd"/>
      <w:r w:rsidRPr="00F86A70">
        <w:rPr>
          <w:rFonts w:ascii="LM Roman 10" w:hAnsi="LM Roman 10"/>
          <w:lang w:val="en-US"/>
        </w:rPr>
        <w:t xml:space="preserve"> Cameron and Trivedi 2005) but, more importantly, formal testing is not an option when we are in the case of exact identification.</w:t>
      </w:r>
    </w:p>
    <w:p w14:paraId="003DDC0A" w14:textId="0C0A10B2" w:rsidR="00B26BEA" w:rsidRPr="00F86A70" w:rsidRDefault="00B26BEA">
      <w:pPr>
        <w:rPr>
          <w:rFonts w:ascii="LM Roman 10" w:hAnsi="LM Roman 10"/>
          <w:lang w:val="en-US"/>
        </w:rPr>
      </w:pPr>
      <w:r w:rsidRPr="00F86A70">
        <w:rPr>
          <w:rFonts w:ascii="LM Roman 10" w:hAnsi="LM Roman 10"/>
          <w:lang w:val="en-US"/>
        </w:rPr>
        <w:lastRenderedPageBreak/>
        <w:t xml:space="preserve">We find that, on average, fiscal consolidations generate a drag on GDP growth. The effect is also state dependent: if a 1 percent of GDP fiscal consolidation is imposed in a </w:t>
      </w:r>
      <w:proofErr w:type="gramStart"/>
      <w:r w:rsidRPr="00F86A70">
        <w:rPr>
          <w:rFonts w:ascii="LM Roman 10" w:hAnsi="LM Roman 10"/>
          <w:lang w:val="en-US"/>
        </w:rPr>
        <w:t>slump</w:t>
      </w:r>
      <w:proofErr w:type="gramEnd"/>
      <w:r w:rsidRPr="00F86A70">
        <w:rPr>
          <w:rFonts w:ascii="LM Roman 10" w:hAnsi="LM Roman 10"/>
          <w:lang w:val="en-US"/>
        </w:rPr>
        <w:t xml:space="preserve"> then it results in a real GDP loss of around 4 percent over five years, rather than just 1 percent in a boom. We arrive at this conclusion by carefully constructing an encompassing framework that allows us to evaluate the type of approach followed by several recent papers in the literature (to be discussed in detail shortly) to improve comparability with the methods we introduce in this paper.</w:t>
      </w:r>
    </w:p>
    <w:p w14:paraId="792F40EC" w14:textId="083C25CB" w:rsidR="00B26BEA" w:rsidRPr="00F86A70" w:rsidRDefault="00B26BEA">
      <w:pPr>
        <w:rPr>
          <w:rFonts w:ascii="LM Roman 10" w:hAnsi="LM Roman 10"/>
          <w:lang w:val="en-US"/>
        </w:rPr>
      </w:pPr>
      <w:r w:rsidRPr="00F86A70">
        <w:rPr>
          <w:rFonts w:ascii="LM Roman 10" w:hAnsi="LM Roman 10"/>
          <w:lang w:val="en-US"/>
        </w:rPr>
        <w:t xml:space="preserve">Using our </w:t>
      </w:r>
      <w:proofErr w:type="gramStart"/>
      <w:r w:rsidRPr="00F86A70">
        <w:rPr>
          <w:rFonts w:ascii="LM Roman 10" w:hAnsi="LM Roman 10"/>
          <w:lang w:val="en-US"/>
        </w:rPr>
        <w:t>estimates</w:t>
      </w:r>
      <w:proofErr w:type="gramEnd"/>
      <w:r w:rsidRPr="00F86A70">
        <w:rPr>
          <w:rFonts w:ascii="LM Roman 10" w:hAnsi="LM Roman 10"/>
          <w:lang w:val="en-US"/>
        </w:rPr>
        <w:t xml:space="preserve"> we compute how much of the slowdown could be attributed to the austerity program; we find it to be a very significant contribution (rising to 3.4% of GDP in 2013) and larger than official estimates. Thus, better models, with state-dependent features, could improve official fiscal policy analyses going forward.</w:t>
      </w:r>
    </w:p>
    <w:p w14:paraId="06828536" w14:textId="587D2E9F" w:rsidR="00B26BEA" w:rsidRPr="00F86A70" w:rsidRDefault="00B26BEA">
      <w:pPr>
        <w:rPr>
          <w:rFonts w:ascii="LM Roman 10" w:hAnsi="LM Roman 10"/>
          <w:lang w:val="en-US"/>
        </w:rPr>
      </w:pPr>
      <w:r w:rsidRPr="00F86A70">
        <w:rPr>
          <w:rFonts w:ascii="LM Roman 10" w:hAnsi="LM Roman 10"/>
          <w:lang w:val="en-US"/>
        </w:rPr>
        <w:t>Second, we use (Jorda` 2005) local projections (LPs), rather than structural vector auto regressions (SVARs). The reason is that, among other advantages that we will discuss momentarily, LPs are a convenient pedestal on which all extensions of existing estimation methods can rest. The unified framework provides the reader a way to compare the results across a set of nested estimation strategies. LPs provide a flexible semi-parametric regression control strategy to estimate dynamic multipliers and include, as a special case, impulse responses calculated with an SVAR. LPs accommodate possibly nonlinear, or state-dependent responses easily, and indeed we find that the effects of fiscal policy can be very different in the boom and the slump, as emphasized by Keynes in the 1930s.</w:t>
      </w:r>
    </w:p>
    <w:p w14:paraId="55727150" w14:textId="395991DF" w:rsidR="00B26BEA" w:rsidRPr="00F86A70" w:rsidRDefault="00B26BEA">
      <w:pPr>
        <w:rPr>
          <w:rFonts w:ascii="LM Roman 10" w:hAnsi="LM Roman 10"/>
          <w:lang w:val="en-US"/>
        </w:rPr>
      </w:pPr>
      <w:r w:rsidRPr="00F86A70">
        <w:rPr>
          <w:rFonts w:ascii="LM Roman 10" w:hAnsi="LM Roman 10"/>
          <w:lang w:val="en-US"/>
        </w:rPr>
        <w:t>Fourth, we show that the proposed IMF narrative instrumental variable has a significant forecastable element driven by plausible state variables, such as the debt-to-GDP level, the cyclical level or rate of growth of real GDP, and the lagged treatment indicator itself (since austerity programs are typically persistent, multi-year affairs).</w:t>
      </w:r>
    </w:p>
    <w:p w14:paraId="6D038928" w14:textId="5BD743AD" w:rsidR="00144423" w:rsidRPr="00F86A70" w:rsidRDefault="00144423">
      <w:pPr>
        <w:rPr>
          <w:rFonts w:ascii="LM Roman 10" w:hAnsi="LM Roman 10"/>
          <w:lang w:val="en-US"/>
        </w:rPr>
      </w:pPr>
      <w:r w:rsidRPr="00F86A70">
        <w:rPr>
          <w:rFonts w:ascii="LM Roman 10" w:hAnsi="LM Roman 10"/>
          <w:lang w:val="en-US"/>
        </w:rPr>
        <w:t>The local projection is done from year 0, when a policy change is assumed to be announced, with the fiscal impacts first felt in year 1, consistent with the timing in GLP. The LP output forecast path is constructed out to year 5, and deviations from year 0 levels are shown, and also the sum of these deviations, or “lost output” across all of those five years</w:t>
      </w:r>
    </w:p>
    <w:p w14:paraId="6C4C1884" w14:textId="22BB52F2" w:rsidR="00144423" w:rsidRPr="00F86A70" w:rsidRDefault="004A000F">
      <w:pPr>
        <w:rPr>
          <w:rFonts w:ascii="LM Roman 10" w:hAnsi="LM Roman 10"/>
          <w:lang w:val="en-US"/>
        </w:rPr>
      </w:pPr>
      <w:r w:rsidRPr="00F86A70">
        <w:rPr>
          <w:rFonts w:ascii="LM Roman 10" w:hAnsi="LM Roman 10"/>
          <w:lang w:val="en-US"/>
        </w:rPr>
        <w:t>. Small consolidation packages have a small effect on output, but the estimates are imprecise.</w:t>
      </w:r>
    </w:p>
    <w:p w14:paraId="0769D087" w14:textId="464977CA" w:rsidR="004A000F" w:rsidRPr="00F86A70" w:rsidRDefault="004A000F">
      <w:pPr>
        <w:rPr>
          <w:rFonts w:ascii="LM Roman 10" w:hAnsi="LM Roman 10"/>
          <w:lang w:val="en-US"/>
        </w:rPr>
      </w:pPr>
    </w:p>
    <w:p w14:paraId="0B85581C" w14:textId="29162387" w:rsidR="00BB09CE" w:rsidRPr="00F86A70" w:rsidRDefault="00BB09CE">
      <w:pPr>
        <w:rPr>
          <w:rFonts w:ascii="LM Roman 10" w:hAnsi="LM Roman 10"/>
          <w:lang w:val="en-US"/>
        </w:rPr>
      </w:pPr>
      <w:r w:rsidRPr="00F86A70">
        <w:rPr>
          <w:rFonts w:ascii="LM Roman 10" w:hAnsi="LM Roman 10"/>
          <w:lang w:val="en-US"/>
        </w:rPr>
        <w:t xml:space="preserve">If the IMF approach is correct and has found truly exogenous shocks to fiscal policy, then it would be a valid instrument for </w:t>
      </w:r>
      <w:proofErr w:type="gramStart"/>
      <w:r w:rsidRPr="00F86A70">
        <w:rPr>
          <w:rFonts w:ascii="LM Roman 10" w:hAnsi="LM Roman 10"/>
          <w:lang w:val="en-US"/>
        </w:rPr>
        <w:t>d.CAPB</w:t>
      </w:r>
      <w:proofErr w:type="gramEnd"/>
      <w:r w:rsidRPr="00F86A70">
        <w:rPr>
          <w:rFonts w:ascii="LM Roman 10" w:hAnsi="LM Roman 10"/>
          <w:lang w:val="en-US"/>
        </w:rPr>
        <w:t xml:space="preserve">. It would also be a potentially strong instrument: the raw correlation between </w:t>
      </w:r>
      <w:proofErr w:type="gramStart"/>
      <w:r w:rsidRPr="00F86A70">
        <w:rPr>
          <w:rFonts w:ascii="LM Roman 10" w:hAnsi="LM Roman 10"/>
          <w:lang w:val="en-US"/>
        </w:rPr>
        <w:t>d.CAPB</w:t>
      </w:r>
      <w:proofErr w:type="gramEnd"/>
      <w:r w:rsidRPr="00F86A70">
        <w:rPr>
          <w:rFonts w:ascii="LM Roman 10" w:hAnsi="LM Roman 10"/>
          <w:lang w:val="en-US"/>
        </w:rPr>
        <w:t xml:space="preserve"> (year 1 versus year 0) and Treatment (in year 1) is 0.31, and a bivariate regression has an F-statistic of over 50; the same applies when Treatment is replaced by Total (in year 1).</w:t>
      </w:r>
    </w:p>
    <w:p w14:paraId="515DC7FC" w14:textId="75576FA3" w:rsidR="00BB09CE" w:rsidRPr="00F86A70" w:rsidRDefault="00BB09CE">
      <w:pPr>
        <w:rPr>
          <w:rFonts w:ascii="LM Roman 10" w:hAnsi="LM Roman 10"/>
          <w:lang w:val="en-US"/>
        </w:rPr>
      </w:pPr>
      <w:r w:rsidRPr="00F86A70">
        <w:rPr>
          <w:rFonts w:ascii="LM Roman 10" w:hAnsi="LM Roman 10"/>
          <w:lang w:val="en-US"/>
        </w:rPr>
        <w:lastRenderedPageBreak/>
        <w:t>The IV-based responses suggest that austerity is contractionary since the only statistically significant coefficients here have a negative sign. However, stratification by the state of the cycle shows that this result is now driven by what happens in slumps. It is only in the slump bin that we find a significant negative response of real GDP to fiscal tightening. In Table 4 we find a coefficient or “multiplier” of between -0.25 and -0.95 in years 1 to 5. Over five years the sum of these effects is -3.35</w:t>
      </w:r>
      <w:r w:rsidRPr="00F86A70">
        <w:rPr>
          <w:rFonts w:ascii="LM Roman 10" w:hAnsi="LM Roman 10" w:cs="Cambria Math"/>
          <w:lang w:val="en-US"/>
        </w:rPr>
        <w:t>∗∗</w:t>
      </w:r>
      <w:r w:rsidRPr="00F86A70">
        <w:rPr>
          <w:rFonts w:ascii="LM Roman 10" w:hAnsi="LM Roman 10"/>
          <w:lang w:val="en-US"/>
        </w:rPr>
        <w:t>, so the average loss for a 1% of GDP fiscal consolidation is to depress the output level by about -0.67% per year over this horizon.</w:t>
      </w:r>
    </w:p>
    <w:p w14:paraId="3662C763" w14:textId="1A236066" w:rsidR="00BB09CE" w:rsidRPr="00F86A70" w:rsidRDefault="00DA6BE5">
      <w:pPr>
        <w:rPr>
          <w:rFonts w:ascii="LM Roman 10" w:hAnsi="LM Roman 10"/>
          <w:lang w:val="en-US"/>
        </w:rPr>
      </w:pPr>
      <w:r w:rsidRPr="00F86A70">
        <w:rPr>
          <w:rFonts w:ascii="LM Roman 10" w:hAnsi="LM Roman 10"/>
          <w:lang w:val="en-US"/>
        </w:rPr>
        <w:t xml:space="preserve">4. Endogenous Austerity: Is the Narrative Instrument Valid? So </w:t>
      </w:r>
      <w:proofErr w:type="gramStart"/>
      <w:r w:rsidRPr="00F86A70">
        <w:rPr>
          <w:rFonts w:ascii="LM Roman 10" w:hAnsi="LM Roman 10"/>
          <w:lang w:val="en-US"/>
        </w:rPr>
        <w:t>far</w:t>
      </w:r>
      <w:proofErr w:type="gramEnd"/>
      <w:r w:rsidRPr="00F86A70">
        <w:rPr>
          <w:rFonts w:ascii="LM Roman 10" w:hAnsi="LM Roman 10"/>
          <w:lang w:val="en-US"/>
        </w:rPr>
        <w:t xml:space="preserve"> we have briefly replicated the current state of the literature, but this is not entirely pointless. It serves to show that the LP framework can capture different sides of the debate in a uniform empirical design, on a consistent data sample, allowing us to focus on how differences in estimation and identification assumptions lead to different results. It also shows how the LP estimation method makes it very easy to allow for nonlinearity and do a stratification of results; here we found significant variations in responses across bins designed to capture variations in the state of the economy from boom to slump.</w:t>
      </w:r>
    </w:p>
    <w:p w14:paraId="3855BCC5" w14:textId="77777777" w:rsidR="001C703C" w:rsidRPr="00F86A70" w:rsidRDefault="001C703C">
      <w:pPr>
        <w:rPr>
          <w:rFonts w:ascii="LM Roman 10" w:hAnsi="LM Roman 10"/>
          <w:b/>
          <w:bCs/>
          <w:lang w:val="en-US"/>
        </w:rPr>
      </w:pPr>
      <w:r w:rsidRPr="00F86A70">
        <w:rPr>
          <w:rFonts w:ascii="LM Roman 10" w:hAnsi="LM Roman 10"/>
          <w:b/>
          <w:bCs/>
          <w:lang w:val="en-US"/>
        </w:rPr>
        <w:t>Statistical design</w:t>
      </w:r>
    </w:p>
    <w:p w14:paraId="5A35EF09" w14:textId="4C37ADBA" w:rsidR="00DA6BE5" w:rsidRPr="00F86A70" w:rsidRDefault="001C703C">
      <w:pPr>
        <w:rPr>
          <w:rFonts w:ascii="LM Roman 10" w:hAnsi="LM Roman 10"/>
          <w:lang w:val="en-US"/>
        </w:rPr>
      </w:pPr>
      <w:r w:rsidRPr="00F86A70">
        <w:rPr>
          <w:rFonts w:ascii="LM Roman 10" w:hAnsi="LM Roman 10"/>
          <w:lang w:val="en-US"/>
        </w:rPr>
        <w:t>The previous section raises concerns that the narrative IMF variable could be an invalid instrument using three different checks. The empirical strategy that we propose is based on taking triple insurance against this potential endogeneity. F</w:t>
      </w:r>
    </w:p>
    <w:p w14:paraId="6A655C36" w14:textId="6679F5F9" w:rsidR="00BB09CE" w:rsidRPr="00F86A70" w:rsidRDefault="001C703C">
      <w:pPr>
        <w:rPr>
          <w:rFonts w:ascii="LM Roman 10" w:hAnsi="LM Roman 10"/>
          <w:lang w:val="en-US"/>
        </w:rPr>
      </w:pPr>
      <w:r w:rsidRPr="00F86A70">
        <w:rPr>
          <w:rFonts w:ascii="LM Roman 10" w:hAnsi="LM Roman 10"/>
          <w:lang w:val="en-US"/>
        </w:rPr>
        <w:t xml:space="preserve">In order to facilitate the </w:t>
      </w:r>
      <w:proofErr w:type="gramStart"/>
      <w:r w:rsidRPr="00F86A70">
        <w:rPr>
          <w:rFonts w:ascii="LM Roman 10" w:hAnsi="LM Roman 10"/>
          <w:lang w:val="en-US"/>
        </w:rPr>
        <w:t>exposition</w:t>
      </w:r>
      <w:proofErr w:type="gramEnd"/>
      <w:r w:rsidRPr="00F86A70">
        <w:rPr>
          <w:rFonts w:ascii="LM Roman 10" w:hAnsi="LM Roman 10"/>
          <w:lang w:val="en-US"/>
        </w:rPr>
        <w:t xml:space="preserve"> we momentarily drop the cross-sectional country index in the panel. Denote, as before, yt the outcome variable of interest, the log of real GDP. In other applications yt could be a ky-dimensional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gramStart"/>
      <w:r w:rsidRPr="00F86A70">
        <w:rPr>
          <w:rFonts w:ascii="LM Roman 10" w:hAnsi="LM Roman 10"/>
          <w:lang w:val="en-US"/>
        </w:rPr>
        <w:t>d.CAPB</w:t>
      </w:r>
      <w:proofErr w:type="gramEnd"/>
      <w:r w:rsidRPr="00F86A70">
        <w:rPr>
          <w:rFonts w:ascii="LM Roman 10" w:hAnsi="LM Roman 10"/>
          <w:lang w:val="en-US"/>
        </w:rPr>
        <w:t xml:space="preserve"> variable.</w:t>
      </w:r>
    </w:p>
    <w:p w14:paraId="2D1569B6" w14:textId="66514134"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563F5BBB" wp14:editId="57AEE7BA">
            <wp:extent cx="4752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352425"/>
                    </a:xfrm>
                    <a:prstGeom prst="rect">
                      <a:avLst/>
                    </a:prstGeom>
                  </pic:spPr>
                </pic:pic>
              </a:graphicData>
            </a:graphic>
          </wp:inline>
        </w:drawing>
      </w:r>
    </w:p>
    <w:p w14:paraId="6FDE2F44" w14:textId="05ABDBA1" w:rsidR="007E6120" w:rsidRPr="00F86A70" w:rsidRDefault="007E6120">
      <w:pPr>
        <w:rPr>
          <w:rFonts w:ascii="LM Roman 10" w:hAnsi="LM Roman 10"/>
          <w:lang w:val="en-US"/>
        </w:rPr>
      </w:pPr>
      <w:r w:rsidRPr="00F86A70">
        <w:rPr>
          <w:rFonts w:ascii="LM Roman 10" w:hAnsi="LM Roman 10"/>
          <w:lang w:val="en-US"/>
        </w:rPr>
        <w:t xml:space="preserve">That is, the treatment-control allocation is independent of potential outcomes given the variables or controls </w:t>
      </w:r>
      <w:proofErr w:type="gramStart"/>
      <w:r w:rsidRPr="00F86A70">
        <w:rPr>
          <w:rFonts w:ascii="LM Roman 10" w:hAnsi="LM Roman 10"/>
          <w:lang w:val="en-US"/>
        </w:rPr>
        <w:t>Xt .</w:t>
      </w:r>
      <w:proofErr w:type="gramEnd"/>
      <w:r w:rsidRPr="00F86A70">
        <w:rPr>
          <w:rFonts w:ascii="LM Roman 10" w:hAnsi="LM Roman 10"/>
          <w:lang w:val="en-US"/>
        </w:rPr>
        <w:t xml:space="preserve"> This condition does not imply that there is no effect of policy on the outcome given controls. We are simply stating that conditional on controls, policy allocation is independent of the potential outcome, whatever that might be.</w:t>
      </w:r>
    </w:p>
    <w:p w14:paraId="786EA0AF" w14:textId="1FBB520B" w:rsidR="00F21EF0" w:rsidRPr="00F86A70" w:rsidRDefault="007E6120">
      <w:pPr>
        <w:rPr>
          <w:rFonts w:ascii="LM Roman 10" w:hAnsi="LM Roman 10"/>
          <w:lang w:val="en-US"/>
        </w:rPr>
      </w:pPr>
      <w:r w:rsidRPr="00F86A70">
        <w:rPr>
          <w:rFonts w:ascii="LM Roman 10" w:hAnsi="LM Roman 10"/>
          <w:lang w:val="en-US"/>
        </w:rPr>
        <w:t>Consider the ideal randomized experiment to understand the role that the conditional independence assumption plays. The average causal effect of policy intervention on the outcome at time t + h given b.</w:t>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lastRenderedPageBreak/>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371475"/>
                    </a:xfrm>
                    <a:prstGeom prst="rect">
                      <a:avLst/>
                    </a:prstGeom>
                  </pic:spPr>
                </pic:pic>
              </a:graphicData>
            </a:graphic>
          </wp:inline>
        </w:drawing>
      </w:r>
    </w:p>
    <w:p w14:paraId="24BC54DE" w14:textId="24798EAA" w:rsidR="007E6120" w:rsidRPr="00F86A70" w:rsidRDefault="007E6120">
      <w:pPr>
        <w:rPr>
          <w:rFonts w:ascii="LM Roman 10" w:hAnsi="LM Roman 10"/>
          <w:lang w:val="en-US"/>
        </w:rPr>
      </w:pPr>
      <w:r w:rsidRPr="00F86A70">
        <w:rPr>
          <w:rFonts w:ascii="LM Roman 10" w:hAnsi="LM Roman 10"/>
          <w:lang w:val="en-US"/>
        </w:rPr>
        <w:t>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02385"/>
                    </a:xfrm>
                    <a:prstGeom prst="rect">
                      <a:avLst/>
                    </a:prstGeom>
                  </pic:spPr>
                </pic:pic>
              </a:graphicData>
            </a:graphic>
          </wp:inline>
        </w:drawing>
      </w:r>
    </w:p>
    <w:p w14:paraId="42F58BDA" w14:textId="016F25F1" w:rsidR="007E6120" w:rsidRPr="00F86A70" w:rsidRDefault="007E6120">
      <w:pPr>
        <w:rPr>
          <w:rFonts w:ascii="LM Roman 10" w:hAnsi="LM Roman 10"/>
          <w:lang w:val="en-US"/>
        </w:rPr>
      </w:pPr>
      <w:r w:rsidRPr="00F86A70">
        <w:rPr>
          <w:rFonts w:ascii="LM Roman 10" w:hAnsi="LM Roman 10"/>
          <w:lang w:val="en-US"/>
        </w:rPr>
        <w:t>This na¨ıve constrained specification, which characterizes responses derived from a VAR, imposes two implicit assumptions. First, the effect of the controls Xt on the outcomes is assumed to be stable across the treated and control subpopulations. Second, the expected value of Xt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A2AC8A5" w:rsidR="007E6120" w:rsidRPr="00F86A70" w:rsidRDefault="005E2878">
      <w:pPr>
        <w:rPr>
          <w:rFonts w:ascii="LM Roman 10" w:hAnsi="LM Roman 10"/>
          <w:lang w:val="en-US"/>
        </w:rPr>
      </w:pPr>
      <w:r w:rsidRPr="00F86A70">
        <w:rPr>
          <w:rFonts w:ascii="LM Roman 10" w:hAnsi="LM Roman 10"/>
          <w:lang w:val="en-US"/>
        </w:rPr>
        <w:t>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w:t>
      </w:r>
    </w:p>
    <w:p w14:paraId="56605B40" w14:textId="6AD8C4D8" w:rsidR="005E2878" w:rsidRPr="00F86A70"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492" cy="553568"/>
                    </a:xfrm>
                    <a:prstGeom prst="rect">
                      <a:avLst/>
                    </a:prstGeom>
                  </pic:spPr>
                </pic:pic>
              </a:graphicData>
            </a:graphic>
          </wp:inline>
        </w:drawing>
      </w: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t xml:space="preserve">5.1. Re-randomization through the propensity score </w:t>
      </w:r>
    </w:p>
    <w:p w14:paraId="19048F14" w14:textId="526EBDA8" w:rsidR="005E2878" w:rsidRPr="00F86A70" w:rsidRDefault="005E2878" w:rsidP="005E2878">
      <w:pPr>
        <w:rPr>
          <w:rFonts w:ascii="LM Roman 10" w:hAnsi="LM Roman 10"/>
          <w:lang w:val="en-US"/>
        </w:rPr>
      </w:pPr>
      <w:r w:rsidRPr="00F86A70">
        <w:rPr>
          <w:rFonts w:ascii="LM Roman 10" w:hAnsi="LM Roman 10"/>
          <w:lang w:val="en-US"/>
        </w:rPr>
        <w:t>Recall that the critical assumption is the conditional ignorability or selection-on-observables condition (2). Rosenbaum and Rubin (1983) show that</w:t>
      </w:r>
    </w:p>
    <w:p w14:paraId="26FA5708" w14:textId="2969BE2D" w:rsidR="005E2878" w:rsidRPr="00F86A70" w:rsidRDefault="005E2878" w:rsidP="005E2878">
      <w:pPr>
        <w:rPr>
          <w:rFonts w:ascii="LM Roman 10" w:hAnsi="LM Roman 10"/>
          <w:lang w:val="en-US"/>
        </w:rPr>
      </w:pPr>
      <w:r w:rsidRPr="00F86A70">
        <w:rPr>
          <w:rFonts w:ascii="LM Roman 10" w:hAnsi="LM Roman 10"/>
          <w:noProof/>
          <w:lang w:val="en-US"/>
        </w:rPr>
        <w:lastRenderedPageBreak/>
        <w:drawing>
          <wp:inline distT="0" distB="0" distL="0" distR="0" wp14:anchorId="34696DBF" wp14:editId="79616B99">
            <wp:extent cx="540004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11605"/>
                    </a:xfrm>
                    <a:prstGeom prst="rect">
                      <a:avLst/>
                    </a:prstGeom>
                  </pic:spPr>
                </pic:pic>
              </a:graphicData>
            </a:graphic>
          </wp:inline>
        </w:drawing>
      </w:r>
    </w:p>
    <w:p w14:paraId="58B185E9" w14:textId="5C384F76" w:rsidR="005E2878" w:rsidRPr="00F86A70" w:rsidRDefault="006C5388" w:rsidP="005E2878">
      <w:pPr>
        <w:rPr>
          <w:rFonts w:ascii="LM Roman 10" w:hAnsi="LM Roman 10"/>
          <w:lang w:val="en-US"/>
        </w:rPr>
      </w:pPr>
      <w:r w:rsidRPr="00F86A70">
        <w:rPr>
          <w:rFonts w:ascii="LM Roman 10" w:hAnsi="LM Roman 10"/>
          <w:lang w:val="en-US"/>
        </w:rPr>
        <w:t>Angrist and Kuersteiner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dimensionreduction device. Ideally, any predictor of policy should be included, regardless of whether that predictor is a fundamental variable in a macroeconomic model. The probit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2F874B51" w14:textId="71E8DEB8" w:rsidR="00476817" w:rsidRPr="00F86A70" w:rsidRDefault="00476817">
      <w:pPr>
        <w:rPr>
          <w:rFonts w:ascii="LM Roman 10" w:hAnsi="LM Roman 10"/>
          <w:lang w:val="en-US"/>
        </w:rPr>
      </w:pPr>
      <w:r w:rsidRPr="00F86A70">
        <w:rPr>
          <w:rFonts w:ascii="LM Roman 10" w:hAnsi="LM Roman 10"/>
          <w:lang w:val="en-US"/>
        </w:rPr>
        <w:t>The intuition behind the estimator is to use the regression model as a way to “predict” the unobserved potential outcomes. Consistency of the estimated ATE only requires either the conditional mean model or the propensity score model to be correctly specified.</w:t>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microeconomics with cross-sectional data. Matching methods more generally constitute a benchmark within the medical research literature when trials are suspected of being contaminated by allocation bias. The provenance of the particular inverse propensityscore weighting method we employ is thus well established.</w:t>
      </w:r>
    </w:p>
    <w:p w14:paraId="26ACCE1E" w14:textId="06D3A2D9" w:rsidR="00155855" w:rsidRPr="00F86A70" w:rsidRDefault="00155855">
      <w:pPr>
        <w:rPr>
          <w:rFonts w:ascii="LM Roman 10" w:hAnsi="LM Roman 10"/>
          <w:lang w:val="en-US"/>
        </w:rPr>
      </w:pPr>
      <w:r w:rsidRPr="00F86A70">
        <w:rPr>
          <w:rFonts w:ascii="LM Roman 10" w:hAnsi="LM Roman 10"/>
          <w:lang w:val="en-US"/>
        </w:rPr>
        <w:t xml:space="preserve">Weighting by the inverse of the propensity score shifts weight away from the oversampled toward the undersampled region of the distribution. This shift of </w:t>
      </w:r>
      <w:r w:rsidRPr="00F86A70">
        <w:rPr>
          <w:rFonts w:ascii="LM Roman 10" w:hAnsi="LM Roman 10"/>
          <w:lang w:val="en-US"/>
        </w:rPr>
        <w:lastRenderedPageBreak/>
        <w:t>probability mass reconstructs the appropriate frequency weights of the underlying true distribution of outcomes under treatment and control so that the means estimated from each subpopulation are no longer biased and their difference is an unbiased estimate of the ATE.</w:t>
      </w:r>
    </w:p>
    <w:p w14:paraId="53F90C53" w14:textId="77777777" w:rsidR="009F4092" w:rsidRPr="00F86A70" w:rsidRDefault="009F4092">
      <w:pPr>
        <w:rPr>
          <w:rFonts w:ascii="LM Roman 10" w:hAnsi="LM Roman 10"/>
          <w:b/>
          <w:bCs/>
          <w:lang w:val="en-US"/>
        </w:rPr>
      </w:pPr>
      <w:r w:rsidRPr="00F86A70">
        <w:rPr>
          <w:rFonts w:ascii="LM Roman 10" w:hAnsi="LM Roman 10"/>
          <w:b/>
          <w:bCs/>
          <w:lang w:val="en-US"/>
        </w:rPr>
        <w:t xml:space="preserve">As good as random </w:t>
      </w:r>
    </w:p>
    <w:p w14:paraId="001B11F0" w14:textId="49F1954A" w:rsidR="009F4092" w:rsidRPr="00F86A70" w:rsidRDefault="009F4092">
      <w:pPr>
        <w:rPr>
          <w:rFonts w:ascii="LM Roman 10" w:hAnsi="LM Roman 10"/>
          <w:lang w:val="en-US"/>
        </w:rPr>
      </w:pPr>
      <w:r w:rsidRPr="00F86A70">
        <w:rPr>
          <w:rFonts w:ascii="LM Roman 10" w:hAnsi="LM Roman 10"/>
          <w:lang w:val="en-US"/>
        </w:rPr>
        <w:t>Instead of assuming that the treatment is randomly assigned, we assume that the treatment is as good as randomly assigned after conditioning on covariates Formally, this assumption is known as conditional independence Even more formally, we only need conditional mean independence which says that after conditioning on covariates, the treatment does not affect the means of the potential outcomes</w:t>
      </w:r>
    </w:p>
    <w:p w14:paraId="2762AE3B" w14:textId="77777777" w:rsidR="00155855" w:rsidRPr="00F86A70" w:rsidRDefault="00155855">
      <w:pPr>
        <w:rPr>
          <w:rFonts w:ascii="LM Roman 10" w:hAnsi="LM Roman 10"/>
          <w:lang w:val="en-US"/>
        </w:rPr>
      </w:pPr>
    </w:p>
    <w:sectPr w:rsidR="00155855" w:rsidRPr="00F86A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rQUA3mKhOSwAAAA="/>
  </w:docVars>
  <w:rsids>
    <w:rsidRoot w:val="004B7D72"/>
    <w:rsid w:val="000F2082"/>
    <w:rsid w:val="000F2F0B"/>
    <w:rsid w:val="00144423"/>
    <w:rsid w:val="00155855"/>
    <w:rsid w:val="001C703C"/>
    <w:rsid w:val="001D40C1"/>
    <w:rsid w:val="001D7F43"/>
    <w:rsid w:val="00262EC6"/>
    <w:rsid w:val="00335F97"/>
    <w:rsid w:val="00382542"/>
    <w:rsid w:val="003E6C37"/>
    <w:rsid w:val="00457F95"/>
    <w:rsid w:val="00476817"/>
    <w:rsid w:val="004A000F"/>
    <w:rsid w:val="004B7D72"/>
    <w:rsid w:val="00597925"/>
    <w:rsid w:val="005E2878"/>
    <w:rsid w:val="005F269A"/>
    <w:rsid w:val="006855EE"/>
    <w:rsid w:val="006C5388"/>
    <w:rsid w:val="006E5778"/>
    <w:rsid w:val="00785207"/>
    <w:rsid w:val="007E6077"/>
    <w:rsid w:val="007E6120"/>
    <w:rsid w:val="00850E33"/>
    <w:rsid w:val="0087115D"/>
    <w:rsid w:val="008E1F12"/>
    <w:rsid w:val="009943EB"/>
    <w:rsid w:val="009F4092"/>
    <w:rsid w:val="00B26BEA"/>
    <w:rsid w:val="00BA3B45"/>
    <w:rsid w:val="00BB09CE"/>
    <w:rsid w:val="00BC68D9"/>
    <w:rsid w:val="00BD5553"/>
    <w:rsid w:val="00CA676D"/>
    <w:rsid w:val="00CD00EE"/>
    <w:rsid w:val="00DA6BE5"/>
    <w:rsid w:val="00DC5BB1"/>
    <w:rsid w:val="00F21EF0"/>
    <w:rsid w:val="00F363B3"/>
    <w:rsid w:val="00F86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2862</Words>
  <Characters>15742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22</cp:revision>
  <dcterms:created xsi:type="dcterms:W3CDTF">2022-04-22T14:28:00Z</dcterms:created>
  <dcterms:modified xsi:type="dcterms:W3CDTF">2022-06-08T15:37:00Z</dcterms:modified>
</cp:coreProperties>
</file>