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51" w:type="dxa"/>
        <w:jc w:val="center"/>
        <w:tblLayout w:type="fixed"/>
        <w:tblLook w:val="0000" w:firstRow="0" w:lastRow="0" w:firstColumn="0" w:lastColumn="0" w:noHBand="0" w:noVBand="0"/>
      </w:tblPr>
      <w:tblGrid>
        <w:gridCol w:w="1843"/>
        <w:gridCol w:w="1639"/>
        <w:gridCol w:w="1276"/>
        <w:gridCol w:w="1417"/>
        <w:gridCol w:w="1338"/>
        <w:gridCol w:w="1338"/>
      </w:tblGrid>
      <w:tr w:rsidR="005A3C33" w:rsidRPr="005A3C33" w14:paraId="13C9241C" w14:textId="77777777" w:rsidTr="0004654A">
        <w:trPr>
          <w:jc w:val="center"/>
        </w:trPr>
        <w:tc>
          <w:tcPr>
            <w:tcW w:w="1843" w:type="dxa"/>
            <w:tcBorders>
              <w:top w:val="single" w:sz="4" w:space="0" w:color="auto"/>
              <w:left w:val="nil"/>
              <w:right w:val="nil"/>
            </w:tcBorders>
          </w:tcPr>
          <w:p w14:paraId="256CC886" w14:textId="77777777" w:rsidR="005A3C33" w:rsidRPr="005A3C33" w:rsidRDefault="005A3C33" w:rsidP="00FB2D76">
            <w:pPr>
              <w:widowControl w:val="0"/>
              <w:autoSpaceDE w:val="0"/>
              <w:autoSpaceDN w:val="0"/>
              <w:adjustRightInd w:val="0"/>
              <w:spacing w:after="0" w:line="240" w:lineRule="auto"/>
              <w:rPr>
                <w:rFonts w:ascii="Times New Roman" w:hAnsi="Times New Roman"/>
                <w:lang w:val="en-US"/>
              </w:rPr>
            </w:pPr>
          </w:p>
        </w:tc>
        <w:tc>
          <w:tcPr>
            <w:tcW w:w="1639" w:type="dxa"/>
            <w:tcBorders>
              <w:top w:val="single" w:sz="4" w:space="0" w:color="auto"/>
              <w:left w:val="nil"/>
              <w:right w:val="nil"/>
            </w:tcBorders>
          </w:tcPr>
          <w:p w14:paraId="5955734D"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(1)</w:t>
            </w:r>
          </w:p>
        </w:tc>
        <w:tc>
          <w:tcPr>
            <w:tcW w:w="1276" w:type="dxa"/>
            <w:tcBorders>
              <w:top w:val="single" w:sz="4" w:space="0" w:color="auto"/>
              <w:left w:val="nil"/>
              <w:right w:val="nil"/>
            </w:tcBorders>
          </w:tcPr>
          <w:p w14:paraId="3E353AC6"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(2)</w:t>
            </w:r>
          </w:p>
        </w:tc>
        <w:tc>
          <w:tcPr>
            <w:tcW w:w="1417" w:type="dxa"/>
            <w:tcBorders>
              <w:top w:val="single" w:sz="4" w:space="0" w:color="auto"/>
              <w:left w:val="nil"/>
              <w:right w:val="nil"/>
            </w:tcBorders>
          </w:tcPr>
          <w:p w14:paraId="1B1C83B1"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(3)</w:t>
            </w:r>
          </w:p>
        </w:tc>
        <w:tc>
          <w:tcPr>
            <w:tcW w:w="1338" w:type="dxa"/>
            <w:tcBorders>
              <w:top w:val="single" w:sz="4" w:space="0" w:color="auto"/>
              <w:left w:val="nil"/>
              <w:right w:val="nil"/>
            </w:tcBorders>
          </w:tcPr>
          <w:p w14:paraId="2FF4D4E6"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(4)</w:t>
            </w:r>
          </w:p>
        </w:tc>
        <w:tc>
          <w:tcPr>
            <w:tcW w:w="1338" w:type="dxa"/>
            <w:tcBorders>
              <w:top w:val="single" w:sz="4" w:space="0" w:color="auto"/>
              <w:left w:val="nil"/>
              <w:right w:val="nil"/>
            </w:tcBorders>
          </w:tcPr>
          <w:p w14:paraId="5E984CDA"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(5)</w:t>
            </w:r>
          </w:p>
        </w:tc>
      </w:tr>
      <w:tr w:rsidR="005A3C33" w:rsidRPr="005A3C33" w14:paraId="05A45BFF" w14:textId="77777777" w:rsidTr="0004654A">
        <w:trPr>
          <w:jc w:val="center"/>
        </w:trPr>
        <w:tc>
          <w:tcPr>
            <w:tcW w:w="1843" w:type="dxa"/>
            <w:tcBorders>
              <w:top w:val="nil"/>
              <w:left w:val="nil"/>
              <w:bottom w:val="single" w:sz="4" w:space="0" w:color="auto"/>
              <w:right w:val="nil"/>
            </w:tcBorders>
          </w:tcPr>
          <w:p w14:paraId="267B02A4" w14:textId="77777777" w:rsidR="005A3C33" w:rsidRPr="005A3C33" w:rsidRDefault="005A3C33" w:rsidP="00FB2D76">
            <w:pPr>
              <w:widowControl w:val="0"/>
              <w:autoSpaceDE w:val="0"/>
              <w:autoSpaceDN w:val="0"/>
              <w:adjustRightInd w:val="0"/>
              <w:spacing w:after="0" w:line="240" w:lineRule="auto"/>
              <w:rPr>
                <w:rFonts w:ascii="Times New Roman" w:hAnsi="Times New Roman"/>
                <w:lang w:val="en-US"/>
              </w:rPr>
            </w:pPr>
          </w:p>
        </w:tc>
        <w:tc>
          <w:tcPr>
            <w:tcW w:w="1639" w:type="dxa"/>
            <w:tcBorders>
              <w:top w:val="nil"/>
              <w:left w:val="nil"/>
              <w:bottom w:val="single" w:sz="4" w:space="0" w:color="auto"/>
              <w:right w:val="nil"/>
            </w:tcBorders>
          </w:tcPr>
          <w:p w14:paraId="58211775"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gini_net0</w:t>
            </w:r>
          </w:p>
        </w:tc>
        <w:tc>
          <w:tcPr>
            <w:tcW w:w="1276" w:type="dxa"/>
            <w:tcBorders>
              <w:top w:val="nil"/>
              <w:left w:val="nil"/>
              <w:bottom w:val="single" w:sz="4" w:space="0" w:color="auto"/>
              <w:right w:val="nil"/>
            </w:tcBorders>
          </w:tcPr>
          <w:p w14:paraId="088DC118"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gini_net1</w:t>
            </w:r>
          </w:p>
        </w:tc>
        <w:tc>
          <w:tcPr>
            <w:tcW w:w="1417" w:type="dxa"/>
            <w:tcBorders>
              <w:top w:val="nil"/>
              <w:left w:val="nil"/>
              <w:bottom w:val="single" w:sz="4" w:space="0" w:color="auto"/>
              <w:right w:val="nil"/>
            </w:tcBorders>
          </w:tcPr>
          <w:p w14:paraId="4135642D"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gini_net2</w:t>
            </w:r>
          </w:p>
        </w:tc>
        <w:tc>
          <w:tcPr>
            <w:tcW w:w="1338" w:type="dxa"/>
            <w:tcBorders>
              <w:top w:val="nil"/>
              <w:left w:val="nil"/>
              <w:bottom w:val="single" w:sz="4" w:space="0" w:color="auto"/>
              <w:right w:val="nil"/>
            </w:tcBorders>
          </w:tcPr>
          <w:p w14:paraId="3850DD80"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gini_net3</w:t>
            </w:r>
          </w:p>
        </w:tc>
        <w:tc>
          <w:tcPr>
            <w:tcW w:w="1338" w:type="dxa"/>
            <w:tcBorders>
              <w:top w:val="nil"/>
              <w:left w:val="nil"/>
              <w:bottom w:val="single" w:sz="4" w:space="0" w:color="auto"/>
              <w:right w:val="nil"/>
            </w:tcBorders>
          </w:tcPr>
          <w:p w14:paraId="114E5876" w14:textId="7777777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r w:rsidRPr="005A3C33">
              <w:rPr>
                <w:rFonts w:ascii="Times New Roman" w:hAnsi="Times New Roman"/>
                <w:lang w:val="en-US"/>
              </w:rPr>
              <w:t>gini_net4</w:t>
            </w:r>
          </w:p>
        </w:tc>
      </w:tr>
      <w:tr w:rsidR="005A3C33" w:rsidRPr="005A3C33" w14:paraId="3FA59AEF" w14:textId="77777777" w:rsidTr="0004654A">
        <w:trPr>
          <w:jc w:val="center"/>
        </w:trPr>
        <w:tc>
          <w:tcPr>
            <w:tcW w:w="1843" w:type="dxa"/>
            <w:tcBorders>
              <w:top w:val="single" w:sz="4" w:space="0" w:color="auto"/>
              <w:left w:val="nil"/>
              <w:bottom w:val="nil"/>
              <w:right w:val="nil"/>
            </w:tcBorders>
          </w:tcPr>
          <w:p w14:paraId="0D69F0CD" w14:textId="2849F789" w:rsidR="005A3C33" w:rsidRPr="005A3C33" w:rsidRDefault="005A3C33" w:rsidP="00FB2D76">
            <w:pPr>
              <w:widowControl w:val="0"/>
              <w:autoSpaceDE w:val="0"/>
              <w:autoSpaceDN w:val="0"/>
              <w:adjustRightInd w:val="0"/>
              <w:spacing w:after="0" w:line="240" w:lineRule="auto"/>
              <w:rPr>
                <w:rFonts w:ascii="Times New Roman" w:hAnsi="Times New Roman"/>
                <w:lang w:val="en-US"/>
              </w:rPr>
            </w:pPr>
          </w:p>
        </w:tc>
        <w:tc>
          <w:tcPr>
            <w:tcW w:w="1639" w:type="dxa"/>
            <w:tcBorders>
              <w:top w:val="single" w:sz="4" w:space="0" w:color="auto"/>
              <w:left w:val="nil"/>
              <w:bottom w:val="nil"/>
              <w:right w:val="nil"/>
            </w:tcBorders>
          </w:tcPr>
          <w:p w14:paraId="34478D90" w14:textId="38AA0814"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276" w:type="dxa"/>
            <w:tcBorders>
              <w:top w:val="single" w:sz="4" w:space="0" w:color="auto"/>
              <w:left w:val="nil"/>
              <w:bottom w:val="nil"/>
              <w:right w:val="nil"/>
            </w:tcBorders>
          </w:tcPr>
          <w:p w14:paraId="380EA3C8" w14:textId="6E04C1C7"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417" w:type="dxa"/>
            <w:tcBorders>
              <w:top w:val="single" w:sz="4" w:space="0" w:color="auto"/>
              <w:left w:val="nil"/>
              <w:bottom w:val="nil"/>
              <w:right w:val="nil"/>
            </w:tcBorders>
          </w:tcPr>
          <w:p w14:paraId="24ADFAA9" w14:textId="478AD951"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338" w:type="dxa"/>
            <w:tcBorders>
              <w:top w:val="single" w:sz="4" w:space="0" w:color="auto"/>
              <w:left w:val="nil"/>
              <w:bottom w:val="nil"/>
              <w:right w:val="nil"/>
            </w:tcBorders>
          </w:tcPr>
          <w:p w14:paraId="4175F86A" w14:textId="34BFD32A"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c>
          <w:tcPr>
            <w:tcW w:w="1338" w:type="dxa"/>
            <w:tcBorders>
              <w:top w:val="single" w:sz="4" w:space="0" w:color="auto"/>
              <w:left w:val="nil"/>
              <w:bottom w:val="nil"/>
              <w:right w:val="nil"/>
            </w:tcBorders>
          </w:tcPr>
          <w:p w14:paraId="65C7DE3C" w14:textId="3E14CAD3" w:rsidR="005A3C33" w:rsidRPr="005A3C33" w:rsidRDefault="005A3C33" w:rsidP="00FB2D76">
            <w:pPr>
              <w:widowControl w:val="0"/>
              <w:autoSpaceDE w:val="0"/>
              <w:autoSpaceDN w:val="0"/>
              <w:adjustRightInd w:val="0"/>
              <w:spacing w:after="0" w:line="240" w:lineRule="auto"/>
              <w:jc w:val="center"/>
              <w:rPr>
                <w:rFonts w:ascii="Times New Roman" w:hAnsi="Times New Roman"/>
                <w:lang w:val="en-US"/>
              </w:rPr>
            </w:pPr>
          </w:p>
        </w:tc>
      </w:tr>
      <w:tr w:rsidR="005A3C33" w:rsidRPr="005A3C33" w14:paraId="35B9E5B6" w14:textId="77777777" w:rsidTr="0004654A">
        <w:trPr>
          <w:jc w:val="center"/>
        </w:trPr>
        <w:tc>
          <w:tcPr>
            <w:tcW w:w="1843" w:type="dxa"/>
            <w:tcBorders>
              <w:top w:val="nil"/>
              <w:left w:val="nil"/>
              <w:bottom w:val="nil"/>
              <w:right w:val="nil"/>
            </w:tcBorders>
          </w:tcPr>
          <w:p w14:paraId="4F359552" w14:textId="3EB5CEF4" w:rsidR="005A3C33" w:rsidRPr="005A3C33" w:rsidRDefault="005A3C3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education_exp</w:t>
            </w:r>
            <w:proofErr w:type="spellEnd"/>
          </w:p>
        </w:tc>
        <w:tc>
          <w:tcPr>
            <w:tcW w:w="1639" w:type="dxa"/>
            <w:tcBorders>
              <w:top w:val="nil"/>
              <w:left w:val="nil"/>
              <w:bottom w:val="nil"/>
              <w:right w:val="nil"/>
            </w:tcBorders>
          </w:tcPr>
          <w:p w14:paraId="55AE441A" w14:textId="78926CA3"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0.00989</w:t>
            </w:r>
          </w:p>
        </w:tc>
        <w:tc>
          <w:tcPr>
            <w:tcW w:w="1276" w:type="dxa"/>
            <w:tcBorders>
              <w:top w:val="nil"/>
              <w:left w:val="nil"/>
              <w:bottom w:val="nil"/>
              <w:right w:val="nil"/>
            </w:tcBorders>
          </w:tcPr>
          <w:p w14:paraId="19778711" w14:textId="5FB2D2E3"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-0.0117</w:t>
            </w:r>
          </w:p>
        </w:tc>
        <w:tc>
          <w:tcPr>
            <w:tcW w:w="1417" w:type="dxa"/>
            <w:tcBorders>
              <w:top w:val="nil"/>
              <w:left w:val="nil"/>
              <w:bottom w:val="nil"/>
              <w:right w:val="nil"/>
            </w:tcBorders>
          </w:tcPr>
          <w:p w14:paraId="1985670D" w14:textId="4AA2FA8B"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-0.0149</w:t>
            </w:r>
          </w:p>
        </w:tc>
        <w:tc>
          <w:tcPr>
            <w:tcW w:w="1338" w:type="dxa"/>
            <w:tcBorders>
              <w:top w:val="nil"/>
              <w:left w:val="nil"/>
              <w:bottom w:val="nil"/>
              <w:right w:val="nil"/>
            </w:tcBorders>
          </w:tcPr>
          <w:p w14:paraId="2DCF2954" w14:textId="6BF0EF89"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-0.0284</w:t>
            </w:r>
          </w:p>
        </w:tc>
        <w:tc>
          <w:tcPr>
            <w:tcW w:w="1338" w:type="dxa"/>
            <w:tcBorders>
              <w:top w:val="nil"/>
              <w:left w:val="nil"/>
              <w:bottom w:val="nil"/>
              <w:right w:val="nil"/>
            </w:tcBorders>
          </w:tcPr>
          <w:p w14:paraId="7F71398D" w14:textId="61B57807"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0.0165</w:t>
            </w:r>
          </w:p>
        </w:tc>
      </w:tr>
      <w:tr w:rsidR="005A3C33" w:rsidRPr="005A3C33" w14:paraId="126CF3D1" w14:textId="77777777" w:rsidTr="0004654A">
        <w:trPr>
          <w:jc w:val="center"/>
        </w:trPr>
        <w:tc>
          <w:tcPr>
            <w:tcW w:w="1843" w:type="dxa"/>
            <w:tcBorders>
              <w:top w:val="nil"/>
              <w:left w:val="nil"/>
              <w:bottom w:val="nil"/>
              <w:right w:val="nil"/>
            </w:tcBorders>
          </w:tcPr>
          <w:p w14:paraId="37AE4AF6" w14:textId="77777777" w:rsidR="005A3C33" w:rsidRPr="005A3C33" w:rsidRDefault="005A3C3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347EA306" w14:textId="09CA904B"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(0.40)</w:t>
            </w:r>
          </w:p>
        </w:tc>
        <w:tc>
          <w:tcPr>
            <w:tcW w:w="1276" w:type="dxa"/>
            <w:tcBorders>
              <w:top w:val="nil"/>
              <w:left w:val="nil"/>
              <w:bottom w:val="nil"/>
              <w:right w:val="nil"/>
            </w:tcBorders>
          </w:tcPr>
          <w:p w14:paraId="7940E6FB" w14:textId="3B0E485D"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(-0.56)</w:t>
            </w:r>
          </w:p>
        </w:tc>
        <w:tc>
          <w:tcPr>
            <w:tcW w:w="1417" w:type="dxa"/>
            <w:tcBorders>
              <w:top w:val="nil"/>
              <w:left w:val="nil"/>
              <w:bottom w:val="nil"/>
              <w:right w:val="nil"/>
            </w:tcBorders>
          </w:tcPr>
          <w:p w14:paraId="49EA282A" w14:textId="2DFAFDB0"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(-0.93)</w:t>
            </w:r>
          </w:p>
        </w:tc>
        <w:tc>
          <w:tcPr>
            <w:tcW w:w="1338" w:type="dxa"/>
            <w:tcBorders>
              <w:top w:val="nil"/>
              <w:left w:val="nil"/>
              <w:bottom w:val="nil"/>
              <w:right w:val="nil"/>
            </w:tcBorders>
          </w:tcPr>
          <w:p w14:paraId="3713AC33" w14:textId="10E323FB"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(-1.18)</w:t>
            </w:r>
          </w:p>
        </w:tc>
        <w:tc>
          <w:tcPr>
            <w:tcW w:w="1338" w:type="dxa"/>
            <w:tcBorders>
              <w:top w:val="nil"/>
              <w:left w:val="nil"/>
              <w:bottom w:val="nil"/>
              <w:right w:val="nil"/>
            </w:tcBorders>
          </w:tcPr>
          <w:p w14:paraId="08C1EB4F" w14:textId="74E7FBE5" w:rsidR="005A3C33" w:rsidRPr="005A3C33" w:rsidRDefault="005A3C3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(0.86)</w:t>
            </w:r>
          </w:p>
        </w:tc>
      </w:tr>
      <w:tr w:rsidR="00DC22B3" w:rsidRPr="005A3C33" w14:paraId="6DA6F38B" w14:textId="77777777" w:rsidTr="0004654A">
        <w:trPr>
          <w:jc w:val="center"/>
        </w:trPr>
        <w:tc>
          <w:tcPr>
            <w:tcW w:w="1843" w:type="dxa"/>
            <w:tcBorders>
              <w:top w:val="nil"/>
              <w:left w:val="nil"/>
              <w:bottom w:val="nil"/>
              <w:right w:val="nil"/>
            </w:tcBorders>
          </w:tcPr>
          <w:p w14:paraId="78D262A7" w14:textId="132159BA"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L.education_exp</w:t>
            </w:r>
            <w:proofErr w:type="spellEnd"/>
          </w:p>
        </w:tc>
        <w:tc>
          <w:tcPr>
            <w:tcW w:w="1639" w:type="dxa"/>
            <w:tcBorders>
              <w:top w:val="nil"/>
              <w:left w:val="nil"/>
              <w:bottom w:val="nil"/>
              <w:right w:val="nil"/>
            </w:tcBorders>
          </w:tcPr>
          <w:p w14:paraId="3A1F96AE" w14:textId="017BF59D"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-0.0224</w:t>
            </w:r>
          </w:p>
        </w:tc>
        <w:tc>
          <w:tcPr>
            <w:tcW w:w="1276" w:type="dxa"/>
            <w:tcBorders>
              <w:top w:val="nil"/>
              <w:left w:val="nil"/>
              <w:bottom w:val="nil"/>
              <w:right w:val="nil"/>
            </w:tcBorders>
          </w:tcPr>
          <w:p w14:paraId="68E46E58" w14:textId="0B8A2EA0"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-0.00112</w:t>
            </w:r>
          </w:p>
        </w:tc>
        <w:tc>
          <w:tcPr>
            <w:tcW w:w="1417" w:type="dxa"/>
            <w:tcBorders>
              <w:top w:val="nil"/>
              <w:left w:val="nil"/>
              <w:bottom w:val="nil"/>
              <w:right w:val="nil"/>
            </w:tcBorders>
          </w:tcPr>
          <w:p w14:paraId="1E6A1DB5" w14:textId="4F2B7882"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0.00341</w:t>
            </w:r>
          </w:p>
        </w:tc>
        <w:tc>
          <w:tcPr>
            <w:tcW w:w="1338" w:type="dxa"/>
            <w:tcBorders>
              <w:top w:val="nil"/>
              <w:left w:val="nil"/>
              <w:bottom w:val="nil"/>
              <w:right w:val="nil"/>
            </w:tcBorders>
          </w:tcPr>
          <w:p w14:paraId="68026645" w14:textId="51BAE409"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0.0147</w:t>
            </w:r>
          </w:p>
        </w:tc>
        <w:tc>
          <w:tcPr>
            <w:tcW w:w="1338" w:type="dxa"/>
            <w:tcBorders>
              <w:top w:val="nil"/>
              <w:left w:val="nil"/>
              <w:bottom w:val="nil"/>
              <w:right w:val="nil"/>
            </w:tcBorders>
          </w:tcPr>
          <w:p w14:paraId="3F1A43C7" w14:textId="1406A15F"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-0.0355</w:t>
            </w:r>
            <w:r w:rsidR="0004654A">
              <w:rPr>
                <w:rFonts w:ascii="Times New Roman" w:hAnsi="Times New Roman"/>
                <w:lang w:val="en-US"/>
              </w:rPr>
              <w:t>*</w:t>
            </w:r>
          </w:p>
        </w:tc>
      </w:tr>
      <w:tr w:rsidR="00DC22B3" w:rsidRPr="005A3C33" w14:paraId="67F43CD6" w14:textId="77777777" w:rsidTr="0004654A">
        <w:trPr>
          <w:jc w:val="center"/>
        </w:trPr>
        <w:tc>
          <w:tcPr>
            <w:tcW w:w="1843" w:type="dxa"/>
            <w:tcBorders>
              <w:top w:val="nil"/>
              <w:left w:val="nil"/>
              <w:bottom w:val="nil"/>
              <w:right w:val="nil"/>
            </w:tcBorders>
          </w:tcPr>
          <w:p w14:paraId="38DA1BED" w14:textId="4F29D455"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226E1377" w14:textId="74E278B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(-1.34)</w:t>
            </w:r>
          </w:p>
        </w:tc>
        <w:tc>
          <w:tcPr>
            <w:tcW w:w="1276" w:type="dxa"/>
            <w:tcBorders>
              <w:top w:val="nil"/>
              <w:left w:val="nil"/>
              <w:bottom w:val="nil"/>
              <w:right w:val="nil"/>
            </w:tcBorders>
          </w:tcPr>
          <w:p w14:paraId="73ED70D4" w14:textId="7275ADBE"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(-0.07)</w:t>
            </w:r>
          </w:p>
        </w:tc>
        <w:tc>
          <w:tcPr>
            <w:tcW w:w="1417" w:type="dxa"/>
            <w:tcBorders>
              <w:top w:val="nil"/>
              <w:left w:val="nil"/>
              <w:bottom w:val="nil"/>
              <w:right w:val="nil"/>
            </w:tcBorders>
          </w:tcPr>
          <w:p w14:paraId="770E627C" w14:textId="7456E01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(0.16)</w:t>
            </w:r>
          </w:p>
        </w:tc>
        <w:tc>
          <w:tcPr>
            <w:tcW w:w="1338" w:type="dxa"/>
            <w:tcBorders>
              <w:top w:val="nil"/>
              <w:left w:val="nil"/>
              <w:bottom w:val="nil"/>
              <w:right w:val="nil"/>
            </w:tcBorders>
          </w:tcPr>
          <w:p w14:paraId="7DE5176B" w14:textId="753CFEB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(1.06)</w:t>
            </w:r>
          </w:p>
        </w:tc>
        <w:tc>
          <w:tcPr>
            <w:tcW w:w="1338" w:type="dxa"/>
            <w:tcBorders>
              <w:top w:val="nil"/>
              <w:left w:val="nil"/>
              <w:bottom w:val="nil"/>
              <w:right w:val="nil"/>
            </w:tcBorders>
          </w:tcPr>
          <w:p w14:paraId="58C0651F" w14:textId="2B9C0F1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(-1.63)</w:t>
            </w:r>
          </w:p>
        </w:tc>
      </w:tr>
      <w:tr w:rsidR="00DC22B3" w:rsidRPr="005A3C33" w14:paraId="4B38FA77" w14:textId="77777777" w:rsidTr="0004654A">
        <w:trPr>
          <w:jc w:val="center"/>
        </w:trPr>
        <w:tc>
          <w:tcPr>
            <w:tcW w:w="1843" w:type="dxa"/>
            <w:tcBorders>
              <w:top w:val="nil"/>
              <w:left w:val="nil"/>
              <w:bottom w:val="nil"/>
              <w:right w:val="nil"/>
            </w:tcBorders>
          </w:tcPr>
          <w:p w14:paraId="1FCED122" w14:textId="1CFC652A"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health_exp</w:t>
            </w:r>
            <w:proofErr w:type="spellEnd"/>
          </w:p>
        </w:tc>
        <w:tc>
          <w:tcPr>
            <w:tcW w:w="1639" w:type="dxa"/>
            <w:tcBorders>
              <w:top w:val="nil"/>
              <w:left w:val="nil"/>
              <w:bottom w:val="nil"/>
              <w:right w:val="nil"/>
            </w:tcBorders>
          </w:tcPr>
          <w:p w14:paraId="5C39D4B3" w14:textId="3731C8F4"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-0.00726</w:t>
            </w:r>
          </w:p>
        </w:tc>
        <w:tc>
          <w:tcPr>
            <w:tcW w:w="1276" w:type="dxa"/>
            <w:tcBorders>
              <w:top w:val="nil"/>
              <w:left w:val="nil"/>
              <w:bottom w:val="nil"/>
              <w:right w:val="nil"/>
            </w:tcBorders>
          </w:tcPr>
          <w:p w14:paraId="31A1BE94" w14:textId="1CAFF6D9"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-0.0168</w:t>
            </w:r>
          </w:p>
        </w:tc>
        <w:tc>
          <w:tcPr>
            <w:tcW w:w="1417" w:type="dxa"/>
            <w:tcBorders>
              <w:top w:val="nil"/>
              <w:left w:val="nil"/>
              <w:bottom w:val="nil"/>
              <w:right w:val="nil"/>
            </w:tcBorders>
          </w:tcPr>
          <w:p w14:paraId="25190EA8" w14:textId="2945EA41"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-0.00202</w:t>
            </w:r>
          </w:p>
        </w:tc>
        <w:tc>
          <w:tcPr>
            <w:tcW w:w="1338" w:type="dxa"/>
            <w:tcBorders>
              <w:top w:val="nil"/>
              <w:left w:val="nil"/>
              <w:bottom w:val="nil"/>
              <w:right w:val="nil"/>
            </w:tcBorders>
          </w:tcPr>
          <w:p w14:paraId="4D54032B" w14:textId="63DA7D0F"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0.00945</w:t>
            </w:r>
          </w:p>
        </w:tc>
        <w:tc>
          <w:tcPr>
            <w:tcW w:w="1338" w:type="dxa"/>
            <w:tcBorders>
              <w:top w:val="nil"/>
              <w:left w:val="nil"/>
              <w:bottom w:val="nil"/>
              <w:right w:val="nil"/>
            </w:tcBorders>
          </w:tcPr>
          <w:p w14:paraId="2B0A750B" w14:textId="275E08B1"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-0.000214</w:t>
            </w:r>
          </w:p>
        </w:tc>
      </w:tr>
      <w:tr w:rsidR="00DC22B3" w:rsidRPr="005A3C33" w14:paraId="511EA9D2" w14:textId="77777777" w:rsidTr="0004654A">
        <w:trPr>
          <w:jc w:val="center"/>
        </w:trPr>
        <w:tc>
          <w:tcPr>
            <w:tcW w:w="1843" w:type="dxa"/>
            <w:tcBorders>
              <w:top w:val="nil"/>
              <w:left w:val="nil"/>
              <w:bottom w:val="nil"/>
              <w:right w:val="nil"/>
            </w:tcBorders>
          </w:tcPr>
          <w:p w14:paraId="26371E27" w14:textId="5D80351B"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2B8C966F" w14:textId="11CEB4EA"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(-0.43)</w:t>
            </w:r>
          </w:p>
        </w:tc>
        <w:tc>
          <w:tcPr>
            <w:tcW w:w="1276" w:type="dxa"/>
            <w:tcBorders>
              <w:top w:val="nil"/>
              <w:left w:val="nil"/>
              <w:bottom w:val="nil"/>
              <w:right w:val="nil"/>
            </w:tcBorders>
          </w:tcPr>
          <w:p w14:paraId="4B73F91D" w14:textId="7600005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(-1.58)</w:t>
            </w:r>
          </w:p>
        </w:tc>
        <w:tc>
          <w:tcPr>
            <w:tcW w:w="1417" w:type="dxa"/>
            <w:tcBorders>
              <w:top w:val="nil"/>
              <w:left w:val="nil"/>
              <w:bottom w:val="nil"/>
              <w:right w:val="nil"/>
            </w:tcBorders>
          </w:tcPr>
          <w:p w14:paraId="3B28B0BE" w14:textId="1414AC88"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(-0.13)</w:t>
            </w:r>
          </w:p>
        </w:tc>
        <w:tc>
          <w:tcPr>
            <w:tcW w:w="1338" w:type="dxa"/>
            <w:tcBorders>
              <w:top w:val="nil"/>
              <w:left w:val="nil"/>
              <w:bottom w:val="nil"/>
              <w:right w:val="nil"/>
            </w:tcBorders>
          </w:tcPr>
          <w:p w14:paraId="23112F62" w14:textId="3CF1624A"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(1.35)</w:t>
            </w:r>
          </w:p>
        </w:tc>
        <w:tc>
          <w:tcPr>
            <w:tcW w:w="1338" w:type="dxa"/>
            <w:tcBorders>
              <w:top w:val="nil"/>
              <w:left w:val="nil"/>
              <w:bottom w:val="nil"/>
              <w:right w:val="nil"/>
            </w:tcBorders>
          </w:tcPr>
          <w:p w14:paraId="65538B94" w14:textId="2A7ACDFD"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(-0.02)</w:t>
            </w:r>
          </w:p>
        </w:tc>
      </w:tr>
      <w:tr w:rsidR="00DC22B3" w:rsidRPr="005A3C33" w14:paraId="62E0E720" w14:textId="77777777" w:rsidTr="0004654A">
        <w:trPr>
          <w:jc w:val="center"/>
        </w:trPr>
        <w:tc>
          <w:tcPr>
            <w:tcW w:w="1843" w:type="dxa"/>
            <w:tcBorders>
              <w:top w:val="nil"/>
              <w:left w:val="nil"/>
              <w:bottom w:val="nil"/>
              <w:right w:val="nil"/>
            </w:tcBorders>
          </w:tcPr>
          <w:p w14:paraId="2065BD33" w14:textId="443D291E"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L.health_exp</w:t>
            </w:r>
            <w:proofErr w:type="spellEnd"/>
          </w:p>
        </w:tc>
        <w:tc>
          <w:tcPr>
            <w:tcW w:w="1639" w:type="dxa"/>
            <w:tcBorders>
              <w:top w:val="nil"/>
              <w:left w:val="nil"/>
              <w:bottom w:val="nil"/>
              <w:right w:val="nil"/>
            </w:tcBorders>
          </w:tcPr>
          <w:p w14:paraId="7A18142E" w14:textId="56F2A045"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-0.00938</w:t>
            </w:r>
          </w:p>
        </w:tc>
        <w:tc>
          <w:tcPr>
            <w:tcW w:w="1276" w:type="dxa"/>
            <w:tcBorders>
              <w:top w:val="nil"/>
              <w:left w:val="nil"/>
              <w:bottom w:val="nil"/>
              <w:right w:val="nil"/>
            </w:tcBorders>
          </w:tcPr>
          <w:p w14:paraId="08CB33EE" w14:textId="292A9CA5"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0.0132</w:t>
            </w:r>
          </w:p>
        </w:tc>
        <w:tc>
          <w:tcPr>
            <w:tcW w:w="1417" w:type="dxa"/>
            <w:tcBorders>
              <w:top w:val="nil"/>
              <w:left w:val="nil"/>
              <w:bottom w:val="nil"/>
              <w:right w:val="nil"/>
            </w:tcBorders>
          </w:tcPr>
          <w:p w14:paraId="7693F7D1" w14:textId="32F99EBB"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0.00527</w:t>
            </w:r>
          </w:p>
        </w:tc>
        <w:tc>
          <w:tcPr>
            <w:tcW w:w="1338" w:type="dxa"/>
            <w:tcBorders>
              <w:top w:val="nil"/>
              <w:left w:val="nil"/>
              <w:bottom w:val="nil"/>
              <w:right w:val="nil"/>
            </w:tcBorders>
          </w:tcPr>
          <w:p w14:paraId="2596FC45" w14:textId="3BE30D0D"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-0.0140</w:t>
            </w:r>
          </w:p>
        </w:tc>
        <w:tc>
          <w:tcPr>
            <w:tcW w:w="1338" w:type="dxa"/>
            <w:tcBorders>
              <w:top w:val="nil"/>
              <w:left w:val="nil"/>
              <w:bottom w:val="nil"/>
              <w:right w:val="nil"/>
            </w:tcBorders>
          </w:tcPr>
          <w:p w14:paraId="2C58B9E9" w14:textId="78EE0AE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-0.00629</w:t>
            </w:r>
          </w:p>
        </w:tc>
      </w:tr>
      <w:tr w:rsidR="00DC22B3" w:rsidRPr="005A3C33" w14:paraId="79137CF9" w14:textId="77777777" w:rsidTr="0004654A">
        <w:trPr>
          <w:jc w:val="center"/>
        </w:trPr>
        <w:tc>
          <w:tcPr>
            <w:tcW w:w="1843" w:type="dxa"/>
            <w:tcBorders>
              <w:top w:val="nil"/>
              <w:left w:val="nil"/>
              <w:bottom w:val="nil"/>
              <w:right w:val="nil"/>
            </w:tcBorders>
          </w:tcPr>
          <w:p w14:paraId="79FF4D23" w14:textId="5F2507C6"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523F1DEB" w14:textId="0DB79A4F"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(-0.79)</w:t>
            </w:r>
          </w:p>
        </w:tc>
        <w:tc>
          <w:tcPr>
            <w:tcW w:w="1276" w:type="dxa"/>
            <w:tcBorders>
              <w:top w:val="nil"/>
              <w:left w:val="nil"/>
              <w:bottom w:val="nil"/>
              <w:right w:val="nil"/>
            </w:tcBorders>
          </w:tcPr>
          <w:p w14:paraId="5A6B90EB" w14:textId="50BDCBB9"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(1.08)</w:t>
            </w:r>
          </w:p>
        </w:tc>
        <w:tc>
          <w:tcPr>
            <w:tcW w:w="1417" w:type="dxa"/>
            <w:tcBorders>
              <w:top w:val="nil"/>
              <w:left w:val="nil"/>
              <w:bottom w:val="nil"/>
              <w:right w:val="nil"/>
            </w:tcBorders>
          </w:tcPr>
          <w:p w14:paraId="6BA36B53" w14:textId="7A1C4A0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(0.50)</w:t>
            </w:r>
          </w:p>
        </w:tc>
        <w:tc>
          <w:tcPr>
            <w:tcW w:w="1338" w:type="dxa"/>
            <w:tcBorders>
              <w:top w:val="nil"/>
              <w:left w:val="nil"/>
              <w:bottom w:val="nil"/>
              <w:right w:val="nil"/>
            </w:tcBorders>
          </w:tcPr>
          <w:p w14:paraId="775934D4" w14:textId="7885E4F3"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(-0.97)</w:t>
            </w:r>
          </w:p>
        </w:tc>
        <w:tc>
          <w:tcPr>
            <w:tcW w:w="1338" w:type="dxa"/>
            <w:tcBorders>
              <w:top w:val="nil"/>
              <w:left w:val="nil"/>
              <w:bottom w:val="nil"/>
              <w:right w:val="nil"/>
            </w:tcBorders>
          </w:tcPr>
          <w:p w14:paraId="344C9596" w14:textId="657CC64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(-0.54)</w:t>
            </w:r>
          </w:p>
        </w:tc>
      </w:tr>
      <w:tr w:rsidR="00DC22B3" w:rsidRPr="005A3C33" w14:paraId="001DC5E9" w14:textId="77777777" w:rsidTr="0004654A">
        <w:trPr>
          <w:jc w:val="center"/>
        </w:trPr>
        <w:tc>
          <w:tcPr>
            <w:tcW w:w="1843" w:type="dxa"/>
            <w:tcBorders>
              <w:top w:val="nil"/>
              <w:left w:val="nil"/>
              <w:bottom w:val="nil"/>
              <w:right w:val="nil"/>
            </w:tcBorders>
          </w:tcPr>
          <w:p w14:paraId="7BAE425B" w14:textId="7ED03F73"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soc_payable</w:t>
            </w:r>
            <w:proofErr w:type="spellEnd"/>
          </w:p>
        </w:tc>
        <w:tc>
          <w:tcPr>
            <w:tcW w:w="1639" w:type="dxa"/>
            <w:tcBorders>
              <w:top w:val="nil"/>
              <w:left w:val="nil"/>
              <w:bottom w:val="nil"/>
              <w:right w:val="nil"/>
            </w:tcBorders>
          </w:tcPr>
          <w:p w14:paraId="67349E75" w14:textId="5D6987B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0.0359</w:t>
            </w:r>
            <w:r w:rsidR="0004654A">
              <w:rPr>
                <w:rFonts w:ascii="Times New Roman" w:hAnsi="Times New Roman"/>
                <w:lang w:val="en-US"/>
              </w:rPr>
              <w:t>*</w:t>
            </w:r>
          </w:p>
        </w:tc>
        <w:tc>
          <w:tcPr>
            <w:tcW w:w="1276" w:type="dxa"/>
            <w:tcBorders>
              <w:top w:val="nil"/>
              <w:left w:val="nil"/>
              <w:bottom w:val="nil"/>
              <w:right w:val="nil"/>
            </w:tcBorders>
          </w:tcPr>
          <w:p w14:paraId="68AFE304" w14:textId="31AA1600"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0.00499</w:t>
            </w:r>
          </w:p>
        </w:tc>
        <w:tc>
          <w:tcPr>
            <w:tcW w:w="1417" w:type="dxa"/>
            <w:tcBorders>
              <w:top w:val="nil"/>
              <w:left w:val="nil"/>
              <w:bottom w:val="nil"/>
              <w:right w:val="nil"/>
            </w:tcBorders>
          </w:tcPr>
          <w:p w14:paraId="3EA4FB9A" w14:textId="4D78F71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-0.0516</w:t>
            </w:r>
          </w:p>
        </w:tc>
        <w:tc>
          <w:tcPr>
            <w:tcW w:w="1338" w:type="dxa"/>
            <w:tcBorders>
              <w:top w:val="nil"/>
              <w:left w:val="nil"/>
              <w:bottom w:val="nil"/>
              <w:right w:val="nil"/>
            </w:tcBorders>
          </w:tcPr>
          <w:p w14:paraId="5A55130B" w14:textId="3F928BE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0.00174</w:t>
            </w:r>
          </w:p>
        </w:tc>
        <w:tc>
          <w:tcPr>
            <w:tcW w:w="1338" w:type="dxa"/>
            <w:tcBorders>
              <w:top w:val="nil"/>
              <w:left w:val="nil"/>
              <w:bottom w:val="nil"/>
              <w:right w:val="nil"/>
            </w:tcBorders>
          </w:tcPr>
          <w:p w14:paraId="0CC86D82" w14:textId="75760070"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0.00862</w:t>
            </w:r>
          </w:p>
        </w:tc>
      </w:tr>
      <w:tr w:rsidR="00DC22B3" w:rsidRPr="005A3C33" w14:paraId="0414D080" w14:textId="77777777" w:rsidTr="0004654A">
        <w:trPr>
          <w:jc w:val="center"/>
        </w:trPr>
        <w:tc>
          <w:tcPr>
            <w:tcW w:w="1843" w:type="dxa"/>
            <w:tcBorders>
              <w:top w:val="nil"/>
              <w:left w:val="nil"/>
              <w:bottom w:val="nil"/>
              <w:right w:val="nil"/>
            </w:tcBorders>
          </w:tcPr>
          <w:p w14:paraId="113E192B" w14:textId="4AFBD03C"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16584FD5" w14:textId="25E9050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(1.57)</w:t>
            </w:r>
          </w:p>
        </w:tc>
        <w:tc>
          <w:tcPr>
            <w:tcW w:w="1276" w:type="dxa"/>
            <w:tcBorders>
              <w:top w:val="nil"/>
              <w:left w:val="nil"/>
              <w:bottom w:val="nil"/>
              <w:right w:val="nil"/>
            </w:tcBorders>
          </w:tcPr>
          <w:p w14:paraId="54FB4B9E" w14:textId="2115CF34"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(0.33)</w:t>
            </w:r>
          </w:p>
        </w:tc>
        <w:tc>
          <w:tcPr>
            <w:tcW w:w="1417" w:type="dxa"/>
            <w:tcBorders>
              <w:top w:val="nil"/>
              <w:left w:val="nil"/>
              <w:bottom w:val="nil"/>
              <w:right w:val="nil"/>
            </w:tcBorders>
          </w:tcPr>
          <w:p w14:paraId="4790C2FF" w14:textId="0674784D"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(-1.52)</w:t>
            </w:r>
          </w:p>
        </w:tc>
        <w:tc>
          <w:tcPr>
            <w:tcW w:w="1338" w:type="dxa"/>
            <w:tcBorders>
              <w:top w:val="nil"/>
              <w:left w:val="nil"/>
              <w:bottom w:val="nil"/>
              <w:right w:val="nil"/>
            </w:tcBorders>
          </w:tcPr>
          <w:p w14:paraId="17959172" w14:textId="2060C155"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(0.21)</w:t>
            </w:r>
          </w:p>
        </w:tc>
        <w:tc>
          <w:tcPr>
            <w:tcW w:w="1338" w:type="dxa"/>
            <w:tcBorders>
              <w:top w:val="nil"/>
              <w:left w:val="nil"/>
              <w:bottom w:val="nil"/>
              <w:right w:val="nil"/>
            </w:tcBorders>
          </w:tcPr>
          <w:p w14:paraId="5FF98FF7" w14:textId="1749813F"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(1.12)</w:t>
            </w:r>
          </w:p>
        </w:tc>
      </w:tr>
      <w:tr w:rsidR="00DC22B3" w:rsidRPr="005A3C33" w14:paraId="7F3EFABC" w14:textId="77777777" w:rsidTr="0004654A">
        <w:trPr>
          <w:jc w:val="center"/>
        </w:trPr>
        <w:tc>
          <w:tcPr>
            <w:tcW w:w="1843" w:type="dxa"/>
            <w:tcBorders>
              <w:top w:val="nil"/>
              <w:left w:val="nil"/>
              <w:bottom w:val="nil"/>
              <w:right w:val="nil"/>
            </w:tcBorders>
          </w:tcPr>
          <w:p w14:paraId="2D8F62D7" w14:textId="79F002B5"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roofErr w:type="spellStart"/>
            <w:r w:rsidRPr="005A3C33">
              <w:rPr>
                <w:rFonts w:ascii="Times New Roman" w:hAnsi="Times New Roman"/>
                <w:lang w:val="en-US"/>
              </w:rPr>
              <w:t>L.soc_payable</w:t>
            </w:r>
            <w:proofErr w:type="spellEnd"/>
          </w:p>
        </w:tc>
        <w:tc>
          <w:tcPr>
            <w:tcW w:w="1639" w:type="dxa"/>
            <w:tcBorders>
              <w:top w:val="nil"/>
              <w:left w:val="nil"/>
              <w:bottom w:val="nil"/>
              <w:right w:val="nil"/>
            </w:tcBorders>
          </w:tcPr>
          <w:p w14:paraId="70CFAF9D" w14:textId="3489296A"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-0.0347</w:t>
            </w:r>
            <w:r w:rsidR="0004654A" w:rsidRPr="00232086">
              <w:rPr>
                <w:rFonts w:ascii="Times New Roman" w:hAnsi="Times New Roman"/>
                <w:highlight w:val="yellow"/>
                <w:lang w:val="en-US"/>
              </w:rPr>
              <w:t>*</w:t>
            </w:r>
          </w:p>
        </w:tc>
        <w:tc>
          <w:tcPr>
            <w:tcW w:w="1276" w:type="dxa"/>
            <w:tcBorders>
              <w:top w:val="nil"/>
              <w:left w:val="nil"/>
              <w:bottom w:val="nil"/>
              <w:right w:val="nil"/>
            </w:tcBorders>
          </w:tcPr>
          <w:p w14:paraId="6A910E3F" w14:textId="4740FB44"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0.0119</w:t>
            </w:r>
          </w:p>
        </w:tc>
        <w:tc>
          <w:tcPr>
            <w:tcW w:w="1417" w:type="dxa"/>
            <w:tcBorders>
              <w:top w:val="nil"/>
              <w:left w:val="nil"/>
              <w:bottom w:val="nil"/>
              <w:right w:val="nil"/>
            </w:tcBorders>
          </w:tcPr>
          <w:p w14:paraId="59DC7C99" w14:textId="0E281CFB"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0.0351</w:t>
            </w:r>
          </w:p>
        </w:tc>
        <w:tc>
          <w:tcPr>
            <w:tcW w:w="1338" w:type="dxa"/>
            <w:tcBorders>
              <w:top w:val="nil"/>
              <w:left w:val="nil"/>
              <w:bottom w:val="nil"/>
              <w:right w:val="nil"/>
            </w:tcBorders>
          </w:tcPr>
          <w:p w14:paraId="7AA4E121" w14:textId="154B907B"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-0.00826</w:t>
            </w:r>
          </w:p>
        </w:tc>
        <w:tc>
          <w:tcPr>
            <w:tcW w:w="1338" w:type="dxa"/>
            <w:tcBorders>
              <w:top w:val="nil"/>
              <w:left w:val="nil"/>
              <w:bottom w:val="nil"/>
              <w:right w:val="nil"/>
            </w:tcBorders>
          </w:tcPr>
          <w:p w14:paraId="225DB03E" w14:textId="0599A600"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-0.00790</w:t>
            </w:r>
          </w:p>
        </w:tc>
      </w:tr>
      <w:tr w:rsidR="00DC22B3" w:rsidRPr="005A3C33" w14:paraId="760CB179" w14:textId="77777777" w:rsidTr="0004654A">
        <w:trPr>
          <w:jc w:val="center"/>
        </w:trPr>
        <w:tc>
          <w:tcPr>
            <w:tcW w:w="1843" w:type="dxa"/>
            <w:tcBorders>
              <w:top w:val="nil"/>
              <w:left w:val="nil"/>
              <w:bottom w:val="nil"/>
              <w:right w:val="nil"/>
            </w:tcBorders>
          </w:tcPr>
          <w:p w14:paraId="2E25F1B0" w14:textId="728214A8"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00B5BC4A" w14:textId="7B6EABD2"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(-1.70)</w:t>
            </w:r>
          </w:p>
        </w:tc>
        <w:tc>
          <w:tcPr>
            <w:tcW w:w="1276" w:type="dxa"/>
            <w:tcBorders>
              <w:top w:val="nil"/>
              <w:left w:val="nil"/>
              <w:bottom w:val="nil"/>
              <w:right w:val="nil"/>
            </w:tcBorders>
          </w:tcPr>
          <w:p w14:paraId="57052412" w14:textId="44B3CBB2"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(1.09)</w:t>
            </w:r>
          </w:p>
        </w:tc>
        <w:tc>
          <w:tcPr>
            <w:tcW w:w="1417" w:type="dxa"/>
            <w:tcBorders>
              <w:top w:val="nil"/>
              <w:left w:val="nil"/>
              <w:bottom w:val="nil"/>
              <w:right w:val="nil"/>
            </w:tcBorders>
          </w:tcPr>
          <w:p w14:paraId="7B45A16D" w14:textId="76A8F738"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(1.24)</w:t>
            </w:r>
          </w:p>
        </w:tc>
        <w:tc>
          <w:tcPr>
            <w:tcW w:w="1338" w:type="dxa"/>
            <w:tcBorders>
              <w:top w:val="nil"/>
              <w:left w:val="nil"/>
              <w:bottom w:val="nil"/>
              <w:right w:val="nil"/>
            </w:tcBorders>
          </w:tcPr>
          <w:p w14:paraId="394EC490" w14:textId="4CC79D71"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(-0.56)</w:t>
            </w:r>
          </w:p>
        </w:tc>
        <w:tc>
          <w:tcPr>
            <w:tcW w:w="1338" w:type="dxa"/>
            <w:tcBorders>
              <w:top w:val="nil"/>
              <w:left w:val="nil"/>
              <w:bottom w:val="nil"/>
              <w:right w:val="nil"/>
            </w:tcBorders>
          </w:tcPr>
          <w:p w14:paraId="1DD7ACCB" w14:textId="2C09015B"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(-0.72)</w:t>
            </w:r>
          </w:p>
        </w:tc>
      </w:tr>
      <w:tr w:rsidR="00887D99" w14:paraId="23504D69" w14:textId="77777777" w:rsidTr="0004654A">
        <w:trPr>
          <w:jc w:val="center"/>
        </w:trPr>
        <w:tc>
          <w:tcPr>
            <w:tcW w:w="1843" w:type="dxa"/>
            <w:tcBorders>
              <w:top w:val="nil"/>
              <w:left w:val="nil"/>
              <w:bottom w:val="nil"/>
              <w:right w:val="nil"/>
            </w:tcBorders>
          </w:tcPr>
          <w:p w14:paraId="27C9AE5A" w14:textId="77777777" w:rsidR="00887D99" w:rsidRPr="00DC22B3" w:rsidRDefault="00887D99" w:rsidP="00887D99">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soc_kind</w:t>
            </w:r>
            <w:proofErr w:type="spellEnd"/>
          </w:p>
        </w:tc>
        <w:tc>
          <w:tcPr>
            <w:tcW w:w="1639" w:type="dxa"/>
            <w:tcBorders>
              <w:top w:val="nil"/>
              <w:left w:val="nil"/>
              <w:bottom w:val="nil"/>
              <w:right w:val="nil"/>
            </w:tcBorders>
          </w:tcPr>
          <w:p w14:paraId="7F326B90" w14:textId="0CB259A6" w:rsidR="00887D99" w:rsidRPr="00887D99" w:rsidRDefault="00887D99" w:rsidP="00887D99">
            <w:pPr>
              <w:widowControl w:val="0"/>
              <w:autoSpaceDE w:val="0"/>
              <w:autoSpaceDN w:val="0"/>
              <w:adjustRightInd w:val="0"/>
              <w:spacing w:after="0" w:line="240" w:lineRule="auto"/>
              <w:contextualSpacing/>
              <w:jc w:val="center"/>
              <w:rPr>
                <w:rFonts w:ascii="Times New Roman" w:hAnsi="Times New Roman"/>
                <w:highlight w:val="yellow"/>
                <w:lang w:val="en-US"/>
              </w:rPr>
            </w:pPr>
            <w:r w:rsidRPr="00887D99">
              <w:rPr>
                <w:rFonts w:ascii="Times New Roman" w:hAnsi="Times New Roman"/>
                <w:sz w:val="24"/>
                <w:szCs w:val="24"/>
                <w:highlight w:val="yellow"/>
                <w:lang w:val="en-US"/>
              </w:rPr>
              <w:t>0.00454</w:t>
            </w:r>
            <w:r w:rsidRPr="00887D99">
              <w:rPr>
                <w:rFonts w:ascii="Times New Roman" w:hAnsi="Times New Roman"/>
                <w:sz w:val="24"/>
                <w:szCs w:val="24"/>
                <w:highlight w:val="yellow"/>
                <w:vertAlign w:val="superscript"/>
                <w:lang w:val="en-US"/>
              </w:rPr>
              <w:t>*</w:t>
            </w:r>
          </w:p>
        </w:tc>
        <w:tc>
          <w:tcPr>
            <w:tcW w:w="1276" w:type="dxa"/>
            <w:tcBorders>
              <w:top w:val="nil"/>
              <w:left w:val="nil"/>
              <w:bottom w:val="nil"/>
              <w:right w:val="nil"/>
            </w:tcBorders>
          </w:tcPr>
          <w:p w14:paraId="4C556E58" w14:textId="1565FD95" w:rsidR="00887D99" w:rsidRPr="00887D99" w:rsidRDefault="00887D99" w:rsidP="00887D99">
            <w:pPr>
              <w:widowControl w:val="0"/>
              <w:autoSpaceDE w:val="0"/>
              <w:autoSpaceDN w:val="0"/>
              <w:adjustRightInd w:val="0"/>
              <w:spacing w:after="0" w:line="240" w:lineRule="auto"/>
              <w:contextualSpacing/>
              <w:jc w:val="center"/>
              <w:rPr>
                <w:rFonts w:ascii="Times New Roman" w:hAnsi="Times New Roman"/>
                <w:highlight w:val="yellow"/>
                <w:lang w:val="en-US"/>
              </w:rPr>
            </w:pPr>
            <w:r w:rsidRPr="00887D99">
              <w:rPr>
                <w:rFonts w:ascii="Times New Roman" w:hAnsi="Times New Roman"/>
                <w:sz w:val="24"/>
                <w:szCs w:val="24"/>
                <w:highlight w:val="yellow"/>
                <w:lang w:val="en-US"/>
              </w:rPr>
              <w:t>0.00865</w:t>
            </w:r>
            <w:r w:rsidRPr="00887D99">
              <w:rPr>
                <w:rFonts w:ascii="Times New Roman" w:hAnsi="Times New Roman"/>
                <w:sz w:val="24"/>
                <w:szCs w:val="24"/>
                <w:highlight w:val="yellow"/>
                <w:vertAlign w:val="superscript"/>
                <w:lang w:val="en-US"/>
              </w:rPr>
              <w:t>*</w:t>
            </w:r>
          </w:p>
        </w:tc>
        <w:tc>
          <w:tcPr>
            <w:tcW w:w="1417" w:type="dxa"/>
            <w:tcBorders>
              <w:top w:val="nil"/>
              <w:left w:val="nil"/>
              <w:bottom w:val="nil"/>
              <w:right w:val="nil"/>
            </w:tcBorders>
          </w:tcPr>
          <w:p w14:paraId="047709B4" w14:textId="07AFC5DF"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0.00419</w:t>
            </w:r>
          </w:p>
        </w:tc>
        <w:tc>
          <w:tcPr>
            <w:tcW w:w="1338" w:type="dxa"/>
            <w:tcBorders>
              <w:top w:val="nil"/>
              <w:left w:val="nil"/>
              <w:bottom w:val="nil"/>
              <w:right w:val="nil"/>
            </w:tcBorders>
          </w:tcPr>
          <w:p w14:paraId="65BBE8CC" w14:textId="1996994E"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0.00504</w:t>
            </w:r>
          </w:p>
        </w:tc>
        <w:tc>
          <w:tcPr>
            <w:tcW w:w="1338" w:type="dxa"/>
            <w:tcBorders>
              <w:top w:val="nil"/>
              <w:left w:val="nil"/>
              <w:bottom w:val="nil"/>
              <w:right w:val="nil"/>
            </w:tcBorders>
          </w:tcPr>
          <w:p w14:paraId="74DED2F7" w14:textId="7E91195F"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0.00549</w:t>
            </w:r>
          </w:p>
        </w:tc>
      </w:tr>
      <w:tr w:rsidR="00887D99" w14:paraId="38A5988D" w14:textId="77777777" w:rsidTr="0004654A">
        <w:trPr>
          <w:jc w:val="center"/>
        </w:trPr>
        <w:tc>
          <w:tcPr>
            <w:tcW w:w="1843" w:type="dxa"/>
            <w:tcBorders>
              <w:top w:val="nil"/>
              <w:left w:val="nil"/>
              <w:bottom w:val="nil"/>
              <w:right w:val="nil"/>
            </w:tcBorders>
          </w:tcPr>
          <w:p w14:paraId="5AB67C66" w14:textId="77777777" w:rsidR="00887D99" w:rsidRPr="00DC22B3" w:rsidRDefault="00887D99" w:rsidP="00887D99">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25CF4B4B" w14:textId="22099140" w:rsidR="00887D99" w:rsidRPr="00887D99" w:rsidRDefault="00887D99" w:rsidP="00887D99">
            <w:pPr>
              <w:widowControl w:val="0"/>
              <w:autoSpaceDE w:val="0"/>
              <w:autoSpaceDN w:val="0"/>
              <w:adjustRightInd w:val="0"/>
              <w:spacing w:after="0" w:line="240" w:lineRule="auto"/>
              <w:contextualSpacing/>
              <w:jc w:val="center"/>
              <w:rPr>
                <w:rFonts w:ascii="Times New Roman" w:hAnsi="Times New Roman"/>
                <w:highlight w:val="yellow"/>
                <w:lang w:val="en-US"/>
              </w:rPr>
            </w:pPr>
            <w:r w:rsidRPr="00887D99">
              <w:rPr>
                <w:rFonts w:ascii="Times New Roman" w:hAnsi="Times New Roman"/>
                <w:sz w:val="24"/>
                <w:szCs w:val="24"/>
                <w:highlight w:val="yellow"/>
                <w:lang w:val="en-US"/>
              </w:rPr>
              <w:t>(2.23)</w:t>
            </w:r>
          </w:p>
        </w:tc>
        <w:tc>
          <w:tcPr>
            <w:tcW w:w="1276" w:type="dxa"/>
            <w:tcBorders>
              <w:top w:val="nil"/>
              <w:left w:val="nil"/>
              <w:bottom w:val="nil"/>
              <w:right w:val="nil"/>
            </w:tcBorders>
          </w:tcPr>
          <w:p w14:paraId="1C8847DA" w14:textId="3E201A74" w:rsidR="00887D99" w:rsidRPr="00887D99" w:rsidRDefault="00887D99" w:rsidP="00887D99">
            <w:pPr>
              <w:widowControl w:val="0"/>
              <w:autoSpaceDE w:val="0"/>
              <w:autoSpaceDN w:val="0"/>
              <w:adjustRightInd w:val="0"/>
              <w:spacing w:after="0" w:line="240" w:lineRule="auto"/>
              <w:contextualSpacing/>
              <w:jc w:val="center"/>
              <w:rPr>
                <w:rFonts w:ascii="Times New Roman" w:hAnsi="Times New Roman"/>
                <w:highlight w:val="yellow"/>
                <w:lang w:val="en-US"/>
              </w:rPr>
            </w:pPr>
            <w:r w:rsidRPr="00887D99">
              <w:rPr>
                <w:rFonts w:ascii="Times New Roman" w:hAnsi="Times New Roman"/>
                <w:sz w:val="24"/>
                <w:szCs w:val="24"/>
                <w:highlight w:val="yellow"/>
                <w:lang w:val="en-US"/>
              </w:rPr>
              <w:t>(2.58)</w:t>
            </w:r>
          </w:p>
        </w:tc>
        <w:tc>
          <w:tcPr>
            <w:tcW w:w="1417" w:type="dxa"/>
            <w:tcBorders>
              <w:top w:val="nil"/>
              <w:left w:val="nil"/>
              <w:bottom w:val="nil"/>
              <w:right w:val="nil"/>
            </w:tcBorders>
          </w:tcPr>
          <w:p w14:paraId="3339343D" w14:textId="5037004C"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(1.50)</w:t>
            </w:r>
          </w:p>
        </w:tc>
        <w:tc>
          <w:tcPr>
            <w:tcW w:w="1338" w:type="dxa"/>
            <w:tcBorders>
              <w:top w:val="nil"/>
              <w:left w:val="nil"/>
              <w:bottom w:val="nil"/>
              <w:right w:val="nil"/>
            </w:tcBorders>
          </w:tcPr>
          <w:p w14:paraId="3495CAEC" w14:textId="23D8630D"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(1.71)</w:t>
            </w:r>
          </w:p>
        </w:tc>
        <w:tc>
          <w:tcPr>
            <w:tcW w:w="1338" w:type="dxa"/>
            <w:tcBorders>
              <w:top w:val="nil"/>
              <w:left w:val="nil"/>
              <w:bottom w:val="nil"/>
              <w:right w:val="nil"/>
            </w:tcBorders>
          </w:tcPr>
          <w:p w14:paraId="71969380" w14:textId="640F4542" w:rsidR="00887D99" w:rsidRPr="00DC22B3" w:rsidRDefault="00887D99" w:rsidP="00887D99">
            <w:pPr>
              <w:widowControl w:val="0"/>
              <w:autoSpaceDE w:val="0"/>
              <w:autoSpaceDN w:val="0"/>
              <w:adjustRightInd w:val="0"/>
              <w:spacing w:after="0" w:line="240" w:lineRule="auto"/>
              <w:contextualSpacing/>
              <w:jc w:val="center"/>
              <w:rPr>
                <w:rFonts w:ascii="Times New Roman" w:hAnsi="Times New Roman"/>
                <w:lang w:val="en-US"/>
              </w:rPr>
            </w:pPr>
            <w:r>
              <w:rPr>
                <w:rFonts w:ascii="Times New Roman" w:hAnsi="Times New Roman"/>
                <w:sz w:val="24"/>
                <w:szCs w:val="24"/>
                <w:lang w:val="en-US"/>
              </w:rPr>
              <w:t>(1.42)</w:t>
            </w:r>
          </w:p>
        </w:tc>
      </w:tr>
      <w:tr w:rsidR="00DC22B3" w14:paraId="2D932F11" w14:textId="77777777" w:rsidTr="0004654A">
        <w:trPr>
          <w:jc w:val="center"/>
        </w:trPr>
        <w:tc>
          <w:tcPr>
            <w:tcW w:w="1843" w:type="dxa"/>
            <w:tcBorders>
              <w:top w:val="nil"/>
              <w:left w:val="nil"/>
              <w:bottom w:val="nil"/>
              <w:right w:val="nil"/>
            </w:tcBorders>
          </w:tcPr>
          <w:p w14:paraId="19A6C49B"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ind_tx</w:t>
            </w:r>
            <w:proofErr w:type="spellEnd"/>
          </w:p>
        </w:tc>
        <w:tc>
          <w:tcPr>
            <w:tcW w:w="1639" w:type="dxa"/>
            <w:tcBorders>
              <w:top w:val="nil"/>
              <w:left w:val="nil"/>
              <w:bottom w:val="nil"/>
              <w:right w:val="nil"/>
            </w:tcBorders>
          </w:tcPr>
          <w:p w14:paraId="2DD12682"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-0.0107</w:t>
            </w:r>
          </w:p>
        </w:tc>
        <w:tc>
          <w:tcPr>
            <w:tcW w:w="1276" w:type="dxa"/>
            <w:tcBorders>
              <w:top w:val="nil"/>
              <w:left w:val="nil"/>
              <w:bottom w:val="nil"/>
              <w:right w:val="nil"/>
            </w:tcBorders>
          </w:tcPr>
          <w:p w14:paraId="4BBF058B"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-0.00464</w:t>
            </w:r>
          </w:p>
        </w:tc>
        <w:tc>
          <w:tcPr>
            <w:tcW w:w="1417" w:type="dxa"/>
            <w:tcBorders>
              <w:top w:val="nil"/>
              <w:left w:val="nil"/>
              <w:bottom w:val="nil"/>
              <w:right w:val="nil"/>
            </w:tcBorders>
          </w:tcPr>
          <w:p w14:paraId="7A4487CC"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0.00253</w:t>
            </w:r>
          </w:p>
        </w:tc>
        <w:tc>
          <w:tcPr>
            <w:tcW w:w="1338" w:type="dxa"/>
            <w:tcBorders>
              <w:top w:val="nil"/>
              <w:left w:val="nil"/>
              <w:bottom w:val="nil"/>
              <w:right w:val="nil"/>
            </w:tcBorders>
          </w:tcPr>
          <w:p w14:paraId="321AA94D"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-0.00782</w:t>
            </w:r>
          </w:p>
        </w:tc>
        <w:tc>
          <w:tcPr>
            <w:tcW w:w="1338" w:type="dxa"/>
            <w:tcBorders>
              <w:top w:val="nil"/>
              <w:left w:val="nil"/>
              <w:bottom w:val="nil"/>
              <w:right w:val="nil"/>
            </w:tcBorders>
          </w:tcPr>
          <w:p w14:paraId="43DDC31E"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0.00986</w:t>
            </w:r>
          </w:p>
        </w:tc>
      </w:tr>
      <w:tr w:rsidR="00DC22B3" w14:paraId="773584D9" w14:textId="77777777" w:rsidTr="0004654A">
        <w:trPr>
          <w:jc w:val="center"/>
        </w:trPr>
        <w:tc>
          <w:tcPr>
            <w:tcW w:w="1843" w:type="dxa"/>
            <w:tcBorders>
              <w:top w:val="nil"/>
              <w:left w:val="nil"/>
              <w:bottom w:val="nil"/>
              <w:right w:val="nil"/>
            </w:tcBorders>
          </w:tcPr>
          <w:p w14:paraId="02815880"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372CD841"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(-1.06)</w:t>
            </w:r>
          </w:p>
        </w:tc>
        <w:tc>
          <w:tcPr>
            <w:tcW w:w="1276" w:type="dxa"/>
            <w:tcBorders>
              <w:top w:val="nil"/>
              <w:left w:val="nil"/>
              <w:bottom w:val="nil"/>
              <w:right w:val="nil"/>
            </w:tcBorders>
          </w:tcPr>
          <w:p w14:paraId="4E710078"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(-0.43)</w:t>
            </w:r>
          </w:p>
        </w:tc>
        <w:tc>
          <w:tcPr>
            <w:tcW w:w="1417" w:type="dxa"/>
            <w:tcBorders>
              <w:top w:val="nil"/>
              <w:left w:val="nil"/>
              <w:bottom w:val="nil"/>
              <w:right w:val="nil"/>
            </w:tcBorders>
          </w:tcPr>
          <w:p w14:paraId="602BD7AE"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(0.26)</w:t>
            </w:r>
          </w:p>
        </w:tc>
        <w:tc>
          <w:tcPr>
            <w:tcW w:w="1338" w:type="dxa"/>
            <w:tcBorders>
              <w:top w:val="nil"/>
              <w:left w:val="nil"/>
              <w:bottom w:val="nil"/>
              <w:right w:val="nil"/>
            </w:tcBorders>
          </w:tcPr>
          <w:p w14:paraId="0CFE111F"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(-0.93)</w:t>
            </w:r>
          </w:p>
        </w:tc>
        <w:tc>
          <w:tcPr>
            <w:tcW w:w="1338" w:type="dxa"/>
            <w:tcBorders>
              <w:top w:val="nil"/>
              <w:left w:val="nil"/>
              <w:bottom w:val="nil"/>
              <w:right w:val="nil"/>
            </w:tcBorders>
          </w:tcPr>
          <w:p w14:paraId="09E37CC0"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(1.10)</w:t>
            </w:r>
          </w:p>
        </w:tc>
      </w:tr>
      <w:tr w:rsidR="00DC22B3" w14:paraId="4BD22D37" w14:textId="77777777" w:rsidTr="0004654A">
        <w:trPr>
          <w:jc w:val="center"/>
        </w:trPr>
        <w:tc>
          <w:tcPr>
            <w:tcW w:w="1843" w:type="dxa"/>
            <w:tcBorders>
              <w:top w:val="nil"/>
              <w:left w:val="nil"/>
              <w:bottom w:val="nil"/>
              <w:right w:val="nil"/>
            </w:tcBorders>
          </w:tcPr>
          <w:p w14:paraId="5B367463" w14:textId="691DAA0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L.ind_tx</w:t>
            </w:r>
            <w:proofErr w:type="spellEnd"/>
          </w:p>
        </w:tc>
        <w:tc>
          <w:tcPr>
            <w:tcW w:w="1639" w:type="dxa"/>
            <w:tcBorders>
              <w:top w:val="nil"/>
              <w:left w:val="nil"/>
              <w:bottom w:val="nil"/>
              <w:right w:val="nil"/>
            </w:tcBorders>
          </w:tcPr>
          <w:p w14:paraId="531BE809" w14:textId="3210B81E"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0.0128</w:t>
            </w:r>
          </w:p>
        </w:tc>
        <w:tc>
          <w:tcPr>
            <w:tcW w:w="1276" w:type="dxa"/>
            <w:tcBorders>
              <w:top w:val="nil"/>
              <w:left w:val="nil"/>
              <w:bottom w:val="nil"/>
              <w:right w:val="nil"/>
            </w:tcBorders>
          </w:tcPr>
          <w:p w14:paraId="70A17496" w14:textId="5F793602"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0.0203</w:t>
            </w:r>
            <w:r w:rsidR="0004654A">
              <w:rPr>
                <w:rFonts w:ascii="Times New Roman" w:hAnsi="Times New Roman"/>
                <w:lang w:val="en-US"/>
              </w:rPr>
              <w:t>*</w:t>
            </w:r>
          </w:p>
        </w:tc>
        <w:tc>
          <w:tcPr>
            <w:tcW w:w="1417" w:type="dxa"/>
            <w:tcBorders>
              <w:top w:val="nil"/>
              <w:left w:val="nil"/>
              <w:bottom w:val="nil"/>
              <w:right w:val="nil"/>
            </w:tcBorders>
          </w:tcPr>
          <w:p w14:paraId="7D029E17" w14:textId="7219F8DB"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0.00656</w:t>
            </w:r>
          </w:p>
        </w:tc>
        <w:tc>
          <w:tcPr>
            <w:tcW w:w="1338" w:type="dxa"/>
            <w:tcBorders>
              <w:top w:val="nil"/>
              <w:left w:val="nil"/>
              <w:bottom w:val="nil"/>
              <w:right w:val="nil"/>
            </w:tcBorders>
          </w:tcPr>
          <w:p w14:paraId="6877E571" w14:textId="4819DE0B"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0.0242*</w:t>
            </w:r>
            <w:r w:rsidR="0004654A" w:rsidRPr="00232086">
              <w:rPr>
                <w:rFonts w:ascii="Times New Roman" w:hAnsi="Times New Roman"/>
                <w:highlight w:val="yellow"/>
                <w:lang w:val="en-US"/>
              </w:rPr>
              <w:t>*</w:t>
            </w:r>
          </w:p>
        </w:tc>
        <w:tc>
          <w:tcPr>
            <w:tcW w:w="1338" w:type="dxa"/>
            <w:tcBorders>
              <w:top w:val="nil"/>
              <w:left w:val="nil"/>
              <w:bottom w:val="nil"/>
              <w:right w:val="nil"/>
            </w:tcBorders>
          </w:tcPr>
          <w:p w14:paraId="5AAA2173" w14:textId="23681461"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0.0160*</w:t>
            </w:r>
            <w:r w:rsidR="0004654A" w:rsidRPr="00232086">
              <w:rPr>
                <w:rFonts w:ascii="Times New Roman" w:hAnsi="Times New Roman"/>
                <w:highlight w:val="yellow"/>
                <w:lang w:val="en-US"/>
              </w:rPr>
              <w:t>*</w:t>
            </w:r>
          </w:p>
        </w:tc>
      </w:tr>
      <w:tr w:rsidR="00DC22B3" w14:paraId="19A74212" w14:textId="77777777" w:rsidTr="0004654A">
        <w:trPr>
          <w:jc w:val="center"/>
        </w:trPr>
        <w:tc>
          <w:tcPr>
            <w:tcW w:w="1843" w:type="dxa"/>
            <w:tcBorders>
              <w:top w:val="nil"/>
              <w:left w:val="nil"/>
              <w:bottom w:val="nil"/>
              <w:right w:val="nil"/>
            </w:tcBorders>
          </w:tcPr>
          <w:p w14:paraId="591D7B29" w14:textId="2AF471D4"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5B0AA81D" w14:textId="15B8B5B4"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(1.00)</w:t>
            </w:r>
          </w:p>
        </w:tc>
        <w:tc>
          <w:tcPr>
            <w:tcW w:w="1276" w:type="dxa"/>
            <w:tcBorders>
              <w:top w:val="nil"/>
              <w:left w:val="nil"/>
              <w:bottom w:val="nil"/>
              <w:right w:val="nil"/>
            </w:tcBorders>
          </w:tcPr>
          <w:p w14:paraId="42E040AB" w14:textId="570AFE2D"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(1.79)</w:t>
            </w:r>
          </w:p>
        </w:tc>
        <w:tc>
          <w:tcPr>
            <w:tcW w:w="1417" w:type="dxa"/>
            <w:tcBorders>
              <w:top w:val="nil"/>
              <w:left w:val="nil"/>
              <w:bottom w:val="nil"/>
              <w:right w:val="nil"/>
            </w:tcBorders>
          </w:tcPr>
          <w:p w14:paraId="301DBBAF" w14:textId="51E0DDFD"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(0.94)</w:t>
            </w:r>
          </w:p>
        </w:tc>
        <w:tc>
          <w:tcPr>
            <w:tcW w:w="1338" w:type="dxa"/>
            <w:tcBorders>
              <w:top w:val="nil"/>
              <w:left w:val="nil"/>
              <w:bottom w:val="nil"/>
              <w:right w:val="nil"/>
            </w:tcBorders>
          </w:tcPr>
          <w:p w14:paraId="7FB60110" w14:textId="33D303FA"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(2.14)</w:t>
            </w:r>
          </w:p>
        </w:tc>
        <w:tc>
          <w:tcPr>
            <w:tcW w:w="1338" w:type="dxa"/>
            <w:tcBorders>
              <w:top w:val="nil"/>
              <w:left w:val="nil"/>
              <w:bottom w:val="nil"/>
              <w:right w:val="nil"/>
            </w:tcBorders>
          </w:tcPr>
          <w:p w14:paraId="0453B083" w14:textId="29B06166"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(2.23)</w:t>
            </w:r>
          </w:p>
        </w:tc>
      </w:tr>
      <w:tr w:rsidR="00DC22B3" w14:paraId="56974E22" w14:textId="77777777" w:rsidTr="0004654A">
        <w:trPr>
          <w:jc w:val="center"/>
        </w:trPr>
        <w:tc>
          <w:tcPr>
            <w:tcW w:w="1843" w:type="dxa"/>
            <w:tcBorders>
              <w:top w:val="nil"/>
              <w:left w:val="nil"/>
              <w:bottom w:val="nil"/>
              <w:right w:val="nil"/>
            </w:tcBorders>
          </w:tcPr>
          <w:p w14:paraId="419E9801"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property_taxes</w:t>
            </w:r>
            <w:proofErr w:type="spellEnd"/>
          </w:p>
        </w:tc>
        <w:tc>
          <w:tcPr>
            <w:tcW w:w="1639" w:type="dxa"/>
            <w:tcBorders>
              <w:top w:val="nil"/>
              <w:left w:val="nil"/>
              <w:bottom w:val="nil"/>
              <w:right w:val="nil"/>
            </w:tcBorders>
          </w:tcPr>
          <w:p w14:paraId="7C3A27B7" w14:textId="6AE2928B"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0.00632*</w:t>
            </w:r>
            <w:r w:rsidR="0004654A">
              <w:rPr>
                <w:rFonts w:ascii="Times New Roman" w:hAnsi="Times New Roman"/>
                <w:lang w:val="en-US"/>
              </w:rPr>
              <w:t>*</w:t>
            </w:r>
          </w:p>
        </w:tc>
        <w:tc>
          <w:tcPr>
            <w:tcW w:w="1276" w:type="dxa"/>
            <w:tcBorders>
              <w:top w:val="nil"/>
              <w:left w:val="nil"/>
              <w:bottom w:val="nil"/>
              <w:right w:val="nil"/>
            </w:tcBorders>
          </w:tcPr>
          <w:p w14:paraId="5E129103"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0.00331</w:t>
            </w:r>
          </w:p>
        </w:tc>
        <w:tc>
          <w:tcPr>
            <w:tcW w:w="1417" w:type="dxa"/>
            <w:tcBorders>
              <w:top w:val="nil"/>
              <w:left w:val="nil"/>
              <w:bottom w:val="nil"/>
              <w:right w:val="nil"/>
            </w:tcBorders>
          </w:tcPr>
          <w:p w14:paraId="095211E9"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0.000514</w:t>
            </w:r>
          </w:p>
        </w:tc>
        <w:tc>
          <w:tcPr>
            <w:tcW w:w="1338" w:type="dxa"/>
            <w:tcBorders>
              <w:top w:val="nil"/>
              <w:left w:val="nil"/>
              <w:bottom w:val="nil"/>
              <w:right w:val="nil"/>
            </w:tcBorders>
          </w:tcPr>
          <w:p w14:paraId="2C85C7C0"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-0.00311</w:t>
            </w:r>
          </w:p>
        </w:tc>
        <w:tc>
          <w:tcPr>
            <w:tcW w:w="1338" w:type="dxa"/>
            <w:tcBorders>
              <w:top w:val="nil"/>
              <w:left w:val="nil"/>
              <w:bottom w:val="nil"/>
              <w:right w:val="nil"/>
            </w:tcBorders>
          </w:tcPr>
          <w:p w14:paraId="234CDBC1"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0.00652</w:t>
            </w:r>
          </w:p>
        </w:tc>
      </w:tr>
      <w:tr w:rsidR="00DC22B3" w14:paraId="0A4B49A0" w14:textId="77777777" w:rsidTr="0004654A">
        <w:trPr>
          <w:jc w:val="center"/>
        </w:trPr>
        <w:tc>
          <w:tcPr>
            <w:tcW w:w="1843" w:type="dxa"/>
            <w:tcBorders>
              <w:top w:val="nil"/>
              <w:left w:val="nil"/>
              <w:bottom w:val="nil"/>
              <w:right w:val="nil"/>
            </w:tcBorders>
          </w:tcPr>
          <w:p w14:paraId="059D5216"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7F62C066"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(2.15)</w:t>
            </w:r>
          </w:p>
        </w:tc>
        <w:tc>
          <w:tcPr>
            <w:tcW w:w="1276" w:type="dxa"/>
            <w:tcBorders>
              <w:top w:val="nil"/>
              <w:left w:val="nil"/>
              <w:bottom w:val="nil"/>
              <w:right w:val="nil"/>
            </w:tcBorders>
          </w:tcPr>
          <w:p w14:paraId="0A7C01EB"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(0.94)</w:t>
            </w:r>
          </w:p>
        </w:tc>
        <w:tc>
          <w:tcPr>
            <w:tcW w:w="1417" w:type="dxa"/>
            <w:tcBorders>
              <w:top w:val="nil"/>
              <w:left w:val="nil"/>
              <w:bottom w:val="nil"/>
              <w:right w:val="nil"/>
            </w:tcBorders>
          </w:tcPr>
          <w:p w14:paraId="52624765"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(0.14)</w:t>
            </w:r>
          </w:p>
        </w:tc>
        <w:tc>
          <w:tcPr>
            <w:tcW w:w="1338" w:type="dxa"/>
            <w:tcBorders>
              <w:top w:val="nil"/>
              <w:left w:val="nil"/>
              <w:bottom w:val="nil"/>
              <w:right w:val="nil"/>
            </w:tcBorders>
          </w:tcPr>
          <w:p w14:paraId="1F59E248"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(-1.07)</w:t>
            </w:r>
          </w:p>
        </w:tc>
        <w:tc>
          <w:tcPr>
            <w:tcW w:w="1338" w:type="dxa"/>
            <w:tcBorders>
              <w:top w:val="nil"/>
              <w:left w:val="nil"/>
              <w:bottom w:val="nil"/>
              <w:right w:val="nil"/>
            </w:tcBorders>
          </w:tcPr>
          <w:p w14:paraId="564AAFE8"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(0.88)</w:t>
            </w:r>
          </w:p>
        </w:tc>
      </w:tr>
      <w:tr w:rsidR="00DC22B3" w14:paraId="2A567B96" w14:textId="77777777" w:rsidTr="0004654A">
        <w:trPr>
          <w:jc w:val="center"/>
        </w:trPr>
        <w:tc>
          <w:tcPr>
            <w:tcW w:w="1843" w:type="dxa"/>
            <w:tcBorders>
              <w:top w:val="nil"/>
              <w:left w:val="nil"/>
              <w:bottom w:val="nil"/>
              <w:right w:val="nil"/>
            </w:tcBorders>
          </w:tcPr>
          <w:p w14:paraId="055439A6" w14:textId="392A9830"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L.property_taxes</w:t>
            </w:r>
            <w:proofErr w:type="spellEnd"/>
          </w:p>
        </w:tc>
        <w:tc>
          <w:tcPr>
            <w:tcW w:w="1639" w:type="dxa"/>
            <w:tcBorders>
              <w:top w:val="nil"/>
              <w:left w:val="nil"/>
              <w:bottom w:val="nil"/>
              <w:right w:val="nil"/>
            </w:tcBorders>
          </w:tcPr>
          <w:p w14:paraId="0B344377" w14:textId="321D2EAC"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-0.00410</w:t>
            </w:r>
          </w:p>
        </w:tc>
        <w:tc>
          <w:tcPr>
            <w:tcW w:w="1276" w:type="dxa"/>
            <w:tcBorders>
              <w:top w:val="nil"/>
              <w:left w:val="nil"/>
              <w:bottom w:val="nil"/>
              <w:right w:val="nil"/>
            </w:tcBorders>
          </w:tcPr>
          <w:p w14:paraId="6F0CDB82" w14:textId="24945008"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-0.00137</w:t>
            </w:r>
          </w:p>
        </w:tc>
        <w:tc>
          <w:tcPr>
            <w:tcW w:w="1417" w:type="dxa"/>
            <w:tcBorders>
              <w:top w:val="nil"/>
              <w:left w:val="nil"/>
              <w:bottom w:val="nil"/>
              <w:right w:val="nil"/>
            </w:tcBorders>
          </w:tcPr>
          <w:p w14:paraId="5B4DFBAB" w14:textId="68CF0AAF"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-0.00320</w:t>
            </w:r>
          </w:p>
        </w:tc>
        <w:tc>
          <w:tcPr>
            <w:tcW w:w="1338" w:type="dxa"/>
            <w:tcBorders>
              <w:top w:val="nil"/>
              <w:left w:val="nil"/>
              <w:bottom w:val="nil"/>
              <w:right w:val="nil"/>
            </w:tcBorders>
          </w:tcPr>
          <w:p w14:paraId="59BCA942" w14:textId="69D9DC39"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0.000714</w:t>
            </w:r>
          </w:p>
        </w:tc>
        <w:tc>
          <w:tcPr>
            <w:tcW w:w="1338" w:type="dxa"/>
            <w:tcBorders>
              <w:top w:val="nil"/>
              <w:left w:val="nil"/>
              <w:bottom w:val="nil"/>
              <w:right w:val="nil"/>
            </w:tcBorders>
          </w:tcPr>
          <w:p w14:paraId="35B63686" w14:textId="65E27230"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-0.0129</w:t>
            </w:r>
          </w:p>
        </w:tc>
      </w:tr>
      <w:tr w:rsidR="00DC22B3" w14:paraId="42596088" w14:textId="77777777" w:rsidTr="0004654A">
        <w:trPr>
          <w:jc w:val="center"/>
        </w:trPr>
        <w:tc>
          <w:tcPr>
            <w:tcW w:w="1843" w:type="dxa"/>
            <w:tcBorders>
              <w:top w:val="nil"/>
              <w:left w:val="nil"/>
              <w:bottom w:val="nil"/>
              <w:right w:val="nil"/>
            </w:tcBorders>
          </w:tcPr>
          <w:p w14:paraId="52CFF937" w14:textId="3B4382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0F989703" w14:textId="5EC2D960"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(-1.11)</w:t>
            </w:r>
          </w:p>
        </w:tc>
        <w:tc>
          <w:tcPr>
            <w:tcW w:w="1276" w:type="dxa"/>
            <w:tcBorders>
              <w:top w:val="nil"/>
              <w:left w:val="nil"/>
              <w:bottom w:val="nil"/>
              <w:right w:val="nil"/>
            </w:tcBorders>
          </w:tcPr>
          <w:p w14:paraId="6BE6145F" w14:textId="298AAF9C"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(-0.47)</w:t>
            </w:r>
          </w:p>
        </w:tc>
        <w:tc>
          <w:tcPr>
            <w:tcW w:w="1417" w:type="dxa"/>
            <w:tcBorders>
              <w:top w:val="nil"/>
              <w:left w:val="nil"/>
              <w:bottom w:val="nil"/>
              <w:right w:val="nil"/>
            </w:tcBorders>
          </w:tcPr>
          <w:p w14:paraId="74A868E2" w14:textId="64DD273B"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(-1.01)</w:t>
            </w:r>
          </w:p>
        </w:tc>
        <w:tc>
          <w:tcPr>
            <w:tcW w:w="1338" w:type="dxa"/>
            <w:tcBorders>
              <w:top w:val="nil"/>
              <w:left w:val="nil"/>
              <w:bottom w:val="nil"/>
              <w:right w:val="nil"/>
            </w:tcBorders>
          </w:tcPr>
          <w:p w14:paraId="7BCCA759" w14:textId="4044BAB3"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(0.18)</w:t>
            </w:r>
          </w:p>
        </w:tc>
        <w:tc>
          <w:tcPr>
            <w:tcW w:w="1338" w:type="dxa"/>
            <w:tcBorders>
              <w:top w:val="nil"/>
              <w:left w:val="nil"/>
              <w:bottom w:val="nil"/>
              <w:right w:val="nil"/>
            </w:tcBorders>
          </w:tcPr>
          <w:p w14:paraId="753D0E45" w14:textId="527C3DF2"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(-1.61)</w:t>
            </w:r>
          </w:p>
        </w:tc>
      </w:tr>
      <w:tr w:rsidR="00DC22B3" w14:paraId="645C1E56" w14:textId="77777777" w:rsidTr="0004654A">
        <w:trPr>
          <w:jc w:val="center"/>
        </w:trPr>
        <w:tc>
          <w:tcPr>
            <w:tcW w:w="1843" w:type="dxa"/>
            <w:tcBorders>
              <w:top w:val="nil"/>
              <w:left w:val="nil"/>
              <w:bottom w:val="nil"/>
              <w:right w:val="nil"/>
            </w:tcBorders>
          </w:tcPr>
          <w:p w14:paraId="63A9D0BF"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r w:rsidRPr="00DC22B3">
              <w:rPr>
                <w:rFonts w:ascii="Times New Roman" w:hAnsi="Times New Roman"/>
                <w:lang w:val="en-US"/>
              </w:rPr>
              <w:t>pit</w:t>
            </w:r>
          </w:p>
        </w:tc>
        <w:tc>
          <w:tcPr>
            <w:tcW w:w="1639" w:type="dxa"/>
            <w:tcBorders>
              <w:top w:val="nil"/>
              <w:left w:val="nil"/>
              <w:bottom w:val="nil"/>
              <w:right w:val="nil"/>
            </w:tcBorders>
          </w:tcPr>
          <w:p w14:paraId="04BA172B"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-0.0339**</w:t>
            </w:r>
          </w:p>
        </w:tc>
        <w:tc>
          <w:tcPr>
            <w:tcW w:w="1276" w:type="dxa"/>
            <w:tcBorders>
              <w:top w:val="nil"/>
              <w:left w:val="nil"/>
              <w:bottom w:val="nil"/>
              <w:right w:val="nil"/>
            </w:tcBorders>
          </w:tcPr>
          <w:p w14:paraId="72176FAF"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0.00907</w:t>
            </w:r>
          </w:p>
        </w:tc>
        <w:tc>
          <w:tcPr>
            <w:tcW w:w="1417" w:type="dxa"/>
            <w:tcBorders>
              <w:top w:val="nil"/>
              <w:left w:val="nil"/>
              <w:bottom w:val="nil"/>
              <w:right w:val="nil"/>
            </w:tcBorders>
          </w:tcPr>
          <w:p w14:paraId="08248D14"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-0.0311*</w:t>
            </w:r>
          </w:p>
        </w:tc>
        <w:tc>
          <w:tcPr>
            <w:tcW w:w="1338" w:type="dxa"/>
            <w:tcBorders>
              <w:top w:val="nil"/>
              <w:left w:val="nil"/>
              <w:bottom w:val="nil"/>
              <w:right w:val="nil"/>
            </w:tcBorders>
          </w:tcPr>
          <w:p w14:paraId="7D44FF85"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-0.0295**</w:t>
            </w:r>
          </w:p>
        </w:tc>
        <w:tc>
          <w:tcPr>
            <w:tcW w:w="1338" w:type="dxa"/>
            <w:tcBorders>
              <w:top w:val="nil"/>
              <w:left w:val="nil"/>
              <w:bottom w:val="nil"/>
              <w:right w:val="nil"/>
            </w:tcBorders>
          </w:tcPr>
          <w:p w14:paraId="5B0B878D"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0.00272</w:t>
            </w:r>
          </w:p>
        </w:tc>
      </w:tr>
      <w:tr w:rsidR="00DC22B3" w14:paraId="133277CF" w14:textId="77777777" w:rsidTr="0004654A">
        <w:trPr>
          <w:jc w:val="center"/>
        </w:trPr>
        <w:tc>
          <w:tcPr>
            <w:tcW w:w="1843" w:type="dxa"/>
            <w:tcBorders>
              <w:top w:val="nil"/>
              <w:left w:val="nil"/>
              <w:bottom w:val="nil"/>
              <w:right w:val="nil"/>
            </w:tcBorders>
          </w:tcPr>
          <w:p w14:paraId="3D04BB95" w14:textId="7777777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799D2402"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(-3.82)</w:t>
            </w:r>
          </w:p>
        </w:tc>
        <w:tc>
          <w:tcPr>
            <w:tcW w:w="1276" w:type="dxa"/>
            <w:tcBorders>
              <w:top w:val="nil"/>
              <w:left w:val="nil"/>
              <w:bottom w:val="nil"/>
              <w:right w:val="nil"/>
            </w:tcBorders>
          </w:tcPr>
          <w:p w14:paraId="1C7B5B9D"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(1.10)</w:t>
            </w:r>
          </w:p>
        </w:tc>
        <w:tc>
          <w:tcPr>
            <w:tcW w:w="1417" w:type="dxa"/>
            <w:tcBorders>
              <w:top w:val="nil"/>
              <w:left w:val="nil"/>
              <w:bottom w:val="nil"/>
              <w:right w:val="nil"/>
            </w:tcBorders>
          </w:tcPr>
          <w:p w14:paraId="43764551"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(-2.50)</w:t>
            </w:r>
          </w:p>
        </w:tc>
        <w:tc>
          <w:tcPr>
            <w:tcW w:w="1338" w:type="dxa"/>
            <w:tcBorders>
              <w:top w:val="nil"/>
              <w:left w:val="nil"/>
              <w:bottom w:val="nil"/>
              <w:right w:val="nil"/>
            </w:tcBorders>
          </w:tcPr>
          <w:p w14:paraId="2B4DFF81"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(-3.34)</w:t>
            </w:r>
          </w:p>
        </w:tc>
        <w:tc>
          <w:tcPr>
            <w:tcW w:w="1338" w:type="dxa"/>
            <w:tcBorders>
              <w:top w:val="nil"/>
              <w:left w:val="nil"/>
              <w:bottom w:val="nil"/>
              <w:right w:val="nil"/>
            </w:tcBorders>
          </w:tcPr>
          <w:p w14:paraId="6A4FD1DA" w14:textId="77777777"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(0.31)</w:t>
            </w:r>
          </w:p>
        </w:tc>
      </w:tr>
      <w:tr w:rsidR="00DC22B3" w14:paraId="077B523A" w14:textId="77777777" w:rsidTr="0004654A">
        <w:trPr>
          <w:jc w:val="center"/>
        </w:trPr>
        <w:tc>
          <w:tcPr>
            <w:tcW w:w="1843" w:type="dxa"/>
            <w:tcBorders>
              <w:top w:val="nil"/>
              <w:left w:val="nil"/>
              <w:bottom w:val="nil"/>
              <w:right w:val="nil"/>
            </w:tcBorders>
          </w:tcPr>
          <w:p w14:paraId="122AEAFD" w14:textId="002760C4"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roofErr w:type="spellStart"/>
            <w:r w:rsidRPr="00DC22B3">
              <w:rPr>
                <w:rFonts w:ascii="Times New Roman" w:hAnsi="Times New Roman"/>
                <w:lang w:val="en-US"/>
              </w:rPr>
              <w:t>L.pit</w:t>
            </w:r>
            <w:proofErr w:type="spellEnd"/>
          </w:p>
        </w:tc>
        <w:tc>
          <w:tcPr>
            <w:tcW w:w="1639" w:type="dxa"/>
            <w:tcBorders>
              <w:top w:val="nil"/>
              <w:left w:val="nil"/>
              <w:bottom w:val="nil"/>
              <w:right w:val="nil"/>
            </w:tcBorders>
          </w:tcPr>
          <w:p w14:paraId="13859486" w14:textId="01B7DE74"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0.0103</w:t>
            </w:r>
          </w:p>
        </w:tc>
        <w:tc>
          <w:tcPr>
            <w:tcW w:w="1276" w:type="dxa"/>
            <w:tcBorders>
              <w:top w:val="nil"/>
              <w:left w:val="nil"/>
              <w:bottom w:val="nil"/>
              <w:right w:val="nil"/>
            </w:tcBorders>
          </w:tcPr>
          <w:p w14:paraId="069F9D65" w14:textId="05DDB1CE"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-0.0283**</w:t>
            </w:r>
          </w:p>
        </w:tc>
        <w:tc>
          <w:tcPr>
            <w:tcW w:w="1417" w:type="dxa"/>
            <w:tcBorders>
              <w:top w:val="nil"/>
              <w:left w:val="nil"/>
              <w:bottom w:val="nil"/>
              <w:right w:val="nil"/>
            </w:tcBorders>
          </w:tcPr>
          <w:p w14:paraId="3465CE76" w14:textId="24FAED63"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0.00642</w:t>
            </w:r>
          </w:p>
        </w:tc>
        <w:tc>
          <w:tcPr>
            <w:tcW w:w="1338" w:type="dxa"/>
            <w:tcBorders>
              <w:top w:val="nil"/>
              <w:left w:val="nil"/>
              <w:bottom w:val="nil"/>
              <w:right w:val="nil"/>
            </w:tcBorders>
          </w:tcPr>
          <w:p w14:paraId="40AE4322" w14:textId="111CDF60" w:rsidR="00DC22B3" w:rsidRPr="00232086" w:rsidRDefault="00DC22B3" w:rsidP="00DC22B3">
            <w:pPr>
              <w:widowControl w:val="0"/>
              <w:autoSpaceDE w:val="0"/>
              <w:autoSpaceDN w:val="0"/>
              <w:adjustRightInd w:val="0"/>
              <w:spacing w:after="0" w:line="240" w:lineRule="auto"/>
              <w:contextualSpacing/>
              <w:jc w:val="center"/>
              <w:rPr>
                <w:rFonts w:ascii="Times New Roman" w:hAnsi="Times New Roman"/>
                <w:highlight w:val="yellow"/>
                <w:lang w:val="en-US"/>
              </w:rPr>
            </w:pPr>
            <w:r w:rsidRPr="00232086">
              <w:rPr>
                <w:rFonts w:ascii="Times New Roman" w:hAnsi="Times New Roman"/>
                <w:highlight w:val="yellow"/>
                <w:lang w:val="en-US"/>
              </w:rPr>
              <w:t>0.0217*</w:t>
            </w:r>
            <w:r w:rsidR="0004654A" w:rsidRPr="00232086">
              <w:rPr>
                <w:rFonts w:ascii="Times New Roman" w:hAnsi="Times New Roman"/>
                <w:highlight w:val="yellow"/>
                <w:lang w:val="en-US"/>
              </w:rPr>
              <w:t>*</w:t>
            </w:r>
          </w:p>
        </w:tc>
        <w:tc>
          <w:tcPr>
            <w:tcW w:w="1338" w:type="dxa"/>
            <w:tcBorders>
              <w:top w:val="nil"/>
              <w:left w:val="nil"/>
              <w:bottom w:val="nil"/>
              <w:right w:val="nil"/>
            </w:tcBorders>
          </w:tcPr>
          <w:p w14:paraId="78524704" w14:textId="2CD6CC95" w:rsidR="00DC22B3" w:rsidRPr="00DC22B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-0.00145</w:t>
            </w:r>
          </w:p>
        </w:tc>
      </w:tr>
      <w:tr w:rsidR="00DC22B3" w14:paraId="7DB0B030" w14:textId="77777777" w:rsidTr="0004654A">
        <w:trPr>
          <w:jc w:val="center"/>
        </w:trPr>
        <w:tc>
          <w:tcPr>
            <w:tcW w:w="1843" w:type="dxa"/>
            <w:tcBorders>
              <w:top w:val="nil"/>
              <w:left w:val="nil"/>
              <w:bottom w:val="nil"/>
              <w:right w:val="nil"/>
            </w:tcBorders>
          </w:tcPr>
          <w:p w14:paraId="210E3298" w14:textId="47734519"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p>
        </w:tc>
        <w:tc>
          <w:tcPr>
            <w:tcW w:w="1639" w:type="dxa"/>
            <w:tcBorders>
              <w:top w:val="nil"/>
              <w:left w:val="nil"/>
              <w:bottom w:val="nil"/>
              <w:right w:val="nil"/>
            </w:tcBorders>
          </w:tcPr>
          <w:p w14:paraId="38B7BB8C" w14:textId="151CD5B4"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(1.00)</w:t>
            </w:r>
          </w:p>
        </w:tc>
        <w:tc>
          <w:tcPr>
            <w:tcW w:w="1276" w:type="dxa"/>
            <w:tcBorders>
              <w:top w:val="nil"/>
              <w:left w:val="nil"/>
              <w:bottom w:val="nil"/>
              <w:right w:val="nil"/>
            </w:tcBorders>
          </w:tcPr>
          <w:p w14:paraId="7BA2CAE3" w14:textId="245FCB2F"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(-3.84)</w:t>
            </w:r>
          </w:p>
        </w:tc>
        <w:tc>
          <w:tcPr>
            <w:tcW w:w="1417" w:type="dxa"/>
            <w:tcBorders>
              <w:top w:val="nil"/>
              <w:left w:val="nil"/>
              <w:bottom w:val="nil"/>
              <w:right w:val="nil"/>
            </w:tcBorders>
          </w:tcPr>
          <w:p w14:paraId="2F4E6F49" w14:textId="1FC1F76D"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(0.49)</w:t>
            </w:r>
          </w:p>
        </w:tc>
        <w:tc>
          <w:tcPr>
            <w:tcW w:w="1338" w:type="dxa"/>
            <w:tcBorders>
              <w:top w:val="nil"/>
              <w:left w:val="nil"/>
              <w:bottom w:val="nil"/>
              <w:right w:val="nil"/>
            </w:tcBorders>
          </w:tcPr>
          <w:p w14:paraId="6F101111" w14:textId="33973089"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(2.46)</w:t>
            </w:r>
          </w:p>
        </w:tc>
        <w:tc>
          <w:tcPr>
            <w:tcW w:w="1338" w:type="dxa"/>
            <w:tcBorders>
              <w:top w:val="nil"/>
              <w:left w:val="nil"/>
              <w:bottom w:val="nil"/>
              <w:right w:val="nil"/>
            </w:tcBorders>
          </w:tcPr>
          <w:p w14:paraId="566BB94D" w14:textId="595F2FE5"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(-0.11)</w:t>
            </w:r>
          </w:p>
        </w:tc>
      </w:tr>
      <w:tr w:rsidR="00DC22B3" w14:paraId="4FA9D770" w14:textId="77777777" w:rsidTr="0004654A">
        <w:trPr>
          <w:jc w:val="center"/>
        </w:trPr>
        <w:tc>
          <w:tcPr>
            <w:tcW w:w="1843" w:type="dxa"/>
            <w:tcBorders>
              <w:top w:val="single" w:sz="4" w:space="0" w:color="auto"/>
              <w:left w:val="nil"/>
              <w:bottom w:val="nil"/>
              <w:right w:val="nil"/>
            </w:tcBorders>
          </w:tcPr>
          <w:p w14:paraId="7E640CE2" w14:textId="33BD5A5B"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r w:rsidRPr="00DC22B3">
              <w:rPr>
                <w:rFonts w:ascii="Times New Roman" w:hAnsi="Times New Roman"/>
                <w:b/>
                <w:bCs/>
                <w:i/>
                <w:iCs/>
                <w:lang w:val="en-US"/>
              </w:rPr>
              <w:t>N</w:t>
            </w:r>
          </w:p>
        </w:tc>
        <w:tc>
          <w:tcPr>
            <w:tcW w:w="1639" w:type="dxa"/>
            <w:tcBorders>
              <w:top w:val="single" w:sz="4" w:space="0" w:color="auto"/>
              <w:left w:val="nil"/>
              <w:bottom w:val="nil"/>
              <w:right w:val="nil"/>
            </w:tcBorders>
          </w:tcPr>
          <w:p w14:paraId="5F4F2639" w14:textId="702683D3"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b/>
                <w:bCs/>
                <w:lang w:val="en-US"/>
              </w:rPr>
              <w:t>713</w:t>
            </w:r>
          </w:p>
        </w:tc>
        <w:tc>
          <w:tcPr>
            <w:tcW w:w="1276" w:type="dxa"/>
            <w:tcBorders>
              <w:top w:val="single" w:sz="4" w:space="0" w:color="auto"/>
              <w:left w:val="nil"/>
              <w:bottom w:val="nil"/>
              <w:right w:val="nil"/>
            </w:tcBorders>
          </w:tcPr>
          <w:p w14:paraId="7A7A36BD" w14:textId="504743C9"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b/>
                <w:bCs/>
                <w:lang w:val="en-US"/>
              </w:rPr>
              <w:t>690</w:t>
            </w:r>
          </w:p>
        </w:tc>
        <w:tc>
          <w:tcPr>
            <w:tcW w:w="1417" w:type="dxa"/>
            <w:tcBorders>
              <w:top w:val="single" w:sz="4" w:space="0" w:color="auto"/>
              <w:left w:val="nil"/>
              <w:bottom w:val="nil"/>
              <w:right w:val="nil"/>
            </w:tcBorders>
          </w:tcPr>
          <w:p w14:paraId="3D92EF4A" w14:textId="7F37B7BB"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b/>
                <w:bCs/>
                <w:lang w:val="en-US"/>
              </w:rPr>
              <w:t>667</w:t>
            </w:r>
          </w:p>
        </w:tc>
        <w:tc>
          <w:tcPr>
            <w:tcW w:w="1338" w:type="dxa"/>
            <w:tcBorders>
              <w:top w:val="single" w:sz="4" w:space="0" w:color="auto"/>
              <w:left w:val="nil"/>
              <w:bottom w:val="nil"/>
              <w:right w:val="nil"/>
            </w:tcBorders>
          </w:tcPr>
          <w:p w14:paraId="48F2C2D3" w14:textId="1FDBF4D6"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b/>
                <w:bCs/>
                <w:lang w:val="en-US"/>
              </w:rPr>
              <w:t>644</w:t>
            </w:r>
          </w:p>
        </w:tc>
        <w:tc>
          <w:tcPr>
            <w:tcW w:w="1338" w:type="dxa"/>
            <w:tcBorders>
              <w:top w:val="single" w:sz="4" w:space="0" w:color="auto"/>
              <w:left w:val="nil"/>
              <w:bottom w:val="nil"/>
              <w:right w:val="nil"/>
            </w:tcBorders>
          </w:tcPr>
          <w:p w14:paraId="2428E36F" w14:textId="1738C3CC"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b/>
                <w:bCs/>
                <w:lang w:val="en-US"/>
              </w:rPr>
              <w:t>621</w:t>
            </w:r>
          </w:p>
        </w:tc>
      </w:tr>
      <w:tr w:rsidR="00DC22B3" w14:paraId="362A5A4B" w14:textId="77777777" w:rsidTr="0004654A">
        <w:trPr>
          <w:jc w:val="center"/>
        </w:trPr>
        <w:tc>
          <w:tcPr>
            <w:tcW w:w="1843" w:type="dxa"/>
            <w:tcBorders>
              <w:top w:val="nil"/>
              <w:left w:val="nil"/>
              <w:bottom w:val="single" w:sz="4" w:space="0" w:color="auto"/>
              <w:right w:val="nil"/>
            </w:tcBorders>
          </w:tcPr>
          <w:p w14:paraId="79D917CC" w14:textId="0750D047"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r w:rsidRPr="005A3C33">
              <w:rPr>
                <w:rFonts w:ascii="Times New Roman" w:hAnsi="Times New Roman"/>
                <w:lang w:val="en-US"/>
              </w:rPr>
              <w:t xml:space="preserve">adj. </w:t>
            </w:r>
            <w:r w:rsidRPr="005A3C33">
              <w:rPr>
                <w:rFonts w:ascii="Times New Roman" w:hAnsi="Times New Roman"/>
                <w:i/>
                <w:iCs/>
                <w:lang w:val="en-US"/>
              </w:rPr>
              <w:t>R</w:t>
            </w:r>
            <w:r w:rsidRPr="005A3C33">
              <w:rPr>
                <w:rFonts w:ascii="Times New Roman" w:hAnsi="Times New Roman"/>
                <w:vertAlign w:val="superscript"/>
                <w:lang w:val="en-US"/>
              </w:rPr>
              <w:t>2</w:t>
            </w:r>
          </w:p>
        </w:tc>
        <w:tc>
          <w:tcPr>
            <w:tcW w:w="1639" w:type="dxa"/>
            <w:tcBorders>
              <w:top w:val="nil"/>
              <w:left w:val="nil"/>
              <w:bottom w:val="single" w:sz="4" w:space="0" w:color="auto"/>
              <w:right w:val="nil"/>
            </w:tcBorders>
          </w:tcPr>
          <w:p w14:paraId="1872D783" w14:textId="0402F6C6"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0.063</w:t>
            </w:r>
          </w:p>
        </w:tc>
        <w:tc>
          <w:tcPr>
            <w:tcW w:w="1276" w:type="dxa"/>
            <w:tcBorders>
              <w:top w:val="nil"/>
              <w:left w:val="nil"/>
              <w:bottom w:val="single" w:sz="4" w:space="0" w:color="auto"/>
              <w:right w:val="nil"/>
            </w:tcBorders>
          </w:tcPr>
          <w:p w14:paraId="08C26D5F" w14:textId="231ED55F"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0.037</w:t>
            </w:r>
          </w:p>
        </w:tc>
        <w:tc>
          <w:tcPr>
            <w:tcW w:w="1417" w:type="dxa"/>
            <w:tcBorders>
              <w:top w:val="nil"/>
              <w:left w:val="nil"/>
              <w:bottom w:val="single" w:sz="4" w:space="0" w:color="auto"/>
              <w:right w:val="nil"/>
            </w:tcBorders>
          </w:tcPr>
          <w:p w14:paraId="25EA9281" w14:textId="3553526E"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0.093</w:t>
            </w:r>
          </w:p>
        </w:tc>
        <w:tc>
          <w:tcPr>
            <w:tcW w:w="1338" w:type="dxa"/>
            <w:tcBorders>
              <w:top w:val="nil"/>
              <w:left w:val="nil"/>
              <w:bottom w:val="single" w:sz="4" w:space="0" w:color="auto"/>
              <w:right w:val="nil"/>
            </w:tcBorders>
          </w:tcPr>
          <w:p w14:paraId="33033329" w14:textId="5C8CADFE"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0.057</w:t>
            </w:r>
          </w:p>
        </w:tc>
        <w:tc>
          <w:tcPr>
            <w:tcW w:w="1338" w:type="dxa"/>
            <w:tcBorders>
              <w:top w:val="nil"/>
              <w:left w:val="nil"/>
              <w:bottom w:val="single" w:sz="4" w:space="0" w:color="auto"/>
              <w:right w:val="nil"/>
            </w:tcBorders>
          </w:tcPr>
          <w:p w14:paraId="1CCE6CA3" w14:textId="260B6F1A"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0.060</w:t>
            </w:r>
          </w:p>
        </w:tc>
      </w:tr>
      <w:tr w:rsidR="00DC22B3" w14:paraId="1A0611E1" w14:textId="77777777" w:rsidTr="0004654A">
        <w:trPr>
          <w:jc w:val="center"/>
        </w:trPr>
        <w:tc>
          <w:tcPr>
            <w:tcW w:w="1843" w:type="dxa"/>
            <w:tcBorders>
              <w:top w:val="nil"/>
              <w:left w:val="nil"/>
              <w:bottom w:val="single" w:sz="4" w:space="0" w:color="auto"/>
              <w:right w:val="nil"/>
            </w:tcBorders>
          </w:tcPr>
          <w:p w14:paraId="409E7405" w14:textId="0D298F8F"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r w:rsidRPr="005A3C33">
              <w:rPr>
                <w:rFonts w:ascii="Times New Roman" w:hAnsi="Times New Roman"/>
                <w:lang w:val="en-US"/>
              </w:rPr>
              <w:t>adj. R2</w:t>
            </w:r>
          </w:p>
        </w:tc>
        <w:tc>
          <w:tcPr>
            <w:tcW w:w="1639" w:type="dxa"/>
            <w:tcBorders>
              <w:top w:val="nil"/>
              <w:left w:val="nil"/>
              <w:bottom w:val="single" w:sz="4" w:space="0" w:color="auto"/>
              <w:right w:val="nil"/>
            </w:tcBorders>
          </w:tcPr>
          <w:p w14:paraId="19D5C899" w14:textId="3B5B79C1"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0.068</w:t>
            </w:r>
          </w:p>
        </w:tc>
        <w:tc>
          <w:tcPr>
            <w:tcW w:w="1276" w:type="dxa"/>
            <w:tcBorders>
              <w:top w:val="nil"/>
              <w:left w:val="nil"/>
              <w:bottom w:val="single" w:sz="4" w:space="0" w:color="auto"/>
              <w:right w:val="nil"/>
            </w:tcBorders>
          </w:tcPr>
          <w:p w14:paraId="397D54D2" w14:textId="16DFB306"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0.039</w:t>
            </w:r>
          </w:p>
        </w:tc>
        <w:tc>
          <w:tcPr>
            <w:tcW w:w="1417" w:type="dxa"/>
            <w:tcBorders>
              <w:top w:val="nil"/>
              <w:left w:val="nil"/>
              <w:bottom w:val="single" w:sz="4" w:space="0" w:color="auto"/>
              <w:right w:val="nil"/>
            </w:tcBorders>
          </w:tcPr>
          <w:p w14:paraId="182BE1D2" w14:textId="1D18A465"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0.092</w:t>
            </w:r>
          </w:p>
        </w:tc>
        <w:tc>
          <w:tcPr>
            <w:tcW w:w="1338" w:type="dxa"/>
            <w:tcBorders>
              <w:top w:val="nil"/>
              <w:left w:val="nil"/>
              <w:bottom w:val="single" w:sz="4" w:space="0" w:color="auto"/>
              <w:right w:val="nil"/>
            </w:tcBorders>
          </w:tcPr>
          <w:p w14:paraId="6682ED7C" w14:textId="7F7CD5F5"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0.054</w:t>
            </w:r>
          </w:p>
        </w:tc>
        <w:tc>
          <w:tcPr>
            <w:tcW w:w="1338" w:type="dxa"/>
            <w:tcBorders>
              <w:top w:val="nil"/>
              <w:left w:val="nil"/>
              <w:bottom w:val="single" w:sz="4" w:space="0" w:color="auto"/>
              <w:right w:val="nil"/>
            </w:tcBorders>
          </w:tcPr>
          <w:p w14:paraId="47DD90BA" w14:textId="08AF90BB"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0.055</w:t>
            </w:r>
          </w:p>
        </w:tc>
      </w:tr>
      <w:tr w:rsidR="00DC22B3" w14:paraId="3D0A2265" w14:textId="77777777" w:rsidTr="0004654A">
        <w:trPr>
          <w:jc w:val="center"/>
        </w:trPr>
        <w:tc>
          <w:tcPr>
            <w:tcW w:w="1843" w:type="dxa"/>
            <w:tcBorders>
              <w:top w:val="nil"/>
              <w:left w:val="nil"/>
              <w:bottom w:val="single" w:sz="4" w:space="0" w:color="auto"/>
              <w:right w:val="nil"/>
            </w:tcBorders>
          </w:tcPr>
          <w:p w14:paraId="4AFB18D7" w14:textId="64C7C454" w:rsidR="00DC22B3" w:rsidRPr="00DC22B3" w:rsidRDefault="00DC22B3">
            <w:pPr>
              <w:widowControl w:val="0"/>
              <w:autoSpaceDE w:val="0"/>
              <w:autoSpaceDN w:val="0"/>
              <w:adjustRightInd w:val="0"/>
              <w:spacing w:after="0" w:line="240" w:lineRule="auto"/>
              <w:contextualSpacing/>
              <w:rPr>
                <w:rFonts w:ascii="Times New Roman" w:hAnsi="Times New Roman"/>
                <w:lang w:val="en-US"/>
              </w:rPr>
            </w:pPr>
            <w:r w:rsidRPr="005A3C33">
              <w:rPr>
                <w:rFonts w:ascii="Times New Roman" w:hAnsi="Times New Roman"/>
                <w:lang w:val="en-US"/>
              </w:rPr>
              <w:t>adj. R2</w:t>
            </w:r>
          </w:p>
        </w:tc>
        <w:tc>
          <w:tcPr>
            <w:tcW w:w="1639" w:type="dxa"/>
            <w:tcBorders>
              <w:top w:val="nil"/>
              <w:left w:val="nil"/>
              <w:bottom w:val="single" w:sz="4" w:space="0" w:color="auto"/>
              <w:right w:val="nil"/>
            </w:tcBorders>
          </w:tcPr>
          <w:p w14:paraId="1DF4C00E" w14:textId="1805895D"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0.033</w:t>
            </w:r>
          </w:p>
        </w:tc>
        <w:tc>
          <w:tcPr>
            <w:tcW w:w="1276" w:type="dxa"/>
            <w:tcBorders>
              <w:top w:val="nil"/>
              <w:left w:val="nil"/>
              <w:bottom w:val="single" w:sz="4" w:space="0" w:color="auto"/>
              <w:right w:val="nil"/>
            </w:tcBorders>
          </w:tcPr>
          <w:p w14:paraId="5178ABA8" w14:textId="13790CBC"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0.040</w:t>
            </w:r>
          </w:p>
        </w:tc>
        <w:tc>
          <w:tcPr>
            <w:tcW w:w="1417" w:type="dxa"/>
            <w:tcBorders>
              <w:top w:val="nil"/>
              <w:left w:val="nil"/>
              <w:bottom w:val="single" w:sz="4" w:space="0" w:color="auto"/>
              <w:right w:val="nil"/>
            </w:tcBorders>
          </w:tcPr>
          <w:p w14:paraId="1D5E2C51" w14:textId="29C40169"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0.069</w:t>
            </w:r>
          </w:p>
        </w:tc>
        <w:tc>
          <w:tcPr>
            <w:tcW w:w="1338" w:type="dxa"/>
            <w:tcBorders>
              <w:top w:val="nil"/>
              <w:left w:val="nil"/>
              <w:bottom w:val="single" w:sz="4" w:space="0" w:color="auto"/>
              <w:right w:val="nil"/>
            </w:tcBorders>
          </w:tcPr>
          <w:p w14:paraId="40D6E290" w14:textId="6C35BA30"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0.054</w:t>
            </w:r>
          </w:p>
        </w:tc>
        <w:tc>
          <w:tcPr>
            <w:tcW w:w="1338" w:type="dxa"/>
            <w:tcBorders>
              <w:top w:val="nil"/>
              <w:left w:val="nil"/>
              <w:bottom w:val="single" w:sz="4" w:space="0" w:color="auto"/>
              <w:right w:val="nil"/>
            </w:tcBorders>
          </w:tcPr>
          <w:p w14:paraId="0EBE7E90" w14:textId="5719FE22" w:rsidR="00DC22B3" w:rsidRPr="00DC22B3" w:rsidRDefault="00DC22B3">
            <w:pPr>
              <w:widowControl w:val="0"/>
              <w:autoSpaceDE w:val="0"/>
              <w:autoSpaceDN w:val="0"/>
              <w:adjustRightInd w:val="0"/>
              <w:spacing w:after="0" w:line="240" w:lineRule="auto"/>
              <w:contextualSpacing/>
              <w:jc w:val="center"/>
              <w:rPr>
                <w:rFonts w:ascii="Times New Roman" w:hAnsi="Times New Roman"/>
                <w:lang w:val="en-US"/>
              </w:rPr>
            </w:pPr>
            <w:r w:rsidRPr="005A3C33">
              <w:rPr>
                <w:rFonts w:ascii="Times New Roman" w:hAnsi="Times New Roman"/>
                <w:lang w:val="en-US"/>
              </w:rPr>
              <w:t>0.055</w:t>
            </w:r>
          </w:p>
        </w:tc>
      </w:tr>
      <w:tr w:rsidR="00DC22B3" w:rsidRPr="005A3C33" w14:paraId="27616A6B" w14:textId="77777777" w:rsidTr="0004654A">
        <w:trPr>
          <w:jc w:val="center"/>
        </w:trPr>
        <w:tc>
          <w:tcPr>
            <w:tcW w:w="1843" w:type="dxa"/>
            <w:tcBorders>
              <w:top w:val="nil"/>
              <w:left w:val="nil"/>
              <w:bottom w:val="single" w:sz="4" w:space="0" w:color="auto"/>
              <w:right w:val="nil"/>
            </w:tcBorders>
          </w:tcPr>
          <w:p w14:paraId="690F9B67" w14:textId="345334DB"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r w:rsidRPr="00DC22B3">
              <w:rPr>
                <w:rFonts w:ascii="Times New Roman" w:hAnsi="Times New Roman"/>
                <w:lang w:val="en-US"/>
              </w:rPr>
              <w:t>adj. R2</w:t>
            </w:r>
          </w:p>
        </w:tc>
        <w:tc>
          <w:tcPr>
            <w:tcW w:w="1639" w:type="dxa"/>
            <w:tcBorders>
              <w:top w:val="nil"/>
              <w:left w:val="nil"/>
              <w:bottom w:val="single" w:sz="4" w:space="0" w:color="auto"/>
              <w:right w:val="nil"/>
            </w:tcBorders>
          </w:tcPr>
          <w:p w14:paraId="16C9A406" w14:textId="1062B284"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0.026</w:t>
            </w:r>
          </w:p>
        </w:tc>
        <w:tc>
          <w:tcPr>
            <w:tcW w:w="1276" w:type="dxa"/>
            <w:tcBorders>
              <w:top w:val="nil"/>
              <w:left w:val="nil"/>
              <w:bottom w:val="single" w:sz="4" w:space="0" w:color="auto"/>
              <w:right w:val="nil"/>
            </w:tcBorders>
          </w:tcPr>
          <w:p w14:paraId="50A63958" w14:textId="50E000F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0.051</w:t>
            </w:r>
          </w:p>
        </w:tc>
        <w:tc>
          <w:tcPr>
            <w:tcW w:w="1417" w:type="dxa"/>
            <w:tcBorders>
              <w:top w:val="nil"/>
              <w:left w:val="nil"/>
              <w:bottom w:val="single" w:sz="4" w:space="0" w:color="auto"/>
              <w:right w:val="nil"/>
            </w:tcBorders>
          </w:tcPr>
          <w:p w14:paraId="13F2C388" w14:textId="3CBB4319"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0.037</w:t>
            </w:r>
          </w:p>
        </w:tc>
        <w:tc>
          <w:tcPr>
            <w:tcW w:w="1338" w:type="dxa"/>
            <w:tcBorders>
              <w:top w:val="nil"/>
              <w:left w:val="nil"/>
              <w:bottom w:val="single" w:sz="4" w:space="0" w:color="auto"/>
              <w:right w:val="nil"/>
            </w:tcBorders>
          </w:tcPr>
          <w:p w14:paraId="6343F4B9" w14:textId="54E9AF8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0.057</w:t>
            </w:r>
          </w:p>
        </w:tc>
        <w:tc>
          <w:tcPr>
            <w:tcW w:w="1338" w:type="dxa"/>
            <w:tcBorders>
              <w:top w:val="nil"/>
              <w:left w:val="nil"/>
              <w:bottom w:val="single" w:sz="4" w:space="0" w:color="auto"/>
              <w:right w:val="nil"/>
            </w:tcBorders>
          </w:tcPr>
          <w:p w14:paraId="41103F83" w14:textId="1DD908D1"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0.058</w:t>
            </w:r>
          </w:p>
        </w:tc>
      </w:tr>
      <w:tr w:rsidR="00DC22B3" w:rsidRPr="005A3C33" w14:paraId="5FE2B1DE" w14:textId="77777777" w:rsidTr="0004654A">
        <w:trPr>
          <w:jc w:val="center"/>
        </w:trPr>
        <w:tc>
          <w:tcPr>
            <w:tcW w:w="1843" w:type="dxa"/>
            <w:tcBorders>
              <w:top w:val="nil"/>
              <w:left w:val="nil"/>
              <w:bottom w:val="single" w:sz="4" w:space="0" w:color="auto"/>
              <w:right w:val="nil"/>
            </w:tcBorders>
          </w:tcPr>
          <w:p w14:paraId="5F3C5EF0" w14:textId="267A8AD5"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r w:rsidRPr="00DC22B3">
              <w:rPr>
                <w:rFonts w:ascii="Times New Roman" w:hAnsi="Times New Roman"/>
                <w:lang w:val="en-US"/>
              </w:rPr>
              <w:t>adj. R2</w:t>
            </w:r>
          </w:p>
        </w:tc>
        <w:tc>
          <w:tcPr>
            <w:tcW w:w="1639" w:type="dxa"/>
            <w:tcBorders>
              <w:top w:val="nil"/>
              <w:left w:val="nil"/>
              <w:bottom w:val="single" w:sz="4" w:space="0" w:color="auto"/>
              <w:right w:val="nil"/>
            </w:tcBorders>
          </w:tcPr>
          <w:p w14:paraId="2A1315C0" w14:textId="3FBB4E8A"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0.016</w:t>
            </w:r>
          </w:p>
        </w:tc>
        <w:tc>
          <w:tcPr>
            <w:tcW w:w="1276" w:type="dxa"/>
            <w:tcBorders>
              <w:top w:val="nil"/>
              <w:left w:val="nil"/>
              <w:bottom w:val="single" w:sz="4" w:space="0" w:color="auto"/>
              <w:right w:val="nil"/>
            </w:tcBorders>
          </w:tcPr>
          <w:p w14:paraId="39362431" w14:textId="73EB3851"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0.042</w:t>
            </w:r>
          </w:p>
        </w:tc>
        <w:tc>
          <w:tcPr>
            <w:tcW w:w="1417" w:type="dxa"/>
            <w:tcBorders>
              <w:top w:val="nil"/>
              <w:left w:val="nil"/>
              <w:bottom w:val="single" w:sz="4" w:space="0" w:color="auto"/>
              <w:right w:val="nil"/>
            </w:tcBorders>
          </w:tcPr>
          <w:p w14:paraId="6D17438A" w14:textId="222F24D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0.036</w:t>
            </w:r>
          </w:p>
        </w:tc>
        <w:tc>
          <w:tcPr>
            <w:tcW w:w="1338" w:type="dxa"/>
            <w:tcBorders>
              <w:top w:val="nil"/>
              <w:left w:val="nil"/>
              <w:bottom w:val="single" w:sz="4" w:space="0" w:color="auto"/>
              <w:right w:val="nil"/>
            </w:tcBorders>
          </w:tcPr>
          <w:p w14:paraId="3086F9DF" w14:textId="43B211F5"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0.061</w:t>
            </w:r>
          </w:p>
        </w:tc>
        <w:tc>
          <w:tcPr>
            <w:tcW w:w="1338" w:type="dxa"/>
            <w:tcBorders>
              <w:top w:val="nil"/>
              <w:left w:val="nil"/>
              <w:bottom w:val="single" w:sz="4" w:space="0" w:color="auto"/>
              <w:right w:val="nil"/>
            </w:tcBorders>
          </w:tcPr>
          <w:p w14:paraId="452CB9DA" w14:textId="25242B0C"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0.067</w:t>
            </w:r>
          </w:p>
        </w:tc>
      </w:tr>
      <w:tr w:rsidR="00DC22B3" w:rsidRPr="005A3C33" w14:paraId="5E6B7D31" w14:textId="77777777" w:rsidTr="00F06A06">
        <w:trPr>
          <w:jc w:val="center"/>
        </w:trPr>
        <w:tc>
          <w:tcPr>
            <w:tcW w:w="1843" w:type="dxa"/>
            <w:tcBorders>
              <w:top w:val="nil"/>
              <w:left w:val="nil"/>
              <w:bottom w:val="single" w:sz="4" w:space="0" w:color="auto"/>
              <w:right w:val="nil"/>
            </w:tcBorders>
          </w:tcPr>
          <w:p w14:paraId="7852A3F1" w14:textId="0A0AD6ED" w:rsidR="00DC22B3" w:rsidRPr="005A3C33" w:rsidRDefault="00DC22B3" w:rsidP="005A3C33">
            <w:pPr>
              <w:widowControl w:val="0"/>
              <w:autoSpaceDE w:val="0"/>
              <w:autoSpaceDN w:val="0"/>
              <w:adjustRightInd w:val="0"/>
              <w:spacing w:after="0" w:line="240" w:lineRule="auto"/>
              <w:contextualSpacing/>
              <w:rPr>
                <w:rFonts w:ascii="Times New Roman" w:hAnsi="Times New Roman"/>
                <w:lang w:val="en-US"/>
              </w:rPr>
            </w:pPr>
            <w:r w:rsidRPr="00DC22B3">
              <w:rPr>
                <w:rFonts w:ascii="Times New Roman" w:hAnsi="Times New Roman"/>
                <w:lang w:val="en-US"/>
              </w:rPr>
              <w:t>adj. R2</w:t>
            </w:r>
          </w:p>
        </w:tc>
        <w:tc>
          <w:tcPr>
            <w:tcW w:w="1639" w:type="dxa"/>
            <w:tcBorders>
              <w:top w:val="nil"/>
              <w:left w:val="nil"/>
              <w:bottom w:val="single" w:sz="4" w:space="0" w:color="auto"/>
              <w:right w:val="nil"/>
            </w:tcBorders>
          </w:tcPr>
          <w:p w14:paraId="156839B5" w14:textId="2E2EB2A6"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0.018</w:t>
            </w:r>
          </w:p>
        </w:tc>
        <w:tc>
          <w:tcPr>
            <w:tcW w:w="1276" w:type="dxa"/>
            <w:tcBorders>
              <w:top w:val="nil"/>
              <w:left w:val="nil"/>
              <w:bottom w:val="single" w:sz="4" w:space="0" w:color="auto"/>
              <w:right w:val="nil"/>
            </w:tcBorders>
          </w:tcPr>
          <w:p w14:paraId="5A7A909F" w14:textId="180158F3"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0.037</w:t>
            </w:r>
          </w:p>
        </w:tc>
        <w:tc>
          <w:tcPr>
            <w:tcW w:w="1417" w:type="dxa"/>
            <w:tcBorders>
              <w:top w:val="nil"/>
              <w:left w:val="nil"/>
              <w:bottom w:val="single" w:sz="4" w:space="0" w:color="auto"/>
              <w:right w:val="nil"/>
            </w:tcBorders>
          </w:tcPr>
          <w:p w14:paraId="2B0B029F" w14:textId="45C299DF"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0.036</w:t>
            </w:r>
          </w:p>
        </w:tc>
        <w:tc>
          <w:tcPr>
            <w:tcW w:w="1338" w:type="dxa"/>
            <w:tcBorders>
              <w:top w:val="nil"/>
              <w:left w:val="nil"/>
              <w:bottom w:val="single" w:sz="4" w:space="0" w:color="auto"/>
              <w:right w:val="nil"/>
            </w:tcBorders>
          </w:tcPr>
          <w:p w14:paraId="607065F3" w14:textId="70495812"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0.055</w:t>
            </w:r>
          </w:p>
        </w:tc>
        <w:tc>
          <w:tcPr>
            <w:tcW w:w="1338" w:type="dxa"/>
            <w:tcBorders>
              <w:top w:val="nil"/>
              <w:left w:val="nil"/>
              <w:bottom w:val="single" w:sz="4" w:space="0" w:color="auto"/>
              <w:right w:val="nil"/>
            </w:tcBorders>
          </w:tcPr>
          <w:p w14:paraId="53041376" w14:textId="3CABC333" w:rsidR="00DC22B3" w:rsidRPr="005A3C33" w:rsidRDefault="00DC22B3" w:rsidP="00DC22B3">
            <w:pPr>
              <w:widowControl w:val="0"/>
              <w:autoSpaceDE w:val="0"/>
              <w:autoSpaceDN w:val="0"/>
              <w:adjustRightInd w:val="0"/>
              <w:spacing w:after="0" w:line="240" w:lineRule="auto"/>
              <w:contextualSpacing/>
              <w:jc w:val="center"/>
              <w:rPr>
                <w:rFonts w:ascii="Times New Roman" w:hAnsi="Times New Roman"/>
                <w:lang w:val="en-US"/>
              </w:rPr>
            </w:pPr>
            <w:r w:rsidRPr="00DC22B3">
              <w:rPr>
                <w:rFonts w:ascii="Times New Roman" w:hAnsi="Times New Roman"/>
                <w:lang w:val="en-US"/>
              </w:rPr>
              <w:t>0.070</w:t>
            </w:r>
          </w:p>
        </w:tc>
      </w:tr>
      <w:tr w:rsidR="0004654A" w14:paraId="3795F8C9" w14:textId="77777777" w:rsidTr="00F06A06">
        <w:trPr>
          <w:jc w:val="center"/>
        </w:trPr>
        <w:tc>
          <w:tcPr>
            <w:tcW w:w="1843" w:type="dxa"/>
            <w:tcBorders>
              <w:top w:val="single" w:sz="4" w:space="0" w:color="auto"/>
              <w:left w:val="nil"/>
              <w:bottom w:val="double" w:sz="4" w:space="0" w:color="auto"/>
              <w:right w:val="nil"/>
            </w:tcBorders>
          </w:tcPr>
          <w:p w14:paraId="385869A0" w14:textId="77777777" w:rsidR="0004654A" w:rsidRPr="0004654A" w:rsidRDefault="0004654A">
            <w:pPr>
              <w:widowControl w:val="0"/>
              <w:autoSpaceDE w:val="0"/>
              <w:autoSpaceDN w:val="0"/>
              <w:adjustRightInd w:val="0"/>
              <w:spacing w:after="0" w:line="240" w:lineRule="auto"/>
              <w:contextualSpacing/>
              <w:rPr>
                <w:rFonts w:ascii="Times New Roman" w:hAnsi="Times New Roman"/>
                <w:lang w:val="en-US"/>
              </w:rPr>
            </w:pPr>
            <w:r w:rsidRPr="0004654A">
              <w:rPr>
                <w:rFonts w:ascii="Times New Roman" w:hAnsi="Times New Roman"/>
                <w:lang w:val="en-US"/>
              </w:rPr>
              <w:t>adj. R2</w:t>
            </w:r>
          </w:p>
        </w:tc>
        <w:tc>
          <w:tcPr>
            <w:tcW w:w="1639" w:type="dxa"/>
            <w:tcBorders>
              <w:top w:val="single" w:sz="4" w:space="0" w:color="auto"/>
              <w:left w:val="nil"/>
              <w:bottom w:val="double" w:sz="4" w:space="0" w:color="auto"/>
              <w:right w:val="nil"/>
            </w:tcBorders>
          </w:tcPr>
          <w:p w14:paraId="32D8F345" w14:textId="77777777" w:rsidR="0004654A" w:rsidRPr="0004654A" w:rsidRDefault="0004654A">
            <w:pPr>
              <w:widowControl w:val="0"/>
              <w:autoSpaceDE w:val="0"/>
              <w:autoSpaceDN w:val="0"/>
              <w:adjustRightInd w:val="0"/>
              <w:spacing w:after="0" w:line="240" w:lineRule="auto"/>
              <w:contextualSpacing/>
              <w:jc w:val="center"/>
              <w:rPr>
                <w:rFonts w:ascii="Times New Roman" w:hAnsi="Times New Roman"/>
                <w:lang w:val="en-US"/>
              </w:rPr>
            </w:pPr>
            <w:r w:rsidRPr="0004654A">
              <w:rPr>
                <w:rFonts w:ascii="Times New Roman" w:hAnsi="Times New Roman"/>
                <w:lang w:val="en-US"/>
              </w:rPr>
              <w:t>0.031</w:t>
            </w:r>
          </w:p>
        </w:tc>
        <w:tc>
          <w:tcPr>
            <w:tcW w:w="1276" w:type="dxa"/>
            <w:tcBorders>
              <w:top w:val="single" w:sz="4" w:space="0" w:color="auto"/>
              <w:left w:val="nil"/>
              <w:bottom w:val="double" w:sz="4" w:space="0" w:color="auto"/>
              <w:right w:val="nil"/>
            </w:tcBorders>
          </w:tcPr>
          <w:p w14:paraId="47F9773B" w14:textId="77777777" w:rsidR="0004654A" w:rsidRPr="0004654A" w:rsidRDefault="0004654A">
            <w:pPr>
              <w:widowControl w:val="0"/>
              <w:autoSpaceDE w:val="0"/>
              <w:autoSpaceDN w:val="0"/>
              <w:adjustRightInd w:val="0"/>
              <w:spacing w:after="0" w:line="240" w:lineRule="auto"/>
              <w:contextualSpacing/>
              <w:jc w:val="center"/>
              <w:rPr>
                <w:rFonts w:ascii="Times New Roman" w:hAnsi="Times New Roman"/>
                <w:lang w:val="en-US"/>
              </w:rPr>
            </w:pPr>
            <w:r w:rsidRPr="0004654A">
              <w:rPr>
                <w:rFonts w:ascii="Times New Roman" w:hAnsi="Times New Roman"/>
                <w:lang w:val="en-US"/>
              </w:rPr>
              <w:t>0.050</w:t>
            </w:r>
          </w:p>
        </w:tc>
        <w:tc>
          <w:tcPr>
            <w:tcW w:w="1417" w:type="dxa"/>
            <w:tcBorders>
              <w:top w:val="single" w:sz="4" w:space="0" w:color="auto"/>
              <w:left w:val="nil"/>
              <w:bottom w:val="double" w:sz="4" w:space="0" w:color="auto"/>
              <w:right w:val="nil"/>
            </w:tcBorders>
          </w:tcPr>
          <w:p w14:paraId="485FF21E" w14:textId="77777777" w:rsidR="0004654A" w:rsidRPr="0004654A" w:rsidRDefault="0004654A">
            <w:pPr>
              <w:widowControl w:val="0"/>
              <w:autoSpaceDE w:val="0"/>
              <w:autoSpaceDN w:val="0"/>
              <w:adjustRightInd w:val="0"/>
              <w:spacing w:after="0" w:line="240" w:lineRule="auto"/>
              <w:contextualSpacing/>
              <w:jc w:val="center"/>
              <w:rPr>
                <w:rFonts w:ascii="Times New Roman" w:hAnsi="Times New Roman"/>
                <w:lang w:val="en-US"/>
              </w:rPr>
            </w:pPr>
            <w:r w:rsidRPr="0004654A">
              <w:rPr>
                <w:rFonts w:ascii="Times New Roman" w:hAnsi="Times New Roman"/>
                <w:lang w:val="en-US"/>
              </w:rPr>
              <w:t>0.058</w:t>
            </w:r>
          </w:p>
        </w:tc>
        <w:tc>
          <w:tcPr>
            <w:tcW w:w="1338" w:type="dxa"/>
            <w:tcBorders>
              <w:top w:val="single" w:sz="4" w:space="0" w:color="auto"/>
              <w:left w:val="nil"/>
              <w:bottom w:val="double" w:sz="4" w:space="0" w:color="auto"/>
              <w:right w:val="nil"/>
            </w:tcBorders>
          </w:tcPr>
          <w:p w14:paraId="23D84104" w14:textId="77777777" w:rsidR="0004654A" w:rsidRPr="0004654A" w:rsidRDefault="0004654A">
            <w:pPr>
              <w:widowControl w:val="0"/>
              <w:autoSpaceDE w:val="0"/>
              <w:autoSpaceDN w:val="0"/>
              <w:adjustRightInd w:val="0"/>
              <w:spacing w:after="0" w:line="240" w:lineRule="auto"/>
              <w:contextualSpacing/>
              <w:jc w:val="center"/>
              <w:rPr>
                <w:rFonts w:ascii="Times New Roman" w:hAnsi="Times New Roman"/>
                <w:lang w:val="en-US"/>
              </w:rPr>
            </w:pPr>
            <w:r w:rsidRPr="0004654A">
              <w:rPr>
                <w:rFonts w:ascii="Times New Roman" w:hAnsi="Times New Roman"/>
                <w:lang w:val="en-US"/>
              </w:rPr>
              <w:t>0.071</w:t>
            </w:r>
          </w:p>
        </w:tc>
        <w:tc>
          <w:tcPr>
            <w:tcW w:w="1338" w:type="dxa"/>
            <w:tcBorders>
              <w:top w:val="single" w:sz="4" w:space="0" w:color="auto"/>
              <w:left w:val="nil"/>
              <w:bottom w:val="double" w:sz="4" w:space="0" w:color="auto"/>
              <w:right w:val="nil"/>
            </w:tcBorders>
          </w:tcPr>
          <w:p w14:paraId="3A43014F" w14:textId="77777777" w:rsidR="0004654A" w:rsidRPr="0004654A" w:rsidRDefault="0004654A">
            <w:pPr>
              <w:widowControl w:val="0"/>
              <w:autoSpaceDE w:val="0"/>
              <w:autoSpaceDN w:val="0"/>
              <w:adjustRightInd w:val="0"/>
              <w:spacing w:after="0" w:line="240" w:lineRule="auto"/>
              <w:contextualSpacing/>
              <w:jc w:val="center"/>
              <w:rPr>
                <w:rFonts w:ascii="Times New Roman" w:hAnsi="Times New Roman"/>
                <w:lang w:val="en-US"/>
              </w:rPr>
            </w:pPr>
            <w:r w:rsidRPr="0004654A">
              <w:rPr>
                <w:rFonts w:ascii="Times New Roman" w:hAnsi="Times New Roman"/>
                <w:lang w:val="en-US"/>
              </w:rPr>
              <w:t>0.064</w:t>
            </w:r>
          </w:p>
        </w:tc>
      </w:tr>
    </w:tbl>
    <w:p w14:paraId="3B6444CC" w14:textId="7BAE347F" w:rsidR="007E6077" w:rsidRPr="00F06A06" w:rsidRDefault="00F06A06" w:rsidP="00F06A06">
      <w:pPr>
        <w:rPr>
          <w:sz w:val="20"/>
          <w:szCs w:val="20"/>
          <w:lang w:val="en-US"/>
        </w:rPr>
      </w:pPr>
      <w:r w:rsidRPr="00F06A06">
        <w:rPr>
          <w:b/>
          <w:bCs/>
          <w:sz w:val="20"/>
          <w:szCs w:val="20"/>
          <w:lang w:val="en-US"/>
        </w:rPr>
        <w:t>Notes:</w:t>
      </w:r>
      <w:r w:rsidRPr="00F06A06">
        <w:rPr>
          <w:sz w:val="20"/>
          <w:szCs w:val="20"/>
          <w:lang w:val="en-US"/>
        </w:rPr>
        <w:t xml:space="preserve"> Standard errors (clustered by country) in parentheses. </w:t>
      </w:r>
      <w:r w:rsidRPr="00F06A06">
        <w:rPr>
          <w:rFonts w:ascii="Cambria Math" w:hAnsi="Cambria Math" w:cs="Cambria Math"/>
          <w:sz w:val="20"/>
          <w:szCs w:val="20"/>
          <w:lang w:val="en-US"/>
        </w:rPr>
        <w:t>∗∗∗</w:t>
      </w:r>
      <w:r w:rsidRPr="00F06A06">
        <w:rPr>
          <w:sz w:val="20"/>
          <w:szCs w:val="20"/>
          <w:lang w:val="en-US"/>
        </w:rPr>
        <w:t>/</w:t>
      </w:r>
      <w:r w:rsidRPr="00F06A06">
        <w:rPr>
          <w:rFonts w:ascii="Cambria Math" w:hAnsi="Cambria Math" w:cs="Cambria Math"/>
          <w:sz w:val="20"/>
          <w:szCs w:val="20"/>
          <w:lang w:val="en-US"/>
        </w:rPr>
        <w:t>∗∗</w:t>
      </w:r>
      <w:r w:rsidRPr="00F06A06">
        <w:rPr>
          <w:sz w:val="20"/>
          <w:szCs w:val="20"/>
          <w:lang w:val="en-US"/>
        </w:rPr>
        <w:t>/</w:t>
      </w:r>
      <w:r w:rsidRPr="00F06A06">
        <w:rPr>
          <w:rFonts w:ascii="Cambria Math" w:hAnsi="Cambria Math" w:cs="Cambria Math"/>
          <w:sz w:val="20"/>
          <w:szCs w:val="20"/>
          <w:lang w:val="en-US"/>
        </w:rPr>
        <w:t xml:space="preserve">∗ </w:t>
      </w:r>
      <w:r w:rsidRPr="00F06A06">
        <w:rPr>
          <w:sz w:val="20"/>
          <w:szCs w:val="20"/>
          <w:lang w:val="en-US"/>
        </w:rPr>
        <w:t>indicate p &lt; 0.01/0.05/0.10. Additional controls: cyclical component of y, 2 lags of change in y, country fixed effects.</w:t>
      </w:r>
    </w:p>
    <w:p w14:paraId="774FF91D" w14:textId="5214C366" w:rsidR="00F06A06" w:rsidRPr="00F06A06" w:rsidRDefault="00F06A06">
      <w:pPr>
        <w:rPr>
          <w:lang w:val="en-US"/>
        </w:rPr>
      </w:pPr>
    </w:p>
    <w:p w14:paraId="1B014A8C" w14:textId="70C0429B"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and taxation on Inequality</w:t>
      </w:r>
      <w:r w:rsidRPr="001925E7">
        <w:rPr>
          <w:rFonts w:ascii="LM Roman 10" w:hAnsi="LM Roman 10"/>
          <w:b/>
          <w:bCs/>
          <w:lang w:val="en-US"/>
        </w:rPr>
        <w:t>: OLS Results</w:t>
      </w:r>
    </w:p>
    <w:p w14:paraId="05380BEB" w14:textId="5359E2B7" w:rsidR="00F06A06" w:rsidRPr="001925E7" w:rsidRDefault="00F06A06" w:rsidP="00F06A06">
      <w:pPr>
        <w:rPr>
          <w:rFonts w:ascii="LM Roman 10" w:hAnsi="LM Roman 10"/>
          <w:lang w:val="en-US"/>
        </w:rPr>
      </w:pPr>
      <w:r w:rsidRPr="001925E7">
        <w:rPr>
          <w:rFonts w:ascii="LM Roman 10" w:hAnsi="LM Roman 10"/>
          <w:lang w:val="en-US"/>
        </w:rPr>
        <w:t>Our first estimates use OLS estimation with the L</w:t>
      </w:r>
      <w:r w:rsidR="001925E7">
        <w:rPr>
          <w:rFonts w:ascii="LM Roman 10" w:hAnsi="LM Roman 10"/>
          <w:lang w:val="en-US"/>
        </w:rPr>
        <w:t xml:space="preserve">ocal </w:t>
      </w:r>
      <w:r w:rsidR="001925E7" w:rsidRPr="001925E7">
        <w:rPr>
          <w:rFonts w:ascii="LM Roman 10" w:hAnsi="LM Roman 10"/>
          <w:lang w:val="en-US"/>
        </w:rPr>
        <w:t>P</w:t>
      </w:r>
      <w:r w:rsidR="001925E7">
        <w:rPr>
          <w:rFonts w:ascii="LM Roman 10" w:hAnsi="LM Roman 10"/>
          <w:lang w:val="en-US"/>
        </w:rPr>
        <w:t>rojection</w:t>
      </w:r>
      <w:r w:rsidRPr="001925E7">
        <w:rPr>
          <w:rFonts w:ascii="LM Roman 10" w:hAnsi="LM Roman 10"/>
          <w:lang w:val="en-US"/>
        </w:rPr>
        <w:t xml:space="preserve"> </w:t>
      </w:r>
      <w:r w:rsidR="001925E7">
        <w:rPr>
          <w:rFonts w:ascii="LM Roman 10" w:hAnsi="LM Roman 10"/>
          <w:lang w:val="en-US"/>
        </w:rPr>
        <w:t xml:space="preserve">(LP) </w:t>
      </w:r>
      <w:r w:rsidRPr="001925E7">
        <w:rPr>
          <w:rFonts w:ascii="LM Roman 10" w:hAnsi="LM Roman 10"/>
          <w:lang w:val="en-US"/>
        </w:rPr>
        <w:t xml:space="preserve">method, based on what is the traditional variable in the literature, the </w:t>
      </w:r>
      <w:r w:rsidR="001925E7">
        <w:rPr>
          <w:rFonts w:ascii="LM Roman 10" w:hAnsi="LM Roman 10"/>
          <w:lang w:val="en-US"/>
        </w:rPr>
        <w:t>Gini index (in our case Gini net)</w:t>
      </w:r>
      <w:r w:rsidRPr="001925E7">
        <w:rPr>
          <w:rFonts w:ascii="LM Roman 10" w:hAnsi="LM Roman 10"/>
          <w:lang w:val="en-US"/>
        </w:rPr>
        <w:t xml:space="preserve">. The local projection is done from year 0, when a policy change is assumed to be announced, with the fiscal impacts first felt in year 1. </w:t>
      </w:r>
      <w:r w:rsidRPr="001925E7">
        <w:rPr>
          <w:rFonts w:ascii="LM Roman 10" w:hAnsi="LM Roman 10"/>
          <w:highlight w:val="yellow"/>
          <w:lang w:val="en-US"/>
        </w:rPr>
        <w:t xml:space="preserve">The LP output forecast path is constructed out to year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deviations from year </w:t>
      </w:r>
      <w:r w:rsidR="001925E7" w:rsidRPr="001925E7">
        <w:rPr>
          <w:rFonts w:ascii="LM Roman 10" w:hAnsi="LM Roman 10"/>
          <w:highlight w:val="yellow"/>
          <w:lang w:val="en-US"/>
        </w:rPr>
        <w:t>1</w:t>
      </w:r>
      <w:r w:rsidRPr="001925E7">
        <w:rPr>
          <w:rFonts w:ascii="LM Roman 10" w:hAnsi="LM Roman 10"/>
          <w:highlight w:val="yellow"/>
          <w:lang w:val="en-US"/>
        </w:rPr>
        <w:t xml:space="preserve"> levels are shown, and also the sum of these deviations, or “lost output”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p w14:paraId="0198EF42" w14:textId="3A5B5621" w:rsidR="00F06A06" w:rsidRDefault="00F06A06" w:rsidP="00F06A06">
      <w:pPr>
        <w:rPr>
          <w:rFonts w:ascii="LM Roman 10" w:hAnsi="LM Roman 10"/>
          <w:lang w:val="en-US"/>
        </w:rPr>
      </w:pPr>
      <w:r w:rsidRPr="001925E7">
        <w:rPr>
          <w:rFonts w:ascii="LM Roman 10" w:hAnsi="LM Roman 10"/>
          <w:lang w:val="en-US"/>
        </w:rPr>
        <w:t>To create a benchmark estimating equation that mimics the standard setup in the literature, the typical LP equation that we estimate has the form:</w:t>
      </w:r>
    </w:p>
    <w:p w14:paraId="5D040D0C" w14:textId="77455C87" w:rsidR="001925E7" w:rsidRPr="00FE5E8C" w:rsidRDefault="00796F7A" w:rsidP="00CE3D77">
      <w:pPr>
        <w:jc w:val="center"/>
        <w:rPr>
          <w:rFonts w:ascii="LM Roman 10" w:hAnsi="LM Roman 10"/>
          <w:lang w:val="en-US"/>
        </w:rPr>
      </w:pPr>
      <m:oMath>
        <m:sSub>
          <m:sSubPr>
            <m:ctrlPr>
              <w:rPr>
                <w:rFonts w:ascii="Cambria Math" w:hAnsi="Cambria Math"/>
                <w:i/>
                <w:lang w:val="en-US"/>
              </w:rPr>
            </m:ctrlPr>
          </m:sSubPr>
          <m:e>
            <m:r>
              <w:rPr>
                <w:rFonts w:ascii="Cambria Math" w:hAnsi="Cambria Math"/>
                <w:lang w:val="en-US"/>
              </w:rPr>
              <m:t>Gini</m:t>
            </m:r>
          </m:e>
          <m:sub>
            <m:r>
              <w:rPr>
                <w:rFonts w:ascii="Cambria Math" w:hAnsi="Cambria Math"/>
                <w:lang w:val="en-US"/>
              </w:rPr>
              <m:t>i.t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h</m:t>
                </m:r>
              </m:sup>
            </m:sSup>
            <m:r>
              <w:rPr>
                <w:rFonts w:ascii="Cambria Math" w:hAnsi="Cambria Math"/>
                <w:lang w:val="en-US"/>
              </w:rPr>
              <m:t>D</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h</m:t>
                    </m:r>
                  </m:sup>
                </m:sSup>
              </m:e>
              <m:sub>
                <m:r>
                  <w:rPr>
                    <w:rFonts w:ascii="Cambria Math" w:hAnsi="Cambria Math"/>
                    <w:lang w:val="en-US"/>
                  </w:rPr>
                  <m:t>LO</m:t>
                </m:r>
              </m:sub>
            </m:sSub>
            <m:r>
              <w:rPr>
                <w:rFonts w:ascii="Cambria Math" w:hAnsi="Cambria Math"/>
                <w:lang w:val="en-US"/>
              </w:rPr>
              <m:t>∆Gini</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h</m:t>
                    </m:r>
                  </m:sup>
                </m:sSup>
              </m:e>
              <m:sub>
                <m:r>
                  <w:rPr>
                    <w:rFonts w:ascii="Cambria Math" w:hAnsi="Cambria Math"/>
                    <w:lang w:val="en-US"/>
                  </w:rPr>
                  <m:t>L1</m:t>
                </m:r>
              </m:sub>
            </m:sSub>
            <m:r>
              <w:rPr>
                <w:rFonts w:ascii="Cambria Math" w:hAnsi="Cambria Math"/>
                <w:lang w:val="en-US"/>
              </w:rPr>
              <m:t>∆y</m:t>
            </m:r>
          </m:e>
          <m:sub>
            <m:r>
              <w:rPr>
                <w:rFonts w:ascii="Cambria Math" w:hAnsi="Cambria Math"/>
                <w:lang w:val="en-US"/>
              </w:rPr>
              <m:t>i.t-1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h</m:t>
                    </m:r>
                  </m:sup>
                </m:sSup>
              </m:e>
              <m:sub>
                <m:r>
                  <w:rPr>
                    <w:rFonts w:ascii="Cambria Math" w:hAnsi="Cambria Math"/>
                    <w:lang w:val="en-US"/>
                  </w:rPr>
                  <m:t>C</m:t>
                </m:r>
              </m:sub>
            </m:sSub>
            <m:r>
              <w:rPr>
                <w:rFonts w:ascii="Cambria Math" w:hAnsi="Cambria Math"/>
                <w:lang w:val="en-US"/>
              </w:rPr>
              <m:t>yg</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ʋ</m:t>
            </m:r>
          </m:e>
          <m:sub>
            <m:r>
              <w:rPr>
                <w:rFonts w:ascii="Cambria Math" w:hAnsi="Cambria Math"/>
                <w:lang w:val="en-US"/>
              </w:rPr>
              <m:t>i.t+h</m:t>
            </m:r>
          </m:sub>
        </m:sSub>
      </m:oMath>
      <w:r w:rsidR="00CE3D77">
        <w:rPr>
          <w:rFonts w:ascii="LM Roman 10" w:hAnsi="LM Roman 10"/>
          <w:lang w:val="en-US"/>
        </w:rPr>
        <w:t xml:space="preserve">   (1)</w:t>
      </w:r>
    </w:p>
    <w:p w14:paraId="17C0D6E9" w14:textId="7B439A5D" w:rsidR="00FE5E8C" w:rsidRPr="001925E7" w:rsidRDefault="00FE5E8C" w:rsidP="00F06A06">
      <w:pPr>
        <w:rPr>
          <w:rFonts w:ascii="LM Roman 10" w:hAnsi="LM Roman 10"/>
          <w:lang w:val="en-US"/>
        </w:rPr>
      </w:pPr>
      <w:r>
        <w:rPr>
          <w:rFonts w:ascii="LM Roman 10" w:hAnsi="LM Roman 10"/>
          <w:lang w:val="en-US"/>
        </w:rPr>
        <w:t>For h=</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Finally, to control for reversion </w:t>
      </w:r>
      <w:r w:rsidR="00CE3D77">
        <w:rPr>
          <w:rFonts w:ascii="LM Roman 10" w:hAnsi="LM Roman 10"/>
          <w:lang w:val="en-US"/>
        </w:rPr>
        <w:t xml:space="preserve">to the potential output trend, the term </w:t>
      </w:r>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r w:rsidR="00CE3D77">
        <w:rPr>
          <w:rFonts w:ascii="LM Roman 10" w:hAnsi="LM Roman 10"/>
          <w:lang w:val="en-US"/>
        </w:rPr>
        <w:t xml:space="preserve"> is the output gap, denoting the cyclical component of GDP, estimated by deviations of log real GDP from an HP trend with a smoothing parameter of 100.</w:t>
      </w:r>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301240"/>
                    </a:xfrm>
                    <a:prstGeom prst="rect">
                      <a:avLst/>
                    </a:prstGeom>
                  </pic:spPr>
                </pic:pic>
              </a:graphicData>
            </a:graphic>
          </wp:inline>
        </w:drawing>
      </w:r>
    </w:p>
    <w:p w14:paraId="3535AC3D" w14:textId="03AE001B" w:rsidR="00F06A06" w:rsidRPr="001925E7" w:rsidRDefault="00F06A06" w:rsidP="00F06A06">
      <w:pPr>
        <w:rPr>
          <w:rFonts w:ascii="LM Roman 10" w:hAnsi="LM Roman 10"/>
          <w:lang w:val="en-US"/>
        </w:rPr>
      </w:pPr>
      <w:r w:rsidRPr="001925E7">
        <w:rPr>
          <w:rFonts w:ascii="LM Roman 10" w:hAnsi="LM Roman 10"/>
          <w:lang w:val="en-US"/>
        </w:rPr>
        <w:t xml:space="preserve">The specification (1) nests the main elements in AA and GLP to facilitate comparisons of our results with theirs. The coefficient </w:t>
      </w:r>
      <w:proofErr w:type="spellStart"/>
      <w:r w:rsidRPr="001925E7">
        <w:rPr>
          <w:rFonts w:ascii="LM Roman 10" w:hAnsi="LM Roman 10"/>
          <w:lang w:val="en-US"/>
        </w:rPr>
        <w:t>Λh</w:t>
      </w:r>
      <w:proofErr w:type="spellEnd"/>
      <w:r w:rsidRPr="001925E7">
        <w:rPr>
          <w:rFonts w:ascii="LM Roman 10" w:hAnsi="LM Roman 10"/>
          <w:lang w:val="en-US"/>
        </w:rPr>
        <w:t xml:space="preserve"> from expression (1) is the parameter governing the impact of the continuous policy treatment measured by </w:t>
      </w:r>
      <w:proofErr w:type="spellStart"/>
      <w:proofErr w:type="gramStart"/>
      <w:r w:rsidRPr="001925E7">
        <w:rPr>
          <w:rFonts w:ascii="LM Roman 10" w:hAnsi="LM Roman 10"/>
          <w:lang w:val="en-US"/>
        </w:rPr>
        <w:t>d.CAPB</w:t>
      </w:r>
      <w:proofErr w:type="spellEnd"/>
      <w:proofErr w:type="gramEnd"/>
      <w:r w:rsidRPr="001925E7">
        <w:rPr>
          <w:rFonts w:ascii="LM Roman 10" w:hAnsi="LM Roman 10"/>
          <w:lang w:val="en-US"/>
        </w:rPr>
        <w:t xml:space="preserve"> and corresponds to the constrained version of expression (7) below in Section 5, where we have rearranged that expression to get a direct estimate of the average response to policy intervention </w:t>
      </w:r>
      <w:proofErr w:type="spellStart"/>
      <w:r w:rsidRPr="001925E7">
        <w:rPr>
          <w:rFonts w:ascii="LM Roman 10" w:hAnsi="LM Roman 10"/>
          <w:lang w:val="en-US"/>
        </w:rPr>
        <w:t>Λh</w:t>
      </w:r>
      <w:proofErr w:type="spellEnd"/>
      <w:r w:rsidRPr="001925E7">
        <w:rPr>
          <w:rFonts w:ascii="LM Roman 10" w:hAnsi="LM Roman 10"/>
          <w:lang w:val="en-US"/>
        </w:rPr>
        <w:t xml:space="preserve"> from the regression output, but it is otherwise specified the same way.</w:t>
      </w:r>
    </w:p>
    <w:p w14:paraId="63D8D100" w14:textId="4DA08AAC" w:rsidR="00F06A06" w:rsidRPr="001925E7" w:rsidRDefault="00F06A06" w:rsidP="00F06A06">
      <w:pPr>
        <w:rPr>
          <w:rFonts w:ascii="LM Roman 10" w:hAnsi="LM Roman 10"/>
          <w:lang w:val="en-US"/>
        </w:rPr>
      </w:pPr>
      <w:r w:rsidRPr="001925E7">
        <w:rPr>
          <w:rFonts w:ascii="LM Roman 10" w:hAnsi="LM Roman 10"/>
          <w:lang w:val="en-US"/>
        </w:rPr>
        <w:t xml:space="preserve">Table 1 reports estimates based on expression (1). Estimated log real GDP impacts (× 100) for each year are reported in columns 1 to 5, and the 5-year sum of the deviations in final column 6. In parallel with the main result in AA, although the effects are economically modest, the data appear to support the notion that fiscal consolidation can be expansionary (especially in the first two years), although the cumulative effect over a five-year period is small and negative. If we focus on multiplier estimates based on large consolidations (i.e., changes in CAPB larger than 1.5 percent of GDP using the </w:t>
      </w:r>
      <w:proofErr w:type="spellStart"/>
      <w:r w:rsidRPr="001925E7">
        <w:rPr>
          <w:rFonts w:ascii="LM Roman 10" w:hAnsi="LM Roman 10"/>
          <w:lang w:val="en-US"/>
        </w:rPr>
        <w:t>Alesina</w:t>
      </w:r>
      <w:proofErr w:type="spellEnd"/>
      <w:r w:rsidRPr="001925E7">
        <w:rPr>
          <w:rFonts w:ascii="LM Roman 10" w:hAnsi="LM Roman 10"/>
          <w:lang w:val="en-US"/>
        </w:rPr>
        <w:t xml:space="preserve"> and </w:t>
      </w:r>
      <w:proofErr w:type="spellStart"/>
      <w:r w:rsidRPr="001925E7">
        <w:rPr>
          <w:rFonts w:ascii="LM Roman 10" w:hAnsi="LM Roman 10"/>
          <w:lang w:val="en-US"/>
        </w:rPr>
        <w:t>Perotti</w:t>
      </w:r>
      <w:proofErr w:type="spellEnd"/>
      <w:r w:rsidRPr="001925E7">
        <w:rPr>
          <w:rFonts w:ascii="LM Roman 10" w:hAnsi="LM Roman 10"/>
          <w:lang w:val="en-US"/>
        </w:rPr>
        <w:t xml:space="preserve"> (1995) and AA cutoff value), then the results are almost identical. Small consolidation packages have a small effect on output, but the estimates are imprecise.</w:t>
      </w:r>
    </w:p>
    <w:p w14:paraId="22F4CAF1" w14:textId="06119A95" w:rsidR="001925E7" w:rsidRPr="001925E7" w:rsidRDefault="001925E7" w:rsidP="001925E7">
      <w:pPr>
        <w:rPr>
          <w:rFonts w:ascii="LM Roman 10" w:hAnsi="LM Roman 10"/>
          <w:lang w:val="en-US"/>
        </w:rPr>
      </w:pPr>
      <w:r w:rsidRPr="001925E7">
        <w:rPr>
          <w:rFonts w:ascii="LM Roman 10" w:hAnsi="LM Roman 10"/>
          <w:lang w:val="en-US"/>
        </w:rPr>
        <w:t xml:space="preserve">Would the picture change much if we broke down the analysis of the impact of consolidation as a function of whether the economy is experiencing a boom or a slump? Estimation was next carried out on two bins of the data to allow responses to be state dependent. We sort on the sign of y C, the time-0 output gap (HP filtered) into “boom” and “slump” bins, to capture conditions at time 0 varying across the cycle. This partition places just over 200 observations in each of the “boom” and “slump” </w:t>
      </w:r>
      <w:r w:rsidRPr="001925E7">
        <w:rPr>
          <w:rFonts w:ascii="LM Roman 10" w:hAnsi="LM Roman 10"/>
          <w:lang w:val="en-US"/>
        </w:rPr>
        <w:lastRenderedPageBreak/>
        <w:t>bins, given the AA-GLP combined dataset with about 450 observations in total, after allowing for observations lost due to lags. Note that this partition is meant to provide a more granular statistical summary of the main features of the data. We are not arguing whether or not a boom or a slump is more likely under a particular choice of fiscal policy or another.</w:t>
      </w:r>
    </w:p>
    <w:sectPr w:rsidR="001925E7" w:rsidRPr="001925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qgUA6COSlCwAAAA="/>
  </w:docVars>
  <w:rsids>
    <w:rsidRoot w:val="000F74BC"/>
    <w:rsid w:val="0004654A"/>
    <w:rsid w:val="000F2F0B"/>
    <w:rsid w:val="000F74BC"/>
    <w:rsid w:val="001925E7"/>
    <w:rsid w:val="00232086"/>
    <w:rsid w:val="005A3C33"/>
    <w:rsid w:val="00785207"/>
    <w:rsid w:val="00796F7A"/>
    <w:rsid w:val="007E6077"/>
    <w:rsid w:val="00887D99"/>
    <w:rsid w:val="00A75DD3"/>
    <w:rsid w:val="00CE3D77"/>
    <w:rsid w:val="00DC22B3"/>
    <w:rsid w:val="00F06A06"/>
    <w:rsid w:val="00F363B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794</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8</cp:revision>
  <dcterms:created xsi:type="dcterms:W3CDTF">2023-11-05T17:33:00Z</dcterms:created>
  <dcterms:modified xsi:type="dcterms:W3CDTF">2023-12-03T13:55:00Z</dcterms:modified>
</cp:coreProperties>
</file>