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0475982"/>
            <w:bookmarkStart w:id="1" w:name="_Hlk162720493"/>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2" w:name="_Hlk162117868"/>
      <w:bookmarkEnd w:id="1"/>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0"/>
    <w:bookmarkEnd w:id="2"/>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3"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3"/>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4"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5"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5"/>
      <w:r w:rsidR="00CE3D77">
        <w:rPr>
          <w:rFonts w:ascii="LM Roman 10" w:hAnsi="LM Roman 10"/>
          <w:lang w:val="en-US"/>
        </w:rPr>
        <w:t xml:space="preserve"> is the output gap, denoting the cyclical component of GDP, estimated by deviations of log real GDP from an HP trend with a smoothing parameter of 100.</w:t>
      </w:r>
      <w:bookmarkEnd w:id="4"/>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r w:rsidRPr="00754F7F">
        <w:rPr>
          <w:rFonts w:ascii="LM Roman 10" w:hAnsi="LM Roman 10"/>
          <w:i/>
          <w:iCs/>
          <w:lang w:val="en-US"/>
        </w:rPr>
        <w:t>y</w:t>
      </w:r>
      <w:r w:rsidRPr="00754F7F">
        <w:rPr>
          <w:rFonts w:ascii="LM Roman 10" w:hAnsi="LM Roman 10"/>
          <w:i/>
          <w:iCs/>
          <w:vertAlign w:val="subscript"/>
          <w:lang w:val="en-US"/>
        </w:rPr>
        <w:t>C</w:t>
      </w:r>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lastRenderedPageBreak/>
              <w:t>Indirect tax</w:t>
            </w:r>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&lt; 0, slump</w:t>
            </w:r>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61E15B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0.0214</w:t>
            </w:r>
            <w:r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Indirect tax</w:t>
            </w:r>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77777777" w:rsidR="00716E9B" w:rsidRDefault="00716E9B" w:rsidP="00596FEA">
      <w:pPr>
        <w:rPr>
          <w:rFonts w:ascii="LM Roman 10" w:hAnsi="LM Roman 10"/>
          <w:lang w:val="en-US"/>
        </w:rPr>
      </w:pP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lastRenderedPageBreak/>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6096" w:type="dxa"/>
        <w:jc w:val="center"/>
        <w:tblCellMar>
          <w:left w:w="70" w:type="dxa"/>
          <w:right w:w="70" w:type="dxa"/>
        </w:tblCellMar>
        <w:tblLook w:val="04A0" w:firstRow="1" w:lastRow="0" w:firstColumn="1" w:lastColumn="0" w:noHBand="0" w:noVBand="1"/>
      </w:tblPr>
      <w:tblGrid>
        <w:gridCol w:w="4210"/>
        <w:gridCol w:w="1035"/>
        <w:gridCol w:w="851"/>
      </w:tblGrid>
      <w:tr w:rsidR="00716E9B" w:rsidRPr="00716E9B" w14:paraId="118F93B5" w14:textId="77777777" w:rsidTr="00B06C7A">
        <w:trPr>
          <w:trHeight w:val="330"/>
          <w:jc w:val="center"/>
        </w:trPr>
        <w:tc>
          <w:tcPr>
            <w:tcW w:w="4210" w:type="dxa"/>
            <w:tcBorders>
              <w:top w:val="single" w:sz="4" w:space="0" w:color="auto"/>
              <w:left w:val="nil"/>
              <w:bottom w:val="single" w:sz="8" w:space="0" w:color="auto"/>
              <w:right w:val="nil"/>
            </w:tcBorders>
            <w:shd w:val="clear" w:color="auto" w:fill="auto"/>
            <w:vAlign w:val="center"/>
            <w:hideMark/>
          </w:tcPr>
          <w:p w14:paraId="35D1DF58" w14:textId="77777777" w:rsidR="00716E9B" w:rsidRPr="00B06C7A" w:rsidRDefault="00716E9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1035" w:type="dxa"/>
            <w:tcBorders>
              <w:top w:val="single" w:sz="4" w:space="0" w:color="auto"/>
              <w:left w:val="nil"/>
              <w:bottom w:val="single" w:sz="8" w:space="0" w:color="auto"/>
              <w:right w:val="nil"/>
            </w:tcBorders>
            <w:shd w:val="clear" w:color="auto" w:fill="auto"/>
            <w:vAlign w:val="center"/>
            <w:hideMark/>
          </w:tcPr>
          <w:p w14:paraId="4F71F8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Difference</w:t>
            </w:r>
          </w:p>
        </w:tc>
        <w:tc>
          <w:tcPr>
            <w:tcW w:w="851" w:type="dxa"/>
            <w:tcBorders>
              <w:top w:val="single" w:sz="4" w:space="0" w:color="auto"/>
              <w:left w:val="nil"/>
              <w:bottom w:val="single" w:sz="8" w:space="0" w:color="auto"/>
              <w:right w:val="nil"/>
            </w:tcBorders>
            <w:shd w:val="clear" w:color="auto" w:fill="auto"/>
            <w:vAlign w:val="center"/>
            <w:hideMark/>
          </w:tcPr>
          <w:p w14:paraId="625FD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B06C7A">
        <w:trPr>
          <w:trHeight w:val="283"/>
          <w:jc w:val="center"/>
        </w:trPr>
        <w:tc>
          <w:tcPr>
            <w:tcW w:w="4210"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Education exp.</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B06C7A">
        <w:trPr>
          <w:trHeight w:val="283"/>
          <w:jc w:val="center"/>
        </w:trPr>
        <w:tc>
          <w:tcPr>
            <w:tcW w:w="4210"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Health exp.</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B06C7A">
        <w:trPr>
          <w:trHeight w:val="283"/>
          <w:jc w:val="center"/>
        </w:trPr>
        <w:tc>
          <w:tcPr>
            <w:tcW w:w="4210"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Payable</w:t>
            </w:r>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B06C7A">
        <w:trPr>
          <w:trHeight w:val="283"/>
          <w:jc w:val="center"/>
        </w:trPr>
        <w:tc>
          <w:tcPr>
            <w:tcW w:w="4210"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In-kind</w:t>
            </w:r>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B06C7A">
        <w:trPr>
          <w:trHeight w:val="283"/>
          <w:jc w:val="center"/>
        </w:trPr>
        <w:tc>
          <w:tcPr>
            <w:tcW w:w="4210"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Ind. taxes</w:t>
            </w:r>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B06C7A">
        <w:trPr>
          <w:trHeight w:val="283"/>
          <w:jc w:val="center"/>
        </w:trPr>
        <w:tc>
          <w:tcPr>
            <w:tcW w:w="4210"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Prop. taxes</w:t>
            </w:r>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B06C7A">
        <w:trPr>
          <w:trHeight w:val="283"/>
          <w:jc w:val="center"/>
        </w:trPr>
        <w:tc>
          <w:tcPr>
            <w:tcW w:w="4210"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851"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5977D8" w14:paraId="5B08FBDA" w14:textId="77777777" w:rsidTr="00B06C7A">
        <w:trPr>
          <w:trHeight w:val="20"/>
          <w:jc w:val="center"/>
        </w:trPr>
        <w:tc>
          <w:tcPr>
            <w:tcW w:w="6096"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bookmarkStart w:id="6" w:name="_Hlk162720070"/>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bookmarkEnd w:id="6"/>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r w:rsidRPr="003E2448">
              <w:rPr>
                <w:rFonts w:ascii="Times New Roman" w:eastAsia="Times New Roman" w:hAnsi="Times New Roman"/>
                <w:i/>
                <w:iCs/>
                <w:color w:val="000000"/>
                <w:sz w:val="18"/>
                <w:szCs w:val="18"/>
              </w:rPr>
              <w:t>Treatment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Education exp.</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Health exp.</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Cash transfers</w:t>
            </w:r>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In-kind transfers</w:t>
            </w:r>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Property tax</w:t>
            </w:r>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Indirect tax</w:t>
            </w:r>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Progressivity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Output growth rate</w:t>
            </w:r>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Treatment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Observations</w:t>
            </w:r>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Model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t xml:space="preserve">To delve deeper into this issue, we conduct an additional examination to determine if omitted controls have predictive power regarding fiscal policy events. Table 7 explores </w:t>
      </w:r>
      <w:r w:rsidRPr="00A708FD">
        <w:rPr>
          <w:rFonts w:ascii="LM Roman 10" w:hAnsi="LM Roman 10"/>
          <w:lang w:val="en-US"/>
        </w:rPr>
        <w:lastRenderedPageBreak/>
        <w:t>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Table 7 evaluates the classification ability of each variable specification. The AUC statistics reveal that the probits demonstrate excellent predictive ability, 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01D789E3" w14:textId="7777777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lastRenderedPageBreak/>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403E40" w:rsidRDefault="00032CED" w:rsidP="00032CED">
            <w:pPr>
              <w:spacing w:after="0" w:line="240" w:lineRule="auto"/>
              <w:rPr>
                <w:rFonts w:ascii="Times New Roman" w:eastAsia="Times New Roman" w:hAnsi="Times New Roman"/>
                <w:i/>
                <w:iCs/>
                <w:color w:val="000000"/>
                <w:sz w:val="18"/>
                <w:szCs w:val="18"/>
                <w:lang w:val="en-US"/>
              </w:rPr>
            </w:pPr>
            <w:bookmarkStart w:id="7" w:name="_Hlk162720460"/>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4</w:t>
            </w:r>
          </w:p>
        </w:tc>
        <w:tc>
          <w:tcPr>
            <w:tcW w:w="1080" w:type="dxa"/>
            <w:tcBorders>
              <w:top w:val="single" w:sz="8" w:space="0" w:color="auto"/>
              <w:left w:val="nil"/>
              <w:bottom w:val="single" w:sz="4" w:space="0" w:color="auto"/>
              <w:right w:val="nil"/>
            </w:tcBorders>
            <w:shd w:val="clear" w:color="auto" w:fill="auto"/>
            <w:hideMark/>
          </w:tcPr>
          <w:p w14:paraId="3B9B0104" w14:textId="12EDE65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5</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Education exp.</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Health exp.</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Cash transfers</w:t>
            </w:r>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In-kind transfers</w:t>
            </w:r>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403E40" w:rsidRPr="00032CED" w14:paraId="45412697" w14:textId="77777777" w:rsidTr="00211C3C">
        <w:trPr>
          <w:trHeight w:val="227"/>
          <w:jc w:val="center"/>
        </w:trPr>
        <w:tc>
          <w:tcPr>
            <w:tcW w:w="1960" w:type="dxa"/>
            <w:tcBorders>
              <w:top w:val="nil"/>
              <w:left w:val="nil"/>
              <w:bottom w:val="nil"/>
              <w:right w:val="nil"/>
            </w:tcBorders>
            <w:shd w:val="clear" w:color="auto" w:fill="auto"/>
            <w:hideMark/>
          </w:tcPr>
          <w:p w14:paraId="36C709A7" w14:textId="6239D34D"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Property taxes</w:t>
            </w:r>
          </w:p>
        </w:tc>
        <w:tc>
          <w:tcPr>
            <w:tcW w:w="1017" w:type="dxa"/>
            <w:tcBorders>
              <w:top w:val="nil"/>
              <w:left w:val="nil"/>
              <w:bottom w:val="nil"/>
              <w:right w:val="nil"/>
            </w:tcBorders>
            <w:shd w:val="clear" w:color="auto" w:fill="auto"/>
            <w:vAlign w:val="center"/>
            <w:hideMark/>
          </w:tcPr>
          <w:p w14:paraId="0CCA1EEB" w14:textId="4D0C0C78"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0.0066</w:t>
            </w:r>
          </w:p>
        </w:tc>
        <w:tc>
          <w:tcPr>
            <w:tcW w:w="880" w:type="dxa"/>
            <w:tcBorders>
              <w:top w:val="nil"/>
              <w:left w:val="nil"/>
              <w:bottom w:val="nil"/>
              <w:right w:val="nil"/>
            </w:tcBorders>
            <w:shd w:val="clear" w:color="auto" w:fill="auto"/>
            <w:vAlign w:val="center"/>
            <w:hideMark/>
          </w:tcPr>
          <w:p w14:paraId="4110C948" w14:textId="616573C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0.0069*</w:t>
            </w:r>
          </w:p>
        </w:tc>
        <w:tc>
          <w:tcPr>
            <w:tcW w:w="880" w:type="dxa"/>
            <w:tcBorders>
              <w:top w:val="nil"/>
              <w:left w:val="nil"/>
              <w:bottom w:val="nil"/>
              <w:right w:val="nil"/>
            </w:tcBorders>
            <w:shd w:val="clear" w:color="auto" w:fill="auto"/>
            <w:vAlign w:val="center"/>
            <w:hideMark/>
          </w:tcPr>
          <w:p w14:paraId="3C069391" w14:textId="2314DF74"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0.0065*</w:t>
            </w:r>
          </w:p>
        </w:tc>
        <w:tc>
          <w:tcPr>
            <w:tcW w:w="980" w:type="dxa"/>
            <w:tcBorders>
              <w:top w:val="nil"/>
              <w:left w:val="nil"/>
              <w:bottom w:val="nil"/>
              <w:right w:val="nil"/>
            </w:tcBorders>
            <w:shd w:val="clear" w:color="auto" w:fill="auto"/>
            <w:vAlign w:val="center"/>
            <w:hideMark/>
          </w:tcPr>
          <w:p w14:paraId="6357F54B" w14:textId="42C2E539"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0.0067*</w:t>
            </w:r>
          </w:p>
        </w:tc>
        <w:tc>
          <w:tcPr>
            <w:tcW w:w="1080" w:type="dxa"/>
            <w:tcBorders>
              <w:top w:val="nil"/>
              <w:left w:val="nil"/>
              <w:bottom w:val="nil"/>
              <w:right w:val="nil"/>
            </w:tcBorders>
            <w:shd w:val="clear" w:color="auto" w:fill="auto"/>
            <w:vAlign w:val="center"/>
            <w:hideMark/>
          </w:tcPr>
          <w:p w14:paraId="406A335C" w14:textId="48C762A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0.0056</w:t>
            </w:r>
          </w:p>
        </w:tc>
      </w:tr>
      <w:tr w:rsidR="00403E40" w:rsidRPr="00032CED" w14:paraId="7F600C73"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0DB4EDD7" w14:textId="3E1DD45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71150CF8" w14:textId="620BB2B3"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4F9F8B51" w14:textId="07DE23C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36B07AC4" w14:textId="560C53B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2B6290F7" w14:textId="79BB30E2"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r>
      <w:tr w:rsidR="00403E40" w:rsidRPr="00032CED" w14:paraId="0CD36873" w14:textId="77777777" w:rsidTr="00211C3C">
        <w:trPr>
          <w:trHeight w:val="227"/>
          <w:jc w:val="center"/>
        </w:trPr>
        <w:tc>
          <w:tcPr>
            <w:tcW w:w="1960" w:type="dxa"/>
            <w:tcBorders>
              <w:top w:val="nil"/>
              <w:left w:val="nil"/>
              <w:bottom w:val="nil"/>
              <w:right w:val="nil"/>
            </w:tcBorders>
            <w:shd w:val="clear" w:color="auto" w:fill="auto"/>
            <w:hideMark/>
          </w:tcPr>
          <w:p w14:paraId="22CA84E0" w14:textId="16A1CC01"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Indirect taxes</w:t>
            </w:r>
          </w:p>
        </w:tc>
        <w:tc>
          <w:tcPr>
            <w:tcW w:w="1017" w:type="dxa"/>
            <w:tcBorders>
              <w:top w:val="nil"/>
              <w:left w:val="nil"/>
              <w:bottom w:val="nil"/>
              <w:right w:val="nil"/>
            </w:tcBorders>
            <w:shd w:val="clear" w:color="auto" w:fill="auto"/>
            <w:vAlign w:val="center"/>
            <w:hideMark/>
          </w:tcPr>
          <w:p w14:paraId="4E584AD5" w14:textId="30C15B3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w:t>
            </w:r>
          </w:p>
        </w:tc>
        <w:tc>
          <w:tcPr>
            <w:tcW w:w="880" w:type="dxa"/>
            <w:tcBorders>
              <w:top w:val="nil"/>
              <w:left w:val="nil"/>
              <w:bottom w:val="nil"/>
              <w:right w:val="nil"/>
            </w:tcBorders>
            <w:shd w:val="clear" w:color="auto" w:fill="auto"/>
            <w:vAlign w:val="center"/>
            <w:hideMark/>
          </w:tcPr>
          <w:p w14:paraId="2C3BB5D5" w14:textId="1C6B337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-0.0023</w:t>
            </w:r>
          </w:p>
        </w:tc>
        <w:tc>
          <w:tcPr>
            <w:tcW w:w="880" w:type="dxa"/>
            <w:tcBorders>
              <w:top w:val="nil"/>
              <w:left w:val="nil"/>
              <w:bottom w:val="nil"/>
              <w:right w:val="nil"/>
            </w:tcBorders>
            <w:shd w:val="clear" w:color="auto" w:fill="auto"/>
            <w:vAlign w:val="center"/>
            <w:hideMark/>
          </w:tcPr>
          <w:p w14:paraId="09BB67CD" w14:textId="1EAF1A72"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w:t>
            </w:r>
          </w:p>
        </w:tc>
        <w:tc>
          <w:tcPr>
            <w:tcW w:w="980" w:type="dxa"/>
            <w:tcBorders>
              <w:top w:val="nil"/>
              <w:left w:val="nil"/>
              <w:bottom w:val="nil"/>
              <w:right w:val="nil"/>
            </w:tcBorders>
            <w:shd w:val="clear" w:color="auto" w:fill="auto"/>
            <w:vAlign w:val="center"/>
            <w:hideMark/>
          </w:tcPr>
          <w:p w14:paraId="7589D885" w14:textId="262CD9A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0.0002</w:t>
            </w:r>
          </w:p>
        </w:tc>
        <w:tc>
          <w:tcPr>
            <w:tcW w:w="1080" w:type="dxa"/>
            <w:tcBorders>
              <w:top w:val="nil"/>
              <w:left w:val="nil"/>
              <w:bottom w:val="nil"/>
              <w:right w:val="nil"/>
            </w:tcBorders>
            <w:shd w:val="clear" w:color="auto" w:fill="auto"/>
            <w:vAlign w:val="center"/>
            <w:hideMark/>
          </w:tcPr>
          <w:p w14:paraId="4444573C" w14:textId="3A08F2B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0.0009</w:t>
            </w:r>
          </w:p>
        </w:tc>
      </w:tr>
      <w:tr w:rsidR="00403E40" w:rsidRPr="00032CED" w14:paraId="33D5043C"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24B0A4BA" w14:textId="2626EB4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27AC3536" w14:textId="20D337AD"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14821097" w14:textId="787DA98B"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5CC33EA1" w14:textId="0FE4C2A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49469528" w14:textId="63456E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r>
      <w:tr w:rsidR="00403E40" w:rsidRPr="00032CED" w14:paraId="3DBDE50D" w14:textId="77777777" w:rsidTr="00211C3C">
        <w:trPr>
          <w:trHeight w:val="227"/>
          <w:jc w:val="center"/>
        </w:trPr>
        <w:tc>
          <w:tcPr>
            <w:tcW w:w="1960" w:type="dxa"/>
            <w:tcBorders>
              <w:top w:val="nil"/>
              <w:left w:val="nil"/>
              <w:bottom w:val="nil"/>
              <w:right w:val="nil"/>
            </w:tcBorders>
            <w:shd w:val="clear" w:color="auto" w:fill="auto"/>
            <w:hideMark/>
          </w:tcPr>
          <w:p w14:paraId="0E10506F" w14:textId="616F6218"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Progressivity Inc tax</w:t>
            </w:r>
          </w:p>
        </w:tc>
        <w:tc>
          <w:tcPr>
            <w:tcW w:w="1017" w:type="dxa"/>
            <w:tcBorders>
              <w:top w:val="nil"/>
              <w:left w:val="nil"/>
              <w:bottom w:val="nil"/>
              <w:right w:val="nil"/>
            </w:tcBorders>
            <w:shd w:val="clear" w:color="auto" w:fill="auto"/>
            <w:vAlign w:val="center"/>
            <w:hideMark/>
          </w:tcPr>
          <w:p w14:paraId="22EA759D" w14:textId="1C7C3496"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0.0031</w:t>
            </w:r>
          </w:p>
        </w:tc>
        <w:tc>
          <w:tcPr>
            <w:tcW w:w="880" w:type="dxa"/>
            <w:tcBorders>
              <w:top w:val="nil"/>
              <w:left w:val="nil"/>
              <w:bottom w:val="nil"/>
              <w:right w:val="nil"/>
            </w:tcBorders>
            <w:shd w:val="clear" w:color="auto" w:fill="auto"/>
            <w:vAlign w:val="center"/>
            <w:hideMark/>
          </w:tcPr>
          <w:p w14:paraId="17AEBFDC" w14:textId="0F8F7AB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vAlign w:val="center"/>
            <w:hideMark/>
          </w:tcPr>
          <w:p w14:paraId="26031AC3" w14:textId="2DA0DDA1"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-0.0015</w:t>
            </w:r>
          </w:p>
        </w:tc>
        <w:tc>
          <w:tcPr>
            <w:tcW w:w="980" w:type="dxa"/>
            <w:tcBorders>
              <w:top w:val="nil"/>
              <w:left w:val="nil"/>
              <w:bottom w:val="nil"/>
              <w:right w:val="nil"/>
            </w:tcBorders>
            <w:shd w:val="clear" w:color="auto" w:fill="auto"/>
            <w:vAlign w:val="center"/>
            <w:hideMark/>
          </w:tcPr>
          <w:p w14:paraId="60267B63" w14:textId="6DD5C24A"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-0.0025</w:t>
            </w:r>
          </w:p>
        </w:tc>
        <w:tc>
          <w:tcPr>
            <w:tcW w:w="1080" w:type="dxa"/>
            <w:tcBorders>
              <w:top w:val="nil"/>
              <w:left w:val="nil"/>
              <w:bottom w:val="nil"/>
              <w:right w:val="nil"/>
            </w:tcBorders>
            <w:shd w:val="clear" w:color="auto" w:fill="auto"/>
            <w:vAlign w:val="center"/>
            <w:hideMark/>
          </w:tcPr>
          <w:p w14:paraId="3F5868EB" w14:textId="4ECBA77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-0.0017</w:t>
            </w:r>
          </w:p>
        </w:tc>
      </w:tr>
      <w:tr w:rsidR="00403E40" w:rsidRPr="00032CED" w14:paraId="037DCC95" w14:textId="77777777" w:rsidTr="00211C3C">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vAlign w:val="center"/>
            <w:hideMark/>
          </w:tcPr>
          <w:p w14:paraId="26005100" w14:textId="58ED641F"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-0.0042</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753029B0" w14:textId="2106E6DC"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53BC4A16" w14:textId="4735DD75"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vAlign w:val="center"/>
            <w:hideMark/>
          </w:tcPr>
          <w:p w14:paraId="7972FF49" w14:textId="3E604F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vAlign w:val="center"/>
            <w:hideMark/>
          </w:tcPr>
          <w:p w14:paraId="4BB896CB" w14:textId="3EE7F241"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bookmarkEnd w:id="7"/>
    </w:tbl>
    <w:p w14:paraId="1A3C0B63" w14:textId="05BE0175" w:rsidR="007979A2" w:rsidRPr="00032CED" w:rsidRDefault="007979A2" w:rsidP="00217435">
      <w:pPr>
        <w:rPr>
          <w:rFonts w:ascii="LM Roman 10" w:hAnsi="LM Roman 10"/>
          <w:lang w:val="en-US"/>
        </w:rPr>
      </w:pPr>
    </w:p>
    <w:p w14:paraId="654A9575" w14:textId="79548CEE" w:rsidR="00D846E2" w:rsidRDefault="00D846E2" w:rsidP="00217435">
      <w:pPr>
        <w:rPr>
          <w:rFonts w:ascii="LM Roman 10" w:hAnsi="LM Roman 10"/>
          <w:lang w:val="en-US"/>
        </w:rPr>
      </w:pPr>
    </w:p>
    <w:p w14:paraId="3F350759" w14:textId="5403557F" w:rsidR="006F2FAC" w:rsidRDefault="00D846E2" w:rsidP="00217435">
      <w:pPr>
        <w:rPr>
          <w:rFonts w:ascii="LM Roman 10" w:hAnsi="LM Roman 10"/>
          <w:lang w:val="en-US"/>
        </w:rPr>
      </w:pPr>
      <w:r w:rsidRPr="00D846E2">
        <w:rPr>
          <w:rFonts w:ascii="LM Roman 10" w:hAnsi="LM Roman 10"/>
          <w:lang w:val="en-US"/>
        </w:rPr>
        <w:t>We begin by discussing Table 8, which is the direct counterpart to the OLS result in Tables 1. Here we show the ATE of fiscal consolidation using the AIPW estimator (</w:t>
      </w:r>
      <w:r w:rsidRPr="005D1783">
        <w:rPr>
          <w:rFonts w:ascii="LM Roman 10" w:hAnsi="LM Roman 10"/>
          <w:highlight w:val="yellow"/>
          <w:lang w:val="en-US"/>
        </w:rPr>
        <w:t>18</w:t>
      </w:r>
      <w:r w:rsidR="005D1783" w:rsidRPr="005D1783">
        <w:rPr>
          <w:rFonts w:ascii="LM Roman 10" w:hAnsi="LM Roman 10"/>
          <w:highlight w:val="yellow"/>
          <w:lang w:val="en-US"/>
        </w:rPr>
        <w:t xml:space="preserve"> XX in my paper</w:t>
      </w:r>
      <w:r w:rsidRPr="00D846E2">
        <w:rPr>
          <w:rFonts w:ascii="LM Roman 10" w:hAnsi="LM Roman 10"/>
          <w:lang w:val="en-US"/>
        </w:rPr>
        <w:t>), for the full sample and using the propensity score estimates based on the saturated probit.</w:t>
      </w:r>
      <w:r w:rsidR="006F2FAC">
        <w:rPr>
          <w:rFonts w:ascii="LM Roman 10" w:hAnsi="LM Roman 10"/>
          <w:lang w:val="en-US"/>
        </w:rPr>
        <w:t xml:space="preserve"> </w:t>
      </w:r>
      <w:r w:rsidRPr="00D846E2">
        <w:rPr>
          <w:rFonts w:ascii="LM Roman 10" w:hAnsi="LM Roman 10"/>
          <w:lang w:val="en-US"/>
        </w:rPr>
        <w:t>Table 8 is organized into two rows</w:t>
      </w:r>
      <w:r w:rsidR="00ED051C">
        <w:rPr>
          <w:rFonts w:ascii="LM Roman 10" w:hAnsi="LM Roman 10"/>
          <w:lang w:val="en-US"/>
        </w:rPr>
        <w:t xml:space="preserve"> for all the treatment variables, e</w:t>
      </w:r>
      <w:r w:rsidR="00ED051C" w:rsidRPr="00ED051C">
        <w:rPr>
          <w:rFonts w:ascii="LM Roman 10" w:hAnsi="LM Roman 10"/>
          <w:lang w:val="en-US"/>
        </w:rPr>
        <w:t xml:space="preserve">ach </w:t>
      </w:r>
      <w:r w:rsidR="00ED051C">
        <w:rPr>
          <w:rFonts w:ascii="LM Roman 10" w:hAnsi="LM Roman 10"/>
          <w:lang w:val="en-US"/>
        </w:rPr>
        <w:t xml:space="preserve">line separation </w:t>
      </w:r>
      <w:r w:rsidR="00ED051C" w:rsidRPr="00ED051C">
        <w:rPr>
          <w:rFonts w:ascii="LM Roman 10" w:hAnsi="LM Roman 10"/>
          <w:lang w:val="en-US"/>
        </w:rPr>
        <w:t>corresponds to an individual estimation along with its respective result</w:t>
      </w:r>
      <w:r w:rsidR="00ED051C">
        <w:rPr>
          <w:rFonts w:ascii="LM Roman 10" w:hAnsi="LM Roman 10"/>
          <w:lang w:val="en-US"/>
        </w:rPr>
        <w:t xml:space="preserve">, Table 8 </w:t>
      </w:r>
      <w:r w:rsidRPr="00D846E2">
        <w:rPr>
          <w:rFonts w:ascii="LM Roman 10" w:hAnsi="LM Roman 10"/>
          <w:lang w:val="en-US"/>
        </w:rPr>
        <w:t xml:space="preserve">reports the </w:t>
      </w:r>
      <w:r w:rsidR="00ED051C">
        <w:rPr>
          <w:rFonts w:ascii="LM Roman 10" w:hAnsi="LM Roman 10"/>
          <w:lang w:val="en-US"/>
        </w:rPr>
        <w:t>un</w:t>
      </w:r>
      <w:r w:rsidR="00ED051C" w:rsidRPr="00D846E2">
        <w:rPr>
          <w:rFonts w:ascii="LM Roman 10" w:hAnsi="LM Roman 10"/>
          <w:lang w:val="en-US"/>
        </w:rPr>
        <w:t>restricting</w:t>
      </w:r>
      <w:r w:rsidRPr="00D846E2">
        <w:rPr>
          <w:rFonts w:ascii="LM Roman 10" w:hAnsi="LM Roman 10"/>
          <w:lang w:val="en-US"/>
        </w:rPr>
        <w:t xml:space="preserve"> </w:t>
      </w:r>
      <w:r w:rsidR="00ED051C">
        <w:rPr>
          <w:rFonts w:ascii="LM Roman 10" w:hAnsi="LM Roman 10"/>
          <w:lang w:val="en-US"/>
        </w:rPr>
        <w:t xml:space="preserve">specification </w:t>
      </w:r>
      <m:oMath>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h</m:t>
            </m:r>
          </m:sup>
        </m:sSubSup>
      </m:oMath>
      <w:r w:rsidRPr="00D846E2">
        <w:rPr>
          <w:rFonts w:ascii="LM Roman 10" w:hAnsi="LM Roman 10"/>
          <w:lang w:val="en-US"/>
        </w:rPr>
        <w:t>,</w:t>
      </w:r>
      <w:r w:rsidR="00ED051C">
        <w:rPr>
          <w:rFonts w:ascii="LM Roman 10" w:hAnsi="LM Roman 10"/>
          <w:lang w:val="en-US"/>
        </w:rPr>
        <w:t xml:space="preserve"> which is</w:t>
      </w:r>
      <w:r w:rsidRPr="00D846E2">
        <w:rPr>
          <w:rFonts w:ascii="LM Roman 10" w:hAnsi="LM Roman 10"/>
          <w:lang w:val="en-US"/>
        </w:rPr>
        <w:t xml:space="preserve"> the usual restriction used in the macro-VAR empirical literature. </w:t>
      </w:r>
    </w:p>
    <w:p w14:paraId="329594EF" w14:textId="77777777" w:rsidR="001572E0" w:rsidRDefault="00D846E2" w:rsidP="00217435">
      <w:pPr>
        <w:rPr>
          <w:rFonts w:ascii="LM Roman 10" w:hAnsi="LM Roman 10"/>
          <w:lang w:val="en-US"/>
        </w:rPr>
      </w:pPr>
      <w:r w:rsidRPr="00D846E2">
        <w:rPr>
          <w:rFonts w:ascii="LM Roman 10" w:hAnsi="LM Roman 10"/>
          <w:lang w:val="en-US"/>
        </w:rPr>
        <w:t xml:space="preserve">The results are qualitatively </w:t>
      </w:r>
      <w:r w:rsidR="006449C5">
        <w:rPr>
          <w:rFonts w:ascii="LM Roman 10" w:hAnsi="LM Roman 10"/>
          <w:lang w:val="en-US"/>
        </w:rPr>
        <w:t>contradictory</w:t>
      </w:r>
      <w:r w:rsidRPr="00D846E2">
        <w:rPr>
          <w:rFonts w:ascii="LM Roman 10" w:hAnsi="LM Roman 10"/>
          <w:lang w:val="en-US"/>
        </w:rPr>
        <w:t xml:space="preserve"> to those reported in Table </w:t>
      </w:r>
      <w:r w:rsidR="001572E0">
        <w:rPr>
          <w:rFonts w:ascii="LM Roman 10" w:hAnsi="LM Roman 10"/>
          <w:lang w:val="en-US"/>
        </w:rPr>
        <w:t>1</w:t>
      </w:r>
      <w:r w:rsidRPr="00D846E2">
        <w:rPr>
          <w:rFonts w:ascii="LM Roman 10" w:hAnsi="LM Roman 10"/>
          <w:lang w:val="en-US"/>
        </w:rPr>
        <w:t xml:space="preserve"> in that we find </w:t>
      </w:r>
      <w:r w:rsidR="001572E0">
        <w:rPr>
          <w:rFonts w:ascii="LM Roman 10" w:hAnsi="LM Roman 10"/>
          <w:lang w:val="en-US"/>
        </w:rPr>
        <w:t>that education and health expenditure are not significant;</w:t>
      </w:r>
      <w:r w:rsidRPr="00D846E2">
        <w:rPr>
          <w:rFonts w:ascii="LM Roman 10" w:hAnsi="LM Roman 10"/>
          <w:lang w:val="en-US"/>
        </w:rPr>
        <w:t xml:space="preserve"> </w:t>
      </w:r>
      <w:r w:rsidR="001572E0">
        <w:rPr>
          <w:rFonts w:ascii="LM Roman 10" w:hAnsi="LM Roman 10"/>
          <w:lang w:val="en-US"/>
        </w:rPr>
        <w:t>h</w:t>
      </w:r>
      <w:r w:rsidRPr="00D846E2">
        <w:rPr>
          <w:rFonts w:ascii="LM Roman 10" w:hAnsi="LM Roman 10"/>
          <w:lang w:val="en-US"/>
        </w:rPr>
        <w:t xml:space="preserve">owever, the estimated impact of </w:t>
      </w:r>
      <w:r w:rsidR="001572E0">
        <w:rPr>
          <w:rFonts w:ascii="LM Roman 10" w:hAnsi="LM Roman 10"/>
          <w:lang w:val="en-US"/>
        </w:rPr>
        <w:t xml:space="preserve">in-cash transfer </w:t>
      </w:r>
      <w:r w:rsidRPr="00D846E2">
        <w:rPr>
          <w:rFonts w:ascii="LM Roman 10" w:hAnsi="LM Roman 10"/>
          <w:lang w:val="en-US"/>
        </w:rPr>
        <w:t xml:space="preserve">on </w:t>
      </w:r>
      <w:r w:rsidR="001572E0">
        <w:rPr>
          <w:rFonts w:ascii="LM Roman 10" w:hAnsi="LM Roman 10"/>
          <w:lang w:val="en-US"/>
        </w:rPr>
        <w:t xml:space="preserve">inequality index are similar but on different periods, and the OLS results are </w:t>
      </w:r>
      <w:r w:rsidRPr="00D846E2">
        <w:rPr>
          <w:rFonts w:ascii="LM Roman 10" w:hAnsi="LM Roman 10"/>
          <w:lang w:val="en-US"/>
        </w:rPr>
        <w:t>bigger</w:t>
      </w:r>
      <w:r w:rsidRPr="001572E0">
        <w:rPr>
          <w:rFonts w:ascii="LM Roman 10" w:hAnsi="LM Roman 10"/>
          <w:highlight w:val="yellow"/>
          <w:lang w:val="en-US"/>
        </w:rPr>
        <w:t>. Recall that according to the IV estimates, the accumulated loss over five years was-2.94∗∗∗. This would imply an average annual real GDP loss of about 0.59% of GDP per 1% of fiscal consolidation over each of the 5 years</w:t>
      </w:r>
      <w:r w:rsidRPr="00D846E2">
        <w:rPr>
          <w:rFonts w:ascii="LM Roman 10" w:hAnsi="LM Roman 10"/>
          <w:lang w:val="en-US"/>
        </w:rPr>
        <w:t xml:space="preserve">. </w:t>
      </w:r>
      <w:r w:rsidRPr="001572E0">
        <w:rPr>
          <w:rFonts w:ascii="LM Roman 10" w:hAnsi="LM Roman 10"/>
          <w:highlight w:val="yellow"/>
          <w:lang w:val="en-US"/>
        </w:rPr>
        <w:t>Here our AIPW estimate with unrestricted coefficients has a sum effect of-3.61∗∗∗ over 5 years. This would imply an average annual real GDP loss of about 0.74% of GDP per 1% of fiscal consolidation over each of the 5 years (using a 1/0.97 rescaling factor).</w:t>
      </w:r>
      <w:r w:rsidRPr="00D846E2">
        <w:rPr>
          <w:rFonts w:ascii="LM Roman 10" w:hAnsi="LM Roman 10"/>
          <w:lang w:val="en-US"/>
        </w:rPr>
        <w:t xml:space="preserve"> </w:t>
      </w:r>
    </w:p>
    <w:p w14:paraId="6AFE1189" w14:textId="5E8933B6" w:rsidR="007E589B" w:rsidRDefault="001572E0" w:rsidP="00217435">
      <w:pPr>
        <w:rPr>
          <w:rFonts w:ascii="LM Roman 10" w:hAnsi="LM Roman 10"/>
          <w:lang w:val="en-US"/>
        </w:rPr>
      </w:pPr>
      <w:r>
        <w:rPr>
          <w:rFonts w:ascii="LM Roman 10" w:hAnsi="LM Roman 10"/>
          <w:lang w:val="en-US"/>
        </w:rPr>
        <w:t>On the other side, the results for in-kind transfers don’t share the same impact on inequality</w:t>
      </w:r>
      <w:r w:rsidR="007E589B">
        <w:rPr>
          <w:rFonts w:ascii="LM Roman 10" w:hAnsi="LM Roman 10"/>
          <w:lang w:val="en-US"/>
        </w:rPr>
        <w:t xml:space="preserve">, also the AIPW estimates are a little higher. To continue with the rest of variables, </w:t>
      </w:r>
      <w:r w:rsidR="00DB2BA9">
        <w:rPr>
          <w:rFonts w:ascii="LM Roman 10" w:hAnsi="LM Roman 10"/>
          <w:lang w:val="en-US"/>
        </w:rPr>
        <w:t>for the AIPW model, indirect taxes and progressivity are not significant, and regarding the property taxes, the impact is similar even with the same size, but on different periods.</w:t>
      </w:r>
    </w:p>
    <w:p w14:paraId="33BA62E6" w14:textId="77777777" w:rsidR="007E589B" w:rsidRDefault="007E589B" w:rsidP="00217435">
      <w:pPr>
        <w:rPr>
          <w:rFonts w:ascii="LM Roman 10" w:hAnsi="LM Roman 10"/>
          <w:lang w:val="en-US"/>
        </w:rPr>
      </w:pPr>
    </w:p>
    <w:p w14:paraId="3BAF8816" w14:textId="2FF3B6D9" w:rsidR="00D846E2" w:rsidRPr="00D846E2" w:rsidRDefault="00D846E2" w:rsidP="00217435">
      <w:pPr>
        <w:rPr>
          <w:rFonts w:ascii="LM Roman 10" w:hAnsi="LM Roman 10"/>
          <w:lang w:val="en-US"/>
        </w:rPr>
      </w:pPr>
      <w:r w:rsidRPr="00D846E2">
        <w:rPr>
          <w:rFonts w:ascii="LM Roman 10" w:hAnsi="LM Roman 10"/>
          <w:lang w:val="en-US"/>
        </w:rPr>
        <w:t xml:space="preserve">Next, we once again explore the same partition of the data into booms and slumps, allocating to the bins according to whether output is above or below trend as in earlier </w:t>
      </w:r>
      <w:r w:rsidRPr="00D846E2">
        <w:rPr>
          <w:rFonts w:ascii="LM Roman 10" w:hAnsi="LM Roman 10"/>
          <w:lang w:val="en-US"/>
        </w:rPr>
        <w:lastRenderedPageBreak/>
        <w:t>sections to provide a more granular view of these results, and Table 9 presents these AIPW estimates based on the same saturated policy propensity score probit model described earlier. These results show that in a boom a fiscal consolidation has on average a small, negative, but imprecisely estimated effect. The first row of the table indicates that the accumulated loss over five years is-1.80 percent of GDP. In a slump, the results are about three times as strong and highly statistically significant: over five years, the accumulated loss is-3.54∗∗ percent of GDP, as shown in the second row of the table. Scaling these effects for the average treatment size (0.97 percent of GDP) the average loss per 1% fiscal consolidation is 0.37% of GDP per year over the five-year window in booms, and 0.73% of GDP per year in slumps. Summing up our LP results, we always find more adverse paths when austerity is imposed in slumps rather than in booms, but there are sometimes big differences across specifications. OLS suggests that austerity might have a small and imprecisely estimated expansionary effect, although a more granular view indicates that even then, this result holds only in booms. Using the “narrative” instrument we would walk away believing more firmly that austerity is contractionary. The estimated effect with IV is relatively small and imprecisely estimated for the boom, but stronger and significant in the slump, adding up to a loss of-3.3% of output over 5 years for the typical consolidation. Finally, using the AIPW estimator we find even larger contractionary effects of austerity, still not statistically significant in booms, and amounting to-3.5% over 5 years in slumps. One may quibble that the size of the consolidation should also be taken into consideration.</w:t>
      </w:r>
    </w:p>
    <w:p w14:paraId="4A74546D" w14:textId="27EA3673" w:rsidR="00D846E2" w:rsidRDefault="00D846E2" w:rsidP="00217435">
      <w:pPr>
        <w:rPr>
          <w:rFonts w:ascii="LM Roman 10" w:hAnsi="LM Roman 10"/>
          <w:lang w:val="en-US"/>
        </w:rPr>
      </w:pPr>
      <w:r w:rsidRPr="00D846E2">
        <w:rPr>
          <w:rFonts w:ascii="LM Roman 10" w:hAnsi="LM Roman 10"/>
          <w:lang w:val="en-US"/>
        </w:rPr>
        <w:t xml:space="preserve">In principle, this is a valid concern. However, in practice this would mean extending the space of discrete interventions. Given the data, there would be too few observations to obtain robust results (and in some cases, insufficient data to estimate the desired effects). Fortunately, as we have discussed earlier, fiscal consolidations typically average about one percent relative to GDP with a tight range of variation, which greatly facilitates the interpretability of our findings. 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The next section puts our new results to work in the context of the austerity program launched in UK by the Coalition administration in 2010, to show how our analysis can be used in practice. Moreover, by putting our results in a realistic situation outside the sample used for estimation, we obtain a feel for how well </w:t>
      </w:r>
      <w:r w:rsidRPr="00D846E2">
        <w:rPr>
          <w:rFonts w:ascii="LM Roman 10" w:hAnsi="LM Roman 10"/>
          <w:lang w:val="en-US"/>
        </w:rPr>
        <w:lastRenderedPageBreak/>
        <w:t>calibrated our findings are to the recent macroeconomic experience of a representative economy from our sample.</w:t>
      </w:r>
    </w:p>
    <w:p w14:paraId="5F379438" w14:textId="02DAC15C" w:rsidR="002C001E" w:rsidRDefault="002C001E" w:rsidP="00217435">
      <w:pPr>
        <w:rPr>
          <w:rFonts w:ascii="LM Roman 10" w:hAnsi="LM Roman 10"/>
          <w:lang w:val="en-US"/>
        </w:rPr>
      </w:pPr>
    </w:p>
    <w:p w14:paraId="1D38A4EA" w14:textId="77777777" w:rsidR="005977D8" w:rsidRDefault="005977D8" w:rsidP="00217435">
      <w:pPr>
        <w:rPr>
          <w:rFonts w:ascii="LM Roman 10" w:hAnsi="LM Roman 10"/>
          <w:lang w:val="en-US"/>
        </w:r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5977D8" w:rsidRPr="002C001E" w14:paraId="57D462F3" w14:textId="77777777" w:rsidTr="007F2AD3">
        <w:trPr>
          <w:trHeight w:val="227"/>
          <w:jc w:val="center"/>
        </w:trPr>
        <w:tc>
          <w:tcPr>
            <w:tcW w:w="5760" w:type="dxa"/>
            <w:gridSpan w:val="6"/>
            <w:tcBorders>
              <w:top w:val="single" w:sz="8" w:space="0" w:color="auto"/>
              <w:left w:val="nil"/>
              <w:bottom w:val="nil"/>
              <w:right w:val="nil"/>
            </w:tcBorders>
            <w:shd w:val="clear" w:color="auto" w:fill="auto"/>
            <w:vAlign w:val="center"/>
          </w:tcPr>
          <w:p w14:paraId="42627FFA" w14:textId="0C3A2543"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Boom</w:t>
            </w:r>
          </w:p>
        </w:tc>
      </w:tr>
      <w:tr w:rsidR="002C001E" w:rsidRPr="002C001E" w14:paraId="1EF26398" w14:textId="77777777" w:rsidTr="002C001E">
        <w:trPr>
          <w:trHeight w:val="227"/>
          <w:jc w:val="center"/>
        </w:trPr>
        <w:tc>
          <w:tcPr>
            <w:tcW w:w="960" w:type="dxa"/>
            <w:tcBorders>
              <w:top w:val="single" w:sz="8" w:space="0" w:color="auto"/>
              <w:left w:val="nil"/>
              <w:bottom w:val="nil"/>
              <w:right w:val="nil"/>
            </w:tcBorders>
            <w:shd w:val="clear" w:color="auto" w:fill="auto"/>
            <w:vAlign w:val="center"/>
            <w:hideMark/>
          </w:tcPr>
          <w:p w14:paraId="2FF3EE5C" w14:textId="135763DD" w:rsidR="002C001E" w:rsidRPr="005977D8" w:rsidRDefault="002C001E" w:rsidP="002C001E">
            <w:pPr>
              <w:spacing w:after="0" w:line="240" w:lineRule="auto"/>
              <w:rPr>
                <w:rFonts w:ascii="Calibri" w:eastAsia="Times New Roman" w:hAnsi="Calibri" w:cs="Calibri"/>
                <w:color w:val="000000"/>
                <w:sz w:val="18"/>
                <w:szCs w:val="18"/>
                <w:u w:val="single"/>
                <w:lang w:val="en-US"/>
              </w:rPr>
            </w:pPr>
          </w:p>
        </w:tc>
        <w:tc>
          <w:tcPr>
            <w:tcW w:w="960" w:type="dxa"/>
            <w:tcBorders>
              <w:top w:val="single" w:sz="8" w:space="0" w:color="auto"/>
              <w:left w:val="nil"/>
              <w:bottom w:val="single" w:sz="4" w:space="0" w:color="auto"/>
              <w:right w:val="nil"/>
            </w:tcBorders>
            <w:shd w:val="clear" w:color="auto" w:fill="auto"/>
            <w:vAlign w:val="center"/>
            <w:hideMark/>
          </w:tcPr>
          <w:p w14:paraId="3C0C0D7F"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356EA551"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70C8E8A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6691E21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059ACE8B"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5</w:t>
            </w:r>
          </w:p>
        </w:tc>
      </w:tr>
      <w:tr w:rsidR="002C001E" w:rsidRPr="002C001E" w14:paraId="09EC42F0" w14:textId="77777777" w:rsidTr="002C001E">
        <w:trPr>
          <w:trHeight w:val="227"/>
          <w:jc w:val="center"/>
        </w:trPr>
        <w:tc>
          <w:tcPr>
            <w:tcW w:w="960" w:type="dxa"/>
            <w:tcBorders>
              <w:top w:val="nil"/>
              <w:left w:val="nil"/>
              <w:bottom w:val="nil"/>
              <w:right w:val="nil"/>
            </w:tcBorders>
            <w:shd w:val="clear" w:color="auto" w:fill="auto"/>
            <w:vAlign w:val="center"/>
            <w:hideMark/>
          </w:tcPr>
          <w:p w14:paraId="53E381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nil"/>
              <w:left w:val="nil"/>
              <w:bottom w:val="nil"/>
              <w:right w:val="nil"/>
            </w:tcBorders>
            <w:shd w:val="clear" w:color="auto" w:fill="auto"/>
            <w:vAlign w:val="center"/>
            <w:hideMark/>
          </w:tcPr>
          <w:p w14:paraId="59E9302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0.0039</w:t>
            </w:r>
          </w:p>
        </w:tc>
        <w:tc>
          <w:tcPr>
            <w:tcW w:w="960" w:type="dxa"/>
            <w:tcBorders>
              <w:top w:val="nil"/>
              <w:left w:val="nil"/>
              <w:bottom w:val="nil"/>
              <w:right w:val="nil"/>
            </w:tcBorders>
            <w:shd w:val="clear" w:color="auto" w:fill="auto"/>
            <w:vAlign w:val="center"/>
            <w:hideMark/>
          </w:tcPr>
          <w:p w14:paraId="61EA18A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0.0025</w:t>
            </w:r>
          </w:p>
        </w:tc>
        <w:tc>
          <w:tcPr>
            <w:tcW w:w="960" w:type="dxa"/>
            <w:tcBorders>
              <w:top w:val="nil"/>
              <w:left w:val="nil"/>
              <w:bottom w:val="nil"/>
              <w:right w:val="nil"/>
            </w:tcBorders>
            <w:shd w:val="clear" w:color="auto" w:fill="auto"/>
            <w:vAlign w:val="center"/>
            <w:hideMark/>
          </w:tcPr>
          <w:p w14:paraId="6CC14EA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0.0006</w:t>
            </w:r>
          </w:p>
        </w:tc>
        <w:tc>
          <w:tcPr>
            <w:tcW w:w="960" w:type="dxa"/>
            <w:tcBorders>
              <w:top w:val="nil"/>
              <w:left w:val="nil"/>
              <w:bottom w:val="nil"/>
              <w:right w:val="nil"/>
            </w:tcBorders>
            <w:shd w:val="clear" w:color="auto" w:fill="auto"/>
            <w:vAlign w:val="center"/>
            <w:hideMark/>
          </w:tcPr>
          <w:p w14:paraId="4EF36A8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-0.001</w:t>
            </w:r>
          </w:p>
        </w:tc>
        <w:tc>
          <w:tcPr>
            <w:tcW w:w="960" w:type="dxa"/>
            <w:tcBorders>
              <w:top w:val="nil"/>
              <w:left w:val="nil"/>
              <w:bottom w:val="nil"/>
              <w:right w:val="nil"/>
            </w:tcBorders>
            <w:shd w:val="clear" w:color="auto" w:fill="auto"/>
            <w:vAlign w:val="center"/>
            <w:hideMark/>
          </w:tcPr>
          <w:p w14:paraId="6B49D13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-0.0009</w:t>
            </w:r>
          </w:p>
        </w:tc>
      </w:tr>
      <w:tr w:rsidR="002C001E" w:rsidRPr="002C001E" w14:paraId="1C8C5A0A"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7D0B2C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C66471E" w14:textId="3F61EBA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AC31BCB" w14:textId="3C59B73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A0E290A" w14:textId="616813B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C494CDB" w14:textId="6B480BA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-0.0058</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31660CC" w14:textId="31BCAD3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-0.0066</w:t>
            </w:r>
            <w:r>
              <w:rPr>
                <w:rFonts w:ascii="Times New Roman" w:eastAsia="Times New Roman" w:hAnsi="Times New Roman"/>
                <w:color w:val="000000"/>
                <w:sz w:val="18"/>
                <w:szCs w:val="18"/>
              </w:rPr>
              <w:t>)</w:t>
            </w:r>
          </w:p>
        </w:tc>
      </w:tr>
      <w:tr w:rsidR="002C001E" w:rsidRPr="002C001E" w14:paraId="00EB22A1" w14:textId="77777777" w:rsidTr="002C001E">
        <w:trPr>
          <w:trHeight w:val="227"/>
          <w:jc w:val="center"/>
        </w:trPr>
        <w:tc>
          <w:tcPr>
            <w:tcW w:w="960" w:type="dxa"/>
            <w:tcBorders>
              <w:top w:val="nil"/>
              <w:left w:val="nil"/>
              <w:bottom w:val="nil"/>
              <w:right w:val="nil"/>
            </w:tcBorders>
            <w:shd w:val="clear" w:color="auto" w:fill="auto"/>
            <w:vAlign w:val="center"/>
            <w:hideMark/>
          </w:tcPr>
          <w:p w14:paraId="4F66E2A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91159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-0.0075</w:t>
            </w:r>
          </w:p>
        </w:tc>
        <w:tc>
          <w:tcPr>
            <w:tcW w:w="960" w:type="dxa"/>
            <w:tcBorders>
              <w:top w:val="nil"/>
              <w:left w:val="nil"/>
              <w:bottom w:val="nil"/>
              <w:right w:val="nil"/>
            </w:tcBorders>
            <w:shd w:val="clear" w:color="auto" w:fill="auto"/>
            <w:vAlign w:val="center"/>
            <w:hideMark/>
          </w:tcPr>
          <w:p w14:paraId="699475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6B3E7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w:t>
            </w:r>
          </w:p>
        </w:tc>
        <w:tc>
          <w:tcPr>
            <w:tcW w:w="960" w:type="dxa"/>
            <w:tcBorders>
              <w:top w:val="nil"/>
              <w:left w:val="nil"/>
              <w:bottom w:val="nil"/>
              <w:right w:val="nil"/>
            </w:tcBorders>
            <w:shd w:val="clear" w:color="auto" w:fill="auto"/>
            <w:vAlign w:val="center"/>
            <w:hideMark/>
          </w:tcPr>
          <w:p w14:paraId="5047DB61"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6FB80029" w14:textId="5F66E806"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-0.0057</w:t>
            </w:r>
          </w:p>
        </w:tc>
      </w:tr>
      <w:tr w:rsidR="002C001E" w:rsidRPr="002C001E" w14:paraId="4A71DCC2"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579C26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C713BDB" w14:textId="155029D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F1205A5" w14:textId="3CEF1DDF"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16F508D" w14:textId="4E56578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6720140" w14:textId="43D55C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EA6A76D" w14:textId="1C1376A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3226CFE" w14:textId="77777777" w:rsidTr="002C001E">
        <w:trPr>
          <w:trHeight w:val="227"/>
          <w:jc w:val="center"/>
        </w:trPr>
        <w:tc>
          <w:tcPr>
            <w:tcW w:w="960" w:type="dxa"/>
            <w:tcBorders>
              <w:top w:val="nil"/>
              <w:left w:val="nil"/>
              <w:bottom w:val="nil"/>
              <w:right w:val="nil"/>
            </w:tcBorders>
            <w:shd w:val="clear" w:color="auto" w:fill="auto"/>
            <w:vAlign w:val="center"/>
            <w:hideMark/>
          </w:tcPr>
          <w:p w14:paraId="0D2EE85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B94916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0.0072</w:t>
            </w:r>
          </w:p>
        </w:tc>
        <w:tc>
          <w:tcPr>
            <w:tcW w:w="960" w:type="dxa"/>
            <w:tcBorders>
              <w:top w:val="nil"/>
              <w:left w:val="nil"/>
              <w:bottom w:val="nil"/>
              <w:right w:val="nil"/>
            </w:tcBorders>
            <w:shd w:val="clear" w:color="auto" w:fill="auto"/>
            <w:vAlign w:val="center"/>
            <w:hideMark/>
          </w:tcPr>
          <w:p w14:paraId="6D9BB61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09A4C89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11AF88F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0.0101*</w:t>
            </w:r>
          </w:p>
        </w:tc>
        <w:tc>
          <w:tcPr>
            <w:tcW w:w="960" w:type="dxa"/>
            <w:tcBorders>
              <w:top w:val="nil"/>
              <w:left w:val="nil"/>
              <w:bottom w:val="nil"/>
              <w:right w:val="nil"/>
            </w:tcBorders>
            <w:shd w:val="clear" w:color="auto" w:fill="auto"/>
            <w:vAlign w:val="center"/>
            <w:hideMark/>
          </w:tcPr>
          <w:p w14:paraId="162561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0.0091*</w:t>
            </w:r>
          </w:p>
        </w:tc>
      </w:tr>
      <w:tr w:rsidR="002C001E" w:rsidRPr="002C001E" w14:paraId="1D0BF60D"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ABC190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D17EED7" w14:textId="299A08C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A327FC8" w14:textId="7F856E8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4E5CCEAF" w14:textId="7FA093E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971DDCC" w14:textId="44BDE3B4"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056CD3B" w14:textId="7AC2BE82"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r>
      <w:tr w:rsidR="002C001E" w:rsidRPr="002C001E" w14:paraId="44FF9DC8" w14:textId="77777777" w:rsidTr="002C001E">
        <w:trPr>
          <w:trHeight w:val="227"/>
          <w:jc w:val="center"/>
        </w:trPr>
        <w:tc>
          <w:tcPr>
            <w:tcW w:w="960" w:type="dxa"/>
            <w:tcBorders>
              <w:top w:val="nil"/>
              <w:left w:val="nil"/>
              <w:bottom w:val="nil"/>
              <w:right w:val="nil"/>
            </w:tcBorders>
            <w:shd w:val="clear" w:color="auto" w:fill="auto"/>
            <w:vAlign w:val="center"/>
            <w:hideMark/>
          </w:tcPr>
          <w:p w14:paraId="6EEB0B3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bottom w:val="nil"/>
              <w:right w:val="nil"/>
            </w:tcBorders>
            <w:shd w:val="clear" w:color="auto" w:fill="auto"/>
            <w:vAlign w:val="center"/>
            <w:hideMark/>
          </w:tcPr>
          <w:p w14:paraId="4A1B2C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0.0034</w:t>
            </w:r>
          </w:p>
        </w:tc>
        <w:tc>
          <w:tcPr>
            <w:tcW w:w="960" w:type="dxa"/>
            <w:tcBorders>
              <w:top w:val="nil"/>
              <w:left w:val="nil"/>
              <w:bottom w:val="nil"/>
              <w:right w:val="nil"/>
            </w:tcBorders>
            <w:shd w:val="clear" w:color="auto" w:fill="auto"/>
            <w:vAlign w:val="center"/>
            <w:hideMark/>
          </w:tcPr>
          <w:p w14:paraId="0F8448D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c>
          <w:tcPr>
            <w:tcW w:w="960" w:type="dxa"/>
            <w:tcBorders>
              <w:top w:val="nil"/>
              <w:left w:val="nil"/>
              <w:bottom w:val="nil"/>
              <w:right w:val="nil"/>
            </w:tcBorders>
            <w:shd w:val="clear" w:color="auto" w:fill="auto"/>
            <w:vAlign w:val="center"/>
            <w:hideMark/>
          </w:tcPr>
          <w:p w14:paraId="60EA06A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0.0073</w:t>
            </w:r>
          </w:p>
        </w:tc>
        <w:tc>
          <w:tcPr>
            <w:tcW w:w="960" w:type="dxa"/>
            <w:tcBorders>
              <w:top w:val="nil"/>
              <w:left w:val="nil"/>
              <w:bottom w:val="nil"/>
              <w:right w:val="nil"/>
            </w:tcBorders>
            <w:shd w:val="clear" w:color="auto" w:fill="auto"/>
            <w:vAlign w:val="center"/>
            <w:hideMark/>
          </w:tcPr>
          <w:p w14:paraId="0D0E7CF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DC644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0.0082</w:t>
            </w:r>
          </w:p>
        </w:tc>
      </w:tr>
      <w:tr w:rsidR="002C001E" w:rsidRPr="002C001E" w14:paraId="4C52AF10" w14:textId="77777777" w:rsidTr="002C001E">
        <w:trPr>
          <w:trHeight w:val="227"/>
          <w:jc w:val="center"/>
        </w:trPr>
        <w:tc>
          <w:tcPr>
            <w:tcW w:w="960" w:type="dxa"/>
            <w:tcBorders>
              <w:top w:val="nil"/>
              <w:left w:val="nil"/>
              <w:bottom w:val="nil"/>
              <w:right w:val="nil"/>
            </w:tcBorders>
            <w:shd w:val="clear" w:color="auto" w:fill="auto"/>
            <w:vAlign w:val="center"/>
            <w:hideMark/>
          </w:tcPr>
          <w:p w14:paraId="1D54DF1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nil"/>
              <w:right w:val="nil"/>
            </w:tcBorders>
            <w:shd w:val="clear" w:color="auto" w:fill="auto"/>
            <w:vAlign w:val="center"/>
            <w:hideMark/>
          </w:tcPr>
          <w:p w14:paraId="5BFF6299" w14:textId="49C51A9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F768157" w14:textId="1291D42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04CC6D1" w14:textId="0B34B2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C73FC19" w14:textId="67DA82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589AF916" w14:textId="21815C6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-0.0056</w:t>
            </w:r>
            <w:r>
              <w:rPr>
                <w:rFonts w:ascii="Times New Roman" w:eastAsia="Times New Roman" w:hAnsi="Times New Roman"/>
                <w:color w:val="000000"/>
                <w:sz w:val="18"/>
                <w:szCs w:val="18"/>
              </w:rPr>
              <w:t>)</w:t>
            </w:r>
          </w:p>
        </w:tc>
      </w:tr>
    </w:tbl>
    <w:p w14:paraId="53CEE9BD" w14:textId="70CC4081" w:rsidR="002C001E" w:rsidRDefault="002C001E" w:rsidP="00217435">
      <w:pPr>
        <w:rPr>
          <w:rFonts w:ascii="LM Roman 10" w:hAnsi="LM Roman 10"/>
          <w:lang w:val="en-US"/>
        </w:rPr>
      </w:pPr>
    </w:p>
    <w:p w14:paraId="66D38F38" w14:textId="5D2A4902" w:rsidR="002C001E" w:rsidRDefault="002C001E" w:rsidP="00217435">
      <w:pPr>
        <w:rPr>
          <w:rFonts w:ascii="LM Roman 10" w:hAnsi="LM Roman 10"/>
          <w:lang w:val="en-US"/>
        </w:r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5977D8" w:rsidRPr="002C001E" w14:paraId="29369561" w14:textId="77777777" w:rsidTr="00D047B3">
        <w:trPr>
          <w:trHeight w:val="227"/>
          <w:jc w:val="center"/>
        </w:trPr>
        <w:tc>
          <w:tcPr>
            <w:tcW w:w="5760" w:type="dxa"/>
            <w:gridSpan w:val="6"/>
            <w:tcBorders>
              <w:top w:val="single" w:sz="8" w:space="0" w:color="auto"/>
              <w:left w:val="nil"/>
              <w:bottom w:val="nil"/>
            </w:tcBorders>
            <w:shd w:val="clear" w:color="auto" w:fill="auto"/>
            <w:vAlign w:val="center"/>
          </w:tcPr>
          <w:p w14:paraId="7A1C42AB" w14:textId="5197FE8F"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Slump</w:t>
            </w:r>
          </w:p>
        </w:tc>
      </w:tr>
      <w:tr w:rsidR="002C001E" w:rsidRPr="002C001E" w14:paraId="46DF5417" w14:textId="77777777" w:rsidTr="002C001E">
        <w:trPr>
          <w:trHeight w:val="227"/>
          <w:jc w:val="center"/>
        </w:trPr>
        <w:tc>
          <w:tcPr>
            <w:tcW w:w="960" w:type="dxa"/>
            <w:tcBorders>
              <w:top w:val="single" w:sz="8" w:space="0" w:color="auto"/>
              <w:left w:val="nil"/>
              <w:bottom w:val="nil"/>
              <w:right w:val="nil"/>
            </w:tcBorders>
            <w:shd w:val="clear" w:color="auto" w:fill="auto"/>
            <w:vAlign w:val="center"/>
            <w:hideMark/>
          </w:tcPr>
          <w:p w14:paraId="7DD992D0"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single" w:sz="8" w:space="0" w:color="auto"/>
              <w:left w:val="nil"/>
              <w:bottom w:val="single" w:sz="4" w:space="0" w:color="auto"/>
              <w:right w:val="nil"/>
            </w:tcBorders>
            <w:shd w:val="clear" w:color="auto" w:fill="auto"/>
            <w:vAlign w:val="center"/>
            <w:hideMark/>
          </w:tcPr>
          <w:p w14:paraId="1EE23B29"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680468A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0C2F1FC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06E260EC"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35ACF27C"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5</w:t>
            </w:r>
          </w:p>
        </w:tc>
      </w:tr>
      <w:tr w:rsidR="002C001E" w:rsidRPr="002C001E" w14:paraId="10AA9619" w14:textId="77777777" w:rsidTr="002C001E">
        <w:trPr>
          <w:trHeight w:val="227"/>
          <w:jc w:val="center"/>
        </w:trPr>
        <w:tc>
          <w:tcPr>
            <w:tcW w:w="960" w:type="dxa"/>
            <w:tcBorders>
              <w:top w:val="nil"/>
              <w:left w:val="nil"/>
              <w:bottom w:val="nil"/>
              <w:right w:val="nil"/>
            </w:tcBorders>
            <w:shd w:val="clear" w:color="auto" w:fill="auto"/>
            <w:vAlign w:val="center"/>
            <w:hideMark/>
          </w:tcPr>
          <w:p w14:paraId="00A9D66B"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nil"/>
              <w:left w:val="nil"/>
              <w:bottom w:val="nil"/>
              <w:right w:val="nil"/>
            </w:tcBorders>
            <w:shd w:val="clear" w:color="auto" w:fill="auto"/>
            <w:vAlign w:val="center"/>
            <w:hideMark/>
          </w:tcPr>
          <w:p w14:paraId="0E93751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4A00430F"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0.0090</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071968E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0.0065</w:t>
            </w:r>
          </w:p>
        </w:tc>
        <w:tc>
          <w:tcPr>
            <w:tcW w:w="960" w:type="dxa"/>
            <w:tcBorders>
              <w:top w:val="nil"/>
              <w:left w:val="nil"/>
              <w:bottom w:val="nil"/>
              <w:right w:val="nil"/>
            </w:tcBorders>
            <w:shd w:val="clear" w:color="auto" w:fill="auto"/>
            <w:vAlign w:val="center"/>
            <w:hideMark/>
          </w:tcPr>
          <w:p w14:paraId="74DA755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7BD40AA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r>
      <w:tr w:rsidR="002C001E" w:rsidRPr="002C001E" w14:paraId="006C0B46"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7B4CEB4F"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50EC38AC" w14:textId="4EA3A4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1470BCF" w14:textId="72C0A9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D9CB832" w14:textId="6F58326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053589E" w14:textId="6FC5EE5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87B6205" w14:textId="37A1AC5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r>
      <w:tr w:rsidR="002C001E" w:rsidRPr="002C001E" w14:paraId="6EE0E42A" w14:textId="77777777" w:rsidTr="002C001E">
        <w:trPr>
          <w:trHeight w:val="227"/>
          <w:jc w:val="center"/>
        </w:trPr>
        <w:tc>
          <w:tcPr>
            <w:tcW w:w="960" w:type="dxa"/>
            <w:tcBorders>
              <w:top w:val="nil"/>
              <w:left w:val="nil"/>
              <w:bottom w:val="nil"/>
              <w:right w:val="nil"/>
            </w:tcBorders>
            <w:shd w:val="clear" w:color="auto" w:fill="auto"/>
            <w:vAlign w:val="center"/>
            <w:hideMark/>
          </w:tcPr>
          <w:p w14:paraId="4BF92B69"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10330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-0.0113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270AC0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17856B2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746D923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-0.0077</w:t>
            </w:r>
          </w:p>
        </w:tc>
        <w:tc>
          <w:tcPr>
            <w:tcW w:w="960" w:type="dxa"/>
            <w:tcBorders>
              <w:top w:val="nil"/>
              <w:left w:val="nil"/>
              <w:bottom w:val="nil"/>
              <w:right w:val="nil"/>
            </w:tcBorders>
            <w:shd w:val="clear" w:color="auto" w:fill="auto"/>
            <w:vAlign w:val="center"/>
            <w:hideMark/>
          </w:tcPr>
          <w:p w14:paraId="2A8FEF6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r>
      <w:tr w:rsidR="002C001E" w:rsidRPr="002C001E" w14:paraId="2CCE31E1"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449E089B"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7DBD0B21" w14:textId="1A3718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860F59C" w14:textId="540F87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ABB4EFF" w14:textId="263F8ED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ED240A4" w14:textId="2DE971F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306894E" w14:textId="5AE5A96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11D85D0" w14:textId="77777777" w:rsidTr="002C001E">
        <w:trPr>
          <w:trHeight w:val="227"/>
          <w:jc w:val="center"/>
        </w:trPr>
        <w:tc>
          <w:tcPr>
            <w:tcW w:w="960" w:type="dxa"/>
            <w:tcBorders>
              <w:top w:val="nil"/>
              <w:left w:val="nil"/>
              <w:bottom w:val="nil"/>
              <w:right w:val="nil"/>
            </w:tcBorders>
            <w:shd w:val="clear" w:color="auto" w:fill="auto"/>
            <w:vAlign w:val="center"/>
            <w:hideMark/>
          </w:tcPr>
          <w:p w14:paraId="7D5C5596"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A4C4BF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0.0079</w:t>
            </w:r>
          </w:p>
        </w:tc>
        <w:tc>
          <w:tcPr>
            <w:tcW w:w="960" w:type="dxa"/>
            <w:tcBorders>
              <w:top w:val="nil"/>
              <w:left w:val="nil"/>
              <w:bottom w:val="nil"/>
              <w:right w:val="nil"/>
            </w:tcBorders>
            <w:shd w:val="clear" w:color="auto" w:fill="auto"/>
            <w:vAlign w:val="center"/>
            <w:hideMark/>
          </w:tcPr>
          <w:p w14:paraId="3C0AE89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0.0128</w:t>
            </w:r>
          </w:p>
        </w:tc>
        <w:tc>
          <w:tcPr>
            <w:tcW w:w="960" w:type="dxa"/>
            <w:tcBorders>
              <w:top w:val="nil"/>
              <w:left w:val="nil"/>
              <w:bottom w:val="nil"/>
              <w:right w:val="nil"/>
            </w:tcBorders>
            <w:shd w:val="clear" w:color="auto" w:fill="auto"/>
            <w:vAlign w:val="center"/>
            <w:hideMark/>
          </w:tcPr>
          <w:p w14:paraId="0988F8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0.0085</w:t>
            </w:r>
          </w:p>
        </w:tc>
        <w:tc>
          <w:tcPr>
            <w:tcW w:w="960" w:type="dxa"/>
            <w:tcBorders>
              <w:top w:val="nil"/>
              <w:left w:val="nil"/>
              <w:bottom w:val="nil"/>
              <w:right w:val="nil"/>
            </w:tcBorders>
            <w:shd w:val="clear" w:color="auto" w:fill="auto"/>
            <w:vAlign w:val="center"/>
            <w:hideMark/>
          </w:tcPr>
          <w:p w14:paraId="66B0B56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0.0033</w:t>
            </w:r>
          </w:p>
        </w:tc>
        <w:tc>
          <w:tcPr>
            <w:tcW w:w="960" w:type="dxa"/>
            <w:tcBorders>
              <w:top w:val="nil"/>
              <w:left w:val="nil"/>
              <w:bottom w:val="nil"/>
              <w:right w:val="nil"/>
            </w:tcBorders>
            <w:shd w:val="clear" w:color="auto" w:fill="auto"/>
            <w:vAlign w:val="center"/>
            <w:hideMark/>
          </w:tcPr>
          <w:p w14:paraId="242B6D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0.0022</w:t>
            </w:r>
          </w:p>
        </w:tc>
      </w:tr>
      <w:tr w:rsidR="002C001E" w:rsidRPr="002C001E" w14:paraId="1747B845" w14:textId="77777777" w:rsidTr="002C001E">
        <w:trPr>
          <w:trHeight w:val="227"/>
          <w:jc w:val="center"/>
        </w:trPr>
        <w:tc>
          <w:tcPr>
            <w:tcW w:w="960" w:type="dxa"/>
            <w:tcBorders>
              <w:top w:val="nil"/>
              <w:left w:val="nil"/>
              <w:bottom w:val="single" w:sz="4" w:space="0" w:color="auto"/>
              <w:right w:val="nil"/>
            </w:tcBorders>
            <w:shd w:val="clear" w:color="auto" w:fill="auto"/>
            <w:vAlign w:val="center"/>
            <w:hideMark/>
          </w:tcPr>
          <w:p w14:paraId="54A33F19"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5B88750" w14:textId="6BBBAF0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2BCABF" w14:textId="34EF1BF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0.0083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20DF48E" w14:textId="62670BE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C6BA609" w14:textId="679DDB0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8CD4E76" w14:textId="24A7F8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0.0072</w:t>
            </w:r>
            <w:r>
              <w:rPr>
                <w:rFonts w:ascii="Times New Roman" w:eastAsia="Times New Roman" w:hAnsi="Times New Roman"/>
                <w:color w:val="000000"/>
                <w:sz w:val="18"/>
                <w:szCs w:val="18"/>
              </w:rPr>
              <w:t>)</w:t>
            </w:r>
          </w:p>
        </w:tc>
      </w:tr>
      <w:tr w:rsidR="002C001E" w:rsidRPr="002C001E" w14:paraId="5DA8A7A5" w14:textId="77777777" w:rsidTr="002C001E">
        <w:trPr>
          <w:trHeight w:val="227"/>
          <w:jc w:val="center"/>
        </w:trPr>
        <w:tc>
          <w:tcPr>
            <w:tcW w:w="960" w:type="dxa"/>
            <w:tcBorders>
              <w:top w:val="nil"/>
              <w:left w:val="nil"/>
              <w:bottom w:val="nil"/>
              <w:right w:val="nil"/>
            </w:tcBorders>
            <w:shd w:val="clear" w:color="auto" w:fill="auto"/>
            <w:vAlign w:val="center"/>
            <w:hideMark/>
          </w:tcPr>
          <w:p w14:paraId="3574F9C5" w14:textId="77777777" w:rsidR="002C001E" w:rsidRPr="002C001E" w:rsidRDefault="002C001E" w:rsidP="002C001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bottom w:val="nil"/>
              <w:right w:val="nil"/>
            </w:tcBorders>
            <w:shd w:val="clear" w:color="auto" w:fill="auto"/>
            <w:vAlign w:val="center"/>
            <w:hideMark/>
          </w:tcPr>
          <w:p w14:paraId="639ED81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-0.0179</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5FD445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-0.0223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D6C5F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-0.0366</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718BFB9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-0.0139</w:t>
            </w:r>
          </w:p>
        </w:tc>
        <w:tc>
          <w:tcPr>
            <w:tcW w:w="960" w:type="dxa"/>
            <w:tcBorders>
              <w:top w:val="nil"/>
              <w:left w:val="nil"/>
              <w:bottom w:val="nil"/>
              <w:right w:val="nil"/>
            </w:tcBorders>
            <w:shd w:val="clear" w:color="auto" w:fill="auto"/>
            <w:vAlign w:val="center"/>
            <w:hideMark/>
          </w:tcPr>
          <w:p w14:paraId="223EC8C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-0.0164</w:t>
            </w:r>
          </w:p>
        </w:tc>
      </w:tr>
      <w:tr w:rsidR="002C001E" w:rsidRPr="002C001E" w14:paraId="55D59D36" w14:textId="77777777" w:rsidTr="002C001E">
        <w:trPr>
          <w:trHeight w:val="227"/>
          <w:jc w:val="center"/>
        </w:trPr>
        <w:tc>
          <w:tcPr>
            <w:tcW w:w="960" w:type="dxa"/>
            <w:tcBorders>
              <w:top w:val="nil"/>
              <w:left w:val="nil"/>
              <w:bottom w:val="nil"/>
              <w:right w:val="nil"/>
            </w:tcBorders>
            <w:shd w:val="clear" w:color="auto" w:fill="auto"/>
            <w:vAlign w:val="center"/>
            <w:hideMark/>
          </w:tcPr>
          <w:p w14:paraId="2A3457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nil"/>
              <w:right w:val="nil"/>
            </w:tcBorders>
            <w:shd w:val="clear" w:color="auto" w:fill="auto"/>
            <w:vAlign w:val="center"/>
            <w:hideMark/>
          </w:tcPr>
          <w:p w14:paraId="35168543" w14:textId="4F1B774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-0.0107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033D7F" w14:textId="2A08F6C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35B0907" w14:textId="2F6575DA"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-0.0135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6762DDB" w14:textId="121FC38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6EC9FC01" w14:textId="550E679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-0.0117</w:t>
            </w:r>
            <w:r>
              <w:rPr>
                <w:rFonts w:ascii="Times New Roman" w:eastAsia="Times New Roman" w:hAnsi="Times New Roman"/>
                <w:color w:val="000000"/>
                <w:sz w:val="18"/>
                <w:szCs w:val="18"/>
              </w:rPr>
              <w:t>)</w:t>
            </w:r>
          </w:p>
        </w:tc>
      </w:tr>
    </w:tbl>
    <w:p w14:paraId="3A3FC09F" w14:textId="77777777" w:rsidR="002C001E" w:rsidRPr="00D846E2" w:rsidRDefault="002C001E" w:rsidP="00217435">
      <w:pPr>
        <w:rPr>
          <w:rFonts w:ascii="LM Roman 10" w:hAnsi="LM Roman 10"/>
          <w:lang w:val="en-US"/>
        </w:rPr>
      </w:pPr>
    </w:p>
    <w:sectPr w:rsidR="002C001E" w:rsidRPr="00D846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E0E8" w14:textId="77777777" w:rsidR="00147C01" w:rsidRDefault="00147C01" w:rsidP="00D41C82">
      <w:pPr>
        <w:spacing w:after="0" w:line="240" w:lineRule="auto"/>
      </w:pPr>
      <w:r>
        <w:separator/>
      </w:r>
    </w:p>
  </w:endnote>
  <w:endnote w:type="continuationSeparator" w:id="0">
    <w:p w14:paraId="5E023E99" w14:textId="77777777" w:rsidR="00147C01" w:rsidRDefault="00147C01"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936B" w14:textId="77777777" w:rsidR="00147C01" w:rsidRDefault="00147C01" w:rsidP="00D41C82">
      <w:pPr>
        <w:spacing w:after="0" w:line="240" w:lineRule="auto"/>
      </w:pPr>
      <w:r>
        <w:separator/>
      </w:r>
    </w:p>
  </w:footnote>
  <w:footnote w:type="continuationSeparator" w:id="0">
    <w:p w14:paraId="3BF916FC" w14:textId="77777777" w:rsidR="00147C01" w:rsidRDefault="00147C01"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8FALMDI1otAAAA"/>
  </w:docVars>
  <w:rsids>
    <w:rsidRoot w:val="000F74BC"/>
    <w:rsid w:val="00032CED"/>
    <w:rsid w:val="000349CE"/>
    <w:rsid w:val="0004654A"/>
    <w:rsid w:val="000717BF"/>
    <w:rsid w:val="000E7544"/>
    <w:rsid w:val="000F2F0B"/>
    <w:rsid w:val="000F74BC"/>
    <w:rsid w:val="00147C01"/>
    <w:rsid w:val="001572E0"/>
    <w:rsid w:val="001925E7"/>
    <w:rsid w:val="001B403F"/>
    <w:rsid w:val="00200BA5"/>
    <w:rsid w:val="00217435"/>
    <w:rsid w:val="00232086"/>
    <w:rsid w:val="002C001E"/>
    <w:rsid w:val="002C530F"/>
    <w:rsid w:val="003421F4"/>
    <w:rsid w:val="003523A0"/>
    <w:rsid w:val="003E2448"/>
    <w:rsid w:val="003E479F"/>
    <w:rsid w:val="00400F0A"/>
    <w:rsid w:val="00403E40"/>
    <w:rsid w:val="00476EBF"/>
    <w:rsid w:val="004A0A1D"/>
    <w:rsid w:val="004B3926"/>
    <w:rsid w:val="00504DF7"/>
    <w:rsid w:val="00544E22"/>
    <w:rsid w:val="00596FEA"/>
    <w:rsid w:val="005977D8"/>
    <w:rsid w:val="005A3C33"/>
    <w:rsid w:val="005D1783"/>
    <w:rsid w:val="005D363F"/>
    <w:rsid w:val="006230D0"/>
    <w:rsid w:val="00631A7C"/>
    <w:rsid w:val="006449C5"/>
    <w:rsid w:val="006F2FAC"/>
    <w:rsid w:val="00716E9B"/>
    <w:rsid w:val="00754F7F"/>
    <w:rsid w:val="007718A6"/>
    <w:rsid w:val="00785207"/>
    <w:rsid w:val="007854E9"/>
    <w:rsid w:val="00796F7A"/>
    <w:rsid w:val="007979A2"/>
    <w:rsid w:val="007C2B00"/>
    <w:rsid w:val="007E589B"/>
    <w:rsid w:val="007E6077"/>
    <w:rsid w:val="00812040"/>
    <w:rsid w:val="00870DA2"/>
    <w:rsid w:val="00887D99"/>
    <w:rsid w:val="008B0B63"/>
    <w:rsid w:val="008B1294"/>
    <w:rsid w:val="00921D0F"/>
    <w:rsid w:val="00935914"/>
    <w:rsid w:val="009551BA"/>
    <w:rsid w:val="00991B4F"/>
    <w:rsid w:val="00A317FE"/>
    <w:rsid w:val="00A40400"/>
    <w:rsid w:val="00A471E5"/>
    <w:rsid w:val="00A708FD"/>
    <w:rsid w:val="00A75DD3"/>
    <w:rsid w:val="00AE5BB8"/>
    <w:rsid w:val="00AF19D9"/>
    <w:rsid w:val="00B06C7A"/>
    <w:rsid w:val="00C111ED"/>
    <w:rsid w:val="00C15CD6"/>
    <w:rsid w:val="00C201E5"/>
    <w:rsid w:val="00C27FE9"/>
    <w:rsid w:val="00C771ED"/>
    <w:rsid w:val="00CA0205"/>
    <w:rsid w:val="00CE3D77"/>
    <w:rsid w:val="00D41AB9"/>
    <w:rsid w:val="00D41C82"/>
    <w:rsid w:val="00D57A30"/>
    <w:rsid w:val="00D60C64"/>
    <w:rsid w:val="00D806D7"/>
    <w:rsid w:val="00D846E2"/>
    <w:rsid w:val="00DB2BA9"/>
    <w:rsid w:val="00DC12B8"/>
    <w:rsid w:val="00DC22B3"/>
    <w:rsid w:val="00DE463D"/>
    <w:rsid w:val="00E83132"/>
    <w:rsid w:val="00ED051C"/>
    <w:rsid w:val="00ED220D"/>
    <w:rsid w:val="00F06A06"/>
    <w:rsid w:val="00F32722"/>
    <w:rsid w:val="00F363B3"/>
    <w:rsid w:val="00F41C23"/>
    <w:rsid w:val="00F75A98"/>
    <w:rsid w:val="00F9754D"/>
    <w:rsid w:val="00FA734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 w:type="character" w:styleId="PlaceholderText">
    <w:name w:val="Placeholder Text"/>
    <w:basedOn w:val="DefaultParagraphFont"/>
    <w:uiPriority w:val="99"/>
    <w:semiHidden/>
    <w:rsid w:val="00ED0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420874362">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183083008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2794</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48</cp:revision>
  <dcterms:created xsi:type="dcterms:W3CDTF">2023-11-05T17:33:00Z</dcterms:created>
  <dcterms:modified xsi:type="dcterms:W3CDTF">2024-03-30T19:20:00Z</dcterms:modified>
</cp:coreProperties>
</file>