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r>
        <w:t>Ro</w:t>
      </w:r>
      <w:r w:rsidRPr="000A2D31">
        <w:t>i</w:t>
      </w:r>
      <w:r>
        <w:t>ne</w:t>
      </w:r>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M</w:t>
      </w:r>
      <w:r>
        <w:t>u</w:t>
      </w:r>
      <w:r w:rsidRPr="000A2D31">
        <w:t>i</w:t>
      </w:r>
      <w:r>
        <w:t>ne</w:t>
      </w:r>
      <w:r w:rsidRPr="000A2D31">
        <w:t>lo-G</w:t>
      </w:r>
      <w:r>
        <w:t>a</w:t>
      </w:r>
      <w:r w:rsidRPr="000A2D31">
        <w:t>l</w:t>
      </w:r>
      <w:r>
        <w:t>lo</w:t>
      </w:r>
      <w:r w:rsidRPr="000A2D31">
        <w:t xml:space="preserve"> </w:t>
      </w:r>
      <w:r>
        <w:t>and</w:t>
      </w:r>
      <w:r w:rsidRPr="000A2D31">
        <w:t xml:space="preserve"> </w:t>
      </w:r>
      <w:r>
        <w:t>Ro</w:t>
      </w:r>
      <w:r w:rsidRPr="000A2D31">
        <w:t>ca-</w:t>
      </w:r>
      <w:r>
        <w:t>Saga</w:t>
      </w:r>
      <w:r w:rsidRPr="000A2D31">
        <w:t>l</w:t>
      </w:r>
      <w:r>
        <w:t>és</w:t>
      </w:r>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3AC09A5E" w:rsidR="006148EE" w:rsidRDefault="00720711" w:rsidP="000A2D31">
      <w:pPr>
        <w:spacing w:after="200" w:line="312" w:lineRule="auto"/>
        <w:jc w:val="both"/>
      </w:pPr>
      <w:r>
        <w:t>This paper investigates the effect of fiscal policies instruments on income inequality trends by using a local projection model</w:t>
      </w:r>
      <w:r w:rsidR="000A1C86">
        <w:t xml:space="preserve"> (LP)</w:t>
      </w:r>
      <w:r>
        <w:t xml:space="preserve">, </w:t>
      </w:r>
      <w:r w:rsidRPr="00BF5C12">
        <w:t xml:space="preserve">starting with </w:t>
      </w:r>
      <w:r w:rsidRPr="00AF2BAF">
        <w:rPr>
          <w:highlight w:val="yellow"/>
        </w:rPr>
        <w:t>Jordà</w:t>
      </w:r>
      <w:r w:rsidRPr="00BF5C12">
        <w:t xml:space="preserve"> (2005</w:t>
      </w:r>
      <w:r w:rsidR="000A1C86" w:rsidRPr="00BF5C12">
        <w:t>)</w:t>
      </w:r>
      <w:r w:rsidR="000A1C86">
        <w:t xml:space="preserve"> </w:t>
      </w:r>
      <w:r w:rsidR="000A1C86" w:rsidRPr="00BF5C12">
        <w:t>LP</w:t>
      </w:r>
      <w:r w:rsidR="000A1C86">
        <w:t xml:space="preserve"> model that </w:t>
      </w:r>
      <w:r w:rsidRPr="00BF5C12">
        <w:t xml:space="preserve">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23966CAB" w:rsidR="006148EE" w:rsidRDefault="00720711" w:rsidP="000A2D31">
      <w:pPr>
        <w:spacing w:after="200" w:line="312" w:lineRule="auto"/>
        <w:jc w:val="both"/>
      </w:pPr>
      <w:r>
        <w:t xml:space="preserve">We look at the effect of three explanatory policy variables of interest – </w:t>
      </w:r>
      <w:r w:rsidR="000A1C86">
        <w:t xml:space="preserve">social payments, </w:t>
      </w:r>
      <w:r>
        <w:t>government expenditure</w:t>
      </w:r>
      <w:r w:rsidR="000A1C86">
        <w:t xml:space="preserve"> (education and health)</w:t>
      </w:r>
      <w:r>
        <w:t>, and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rsidP="000A1C86">
      <w:pPr>
        <w:pStyle w:val="Head2"/>
      </w:pPr>
      <w:r>
        <w:t>Data sources and variables</w:t>
      </w:r>
    </w:p>
    <w:p w14:paraId="3F00DC76" w14:textId="51CBE4FE" w:rsidR="006148EE" w:rsidRDefault="00720711" w:rsidP="000A2D31">
      <w:pPr>
        <w:spacing w:after="20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p>
    <w:p w14:paraId="1F167036" w14:textId="6D86524C" w:rsidR="006148EE" w:rsidRDefault="00720711" w:rsidP="000A2D31">
      <w:pPr>
        <w:spacing w:after="200" w:line="312" w:lineRule="auto"/>
        <w:jc w:val="both"/>
      </w:pPr>
      <w:r>
        <w:lastRenderedPageBreak/>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government current expenditure</w:t>
      </w:r>
      <w:r w:rsidR="00AF2BAF">
        <w:t xml:space="preserve"> among others</w:t>
      </w:r>
      <w:r>
        <w:t xml:space="preserve"> (e.g., </w:t>
      </w:r>
      <w:r w:rsidRPr="00AF2BAF">
        <w:rPr>
          <w:highlight w:val="yellow"/>
        </w:rPr>
        <w:t>Lundberg and Squire</w:t>
      </w:r>
      <w:r>
        <w:t>, 2003).</w:t>
      </w:r>
    </w:p>
    <w:p w14:paraId="3ADB9D30" w14:textId="4533F095"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w:t>
      </w:r>
      <w:r w:rsidR="00AF2BAF">
        <w:rPr>
          <w:shd w:val="clear" w:color="auto" w:fill="FFFFFF"/>
        </w:rPr>
        <w:t xml:space="preserve">government </w:t>
      </w:r>
      <w:r>
        <w:rPr>
          <w:shd w:val="clear" w:color="auto" w:fill="FFFFFF"/>
        </w:rPr>
        <w:t>expenditure and its in-cash and in-kind transfers, as contributors to redistribution policies. Second, we</w:t>
      </w:r>
      <w:r w:rsidR="00AF2BAF">
        <w:rPr>
          <w:shd w:val="clear" w:color="auto" w:fill="FFFFFF"/>
        </w:rPr>
        <w:t xml:space="preserve"> </w:t>
      </w:r>
      <w:r>
        <w:t xml:space="preserve">look at </w:t>
      </w:r>
      <w:r>
        <w:rPr>
          <w:shd w:val="clear" w:color="auto" w:fill="FFFFFF"/>
        </w:rPr>
        <w:t xml:space="preserve">education and health expenditure, the main in-kind transfers. </w:t>
      </w:r>
      <w:r w:rsidR="00AF2BAF">
        <w:rPr>
          <w:shd w:val="clear" w:color="auto" w:fill="FFFFFF"/>
        </w:rPr>
        <w:t>Finally</w:t>
      </w:r>
      <w:r>
        <w:rPr>
          <w:shd w:val="clear" w:color="auto" w:fill="FFFFFF"/>
        </w:rPr>
        <w:t>, we introduce a variable for the degree</w:t>
      </w:r>
      <w:r>
        <w:t xml:space="preserve"> of tax progressivity, as it is also important to analyse the degree of redistribution via the (progressive) direct income tax system, and </w:t>
      </w:r>
      <w:r w:rsidR="00AF2BAF">
        <w:t>existing</w:t>
      </w:r>
      <w:r>
        <w:t xml:space="preserve"> effects of direct and indirect taxation.</w:t>
      </w:r>
    </w:p>
    <w:p w14:paraId="1629FE8D" w14:textId="0C054B69"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w:t>
      </w:r>
      <w:r w:rsidR="00AF2BAF">
        <w:t>A</w:t>
      </w:r>
      <w:r>
        <w:t xml:space="preserve"> in the Appendix for definitions and sources).</w:t>
      </w:r>
    </w:p>
    <w:p w14:paraId="660BEF53" w14:textId="77777777" w:rsidR="006148EE" w:rsidRDefault="00720711">
      <w:pPr>
        <w:jc w:val="center"/>
      </w:pPr>
      <w:commentRangeStart w:id="5"/>
      <w:r>
        <w:rPr>
          <w:b/>
        </w:rPr>
        <w:t>Table 1. Descriptive statistics and model variables</w:t>
      </w:r>
      <w:commentRangeEnd w:id="5"/>
      <w:r>
        <w:commentReference w:id="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rsidP="00AF2BAF">
      <w:pPr>
        <w:pStyle w:val="Head2"/>
        <w:rPr>
          <w:sz w:val="22"/>
          <w:szCs w:val="22"/>
        </w:rPr>
      </w:pPr>
      <w:r>
        <w:lastRenderedPageBreak/>
        <w:t>The empirical specification of Local Projection</w:t>
      </w:r>
    </w:p>
    <w:p w14:paraId="22DC4E0A" w14:textId="77777777" w:rsidR="006148EE" w:rsidRDefault="006148EE">
      <w:pPr>
        <w:rPr>
          <w:b/>
          <w:sz w:val="22"/>
          <w:szCs w:val="22"/>
        </w:rPr>
      </w:pPr>
    </w:p>
    <w:p w14:paraId="3468D484" w14:textId="01D88FCA" w:rsidR="00EA44CB" w:rsidRDefault="00EA44CB" w:rsidP="002766BB">
      <w:pPr>
        <w:spacing w:after="200" w:line="312" w:lineRule="auto"/>
        <w:jc w:val="both"/>
      </w:pPr>
      <w:r w:rsidRPr="00EA44CB">
        <w:t>As highlighted in Section 1, analysing the relationship between income inequality and growth poses several challenges. Firstly, these two variables may be interconnected, with income inequality influencing growth and vice versa. Failure to address this endogeneity could lead to biased results. Additionally, endogeneity may stem from omitted variables that are correlated with either income inequality or growth. Following the Rubin Causal Model, we incorporate flexible semiparametric features to account for the functional form, enhancing control over observables. This approach provides an alternative when potential instrumental variables for policy interventions are potentially endogenous.</w:t>
      </w:r>
    </w:p>
    <w:p w14:paraId="4562BA6A" w14:textId="74440BF1" w:rsidR="006148EE" w:rsidRDefault="00AC0817" w:rsidP="002766BB">
      <w:pPr>
        <w:spacing w:after="200" w:line="312" w:lineRule="auto"/>
        <w:jc w:val="both"/>
      </w:pPr>
      <w:r w:rsidRPr="00AC0817">
        <w:t>We utilize an unbalanced panel dataset spanning 23 developed countries from 1990</w:t>
      </w:r>
      <w:r>
        <w:t>-</w:t>
      </w:r>
      <w:r w:rsidRPr="00AC0817">
        <w:t>2018 and apply a dynamic LP model. LPs serve as a convenient foundation for extending existing estimation methods. This unified framework facilitates comparison across various nested estimation strategies. LPs offer a flexible semi-parametric regression control approach for estimating dynamic multipliers. Traditional econometric methods like ordinary least squares (OLS) rely on mean parameter estimates, overlooking distribution characteristics and failing to properly capture the dynamic interaction between fiscal policies and inequality. In contrast, LPs are efficient to model misspecification, enabling a more accurate identification of the relationship between economic fiscal policies, growth, and inequality. Thus, our paper contributes to illuminating this relationship</w:t>
      </w:r>
      <w:r w:rsidR="00720711">
        <w:t xml:space="preserve">. </w:t>
      </w:r>
    </w:p>
    <w:p w14:paraId="77965EAE" w14:textId="103F4FA7" w:rsidR="006148EE" w:rsidRDefault="00720711" w:rsidP="002766BB">
      <w:pPr>
        <w:spacing w:after="200" w:line="312" w:lineRule="auto"/>
        <w:jc w:val="both"/>
      </w:pPr>
      <w:r>
        <w:t xml:space="preserve">We use a Local Projection model, which controls for country fixed-effects. This method results in a distribution of </w:t>
      </w:r>
      <w:r>
        <w:rPr>
          <w:i/>
        </w:rPr>
        <w:t>impulse</w:t>
      </w:r>
      <w:r w:rsidR="00AC0817">
        <w:rPr>
          <w:i/>
        </w:rPr>
        <w:t xml:space="preserve"> </w:t>
      </w:r>
      <w:r>
        <w:rPr>
          <w:i/>
        </w:rPr>
        <w:t>response</w:t>
      </w:r>
      <w:r>
        <w:t xml:space="preserve"> functions permitting a much more robust inference than those relying on average estimates which assume commonly slopes homogeneity. The model allows to be fully heterogeneous amongst panel members. In that context, each member </w:t>
      </w:r>
      <w:r>
        <w:rPr>
          <w:i/>
        </w:rPr>
        <w:t>i = [1…M]’</w:t>
      </w:r>
      <w:r>
        <w:t xml:space="preserve">, </w:t>
      </w:r>
      <w:r w:rsidR="00F8193A">
        <w:t>being</w:t>
      </w:r>
      <w:r>
        <w:t xml:space="preserve"> y</w:t>
      </w:r>
      <w:r>
        <w:rPr>
          <w:vertAlign w:val="subscript"/>
        </w:rPr>
        <w:t>i,t</w:t>
      </w:r>
      <w:r>
        <w:t xml:space="preserve"> a vector of </w:t>
      </w:r>
      <w:r>
        <w:rPr>
          <w:i/>
        </w:rPr>
        <w:t>n</w:t>
      </w:r>
      <w:r>
        <w:t xml:space="preserve"> endogenous variables with country specific time dimensions </w:t>
      </w:r>
      <w:r>
        <w:rPr>
          <w:i/>
        </w:rPr>
        <w:t>t = [1,…T</w:t>
      </w:r>
      <w:r>
        <w:rPr>
          <w:i/>
          <w:vertAlign w:val="subscript"/>
        </w:rPr>
        <w:t>i</w:t>
      </w:r>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r>
        <w:rPr>
          <w:i/>
        </w:rPr>
        <w:t>i.</w:t>
      </w:r>
      <w:r>
        <w:t xml:space="preserve"> Thus, we estimate the following model</w:t>
      </w:r>
      <w:r w:rsidR="00310C3F">
        <w:t>, The LP impulse response function of y</w:t>
      </w:r>
      <w:r w:rsidR="00310C3F" w:rsidRPr="00310C3F">
        <w:rPr>
          <w:vertAlign w:val="subscript"/>
        </w:rPr>
        <w:t>t</w:t>
      </w:r>
      <w:r w:rsidR="00310C3F">
        <w:t xml:space="preserve"> with respect to </w:t>
      </w:r>
      <w:r w:rsidR="00E9731D" w:rsidRPr="00E9731D">
        <w:rPr>
          <w:i/>
          <w:iCs/>
        </w:rPr>
        <w:t>FV</w:t>
      </w:r>
      <w:r w:rsidR="00E9731D" w:rsidRPr="00E9731D">
        <w:rPr>
          <w:i/>
          <w:iCs/>
          <w:vertAlign w:val="subscript"/>
        </w:rPr>
        <w:t>h</w:t>
      </w:r>
      <w:r w:rsidR="00E9731D" w:rsidRPr="00E9731D">
        <w:rPr>
          <w:i/>
          <w:iCs/>
        </w:rPr>
        <w:t xml:space="preserve">, </w:t>
      </w:r>
      <w:r w:rsidR="00310C3F" w:rsidRPr="00E9731D">
        <w:rPr>
          <w:i/>
          <w:iCs/>
        </w:rPr>
        <w:t>x</w:t>
      </w:r>
      <w:r w:rsidR="00310C3F" w:rsidRPr="00E9731D">
        <w:rPr>
          <w:i/>
          <w:iCs/>
          <w:vertAlign w:val="subscript"/>
        </w:rPr>
        <w:t>t</w:t>
      </w:r>
      <w:r w:rsidR="00310C3F">
        <w:t xml:space="preserve"> </w:t>
      </w:r>
      <w:r w:rsidR="00E9731D">
        <w:t xml:space="preserve">are </w:t>
      </w:r>
      <w:r w:rsidR="00310C3F">
        <w:t xml:space="preserve">given by </w:t>
      </w:r>
      <w:r w:rsidR="00F8193A">
        <w:t>(</w:t>
      </w:r>
      <w:r w:rsidR="00310C3F">
        <w:t>β</w:t>
      </w:r>
      <w:r w:rsidR="00310C3F" w:rsidRPr="00310C3F">
        <w:rPr>
          <w:vertAlign w:val="subscript"/>
        </w:rPr>
        <w:t>h</w:t>
      </w:r>
      <w:r w:rsidR="00F8193A">
        <w:t>)</w:t>
      </w:r>
      <w:r w:rsidR="00310C3F" w:rsidRPr="00310C3F">
        <w:rPr>
          <w:vertAlign w:val="subscript"/>
        </w:rPr>
        <w:t>h≥0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554ADE"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lastRenderedPageBreak/>
        <w:t>for h = 1, ..., 5, and where y</w:t>
      </w:r>
      <w:r w:rsidRPr="002D4EDB">
        <w:rPr>
          <w:vertAlign w:val="subscript"/>
        </w:rPr>
        <w:t>i,t+h</w:t>
      </w:r>
      <w:r>
        <w:t xml:space="preserve"> − y</w:t>
      </w:r>
      <w:r w:rsidRPr="002D4EDB">
        <w:rPr>
          <w:vertAlign w:val="subscript"/>
        </w:rPr>
        <w:t>i,t</w:t>
      </w:r>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D</w:t>
      </w:r>
      <w:r w:rsidRPr="002D4EDB">
        <w:rPr>
          <w:vertAlign w:val="subscript"/>
        </w:rPr>
        <w:t>i,t</w:t>
      </w:r>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Left-hand variables = Gini</w:t>
      </w:r>
      <w:r>
        <w:rPr>
          <w:i/>
          <w:vertAlign w:val="subscript"/>
        </w:rPr>
        <w:t>i,t</w:t>
      </w:r>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t>Right-hand variables = Gini</w:t>
      </w:r>
      <w:r>
        <w:rPr>
          <w:i/>
          <w:vertAlign w:val="subscript"/>
        </w:rPr>
        <w:t>i,t</w:t>
      </w:r>
      <w:r>
        <w:rPr>
          <w:i/>
        </w:rPr>
        <w:t>, Growth</w:t>
      </w:r>
      <w:r>
        <w:rPr>
          <w:i/>
          <w:vertAlign w:val="subscript"/>
        </w:rPr>
        <w:t>i,t</w:t>
      </w:r>
      <w:r>
        <w:rPr>
          <w:i/>
        </w:rPr>
        <w:t>, Fiscal policies</w:t>
      </w:r>
      <w:r w:rsidR="007818D4">
        <w:rPr>
          <w:i/>
        </w:rPr>
        <w:t xml:space="preserve"> (FV</w:t>
      </w:r>
      <w:r w:rsidR="007818D4">
        <w:rPr>
          <w:i/>
          <w:vertAlign w:val="subscript"/>
        </w:rPr>
        <w:t>i,t</w:t>
      </w:r>
      <w:r w:rsidR="007818D4">
        <w:rPr>
          <w:i/>
        </w:rPr>
        <w:t>)</w:t>
      </w:r>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r w:rsidRPr="009117D7">
        <w:rPr>
          <w:i/>
          <w:iCs/>
        </w:rPr>
        <w:t>y</w:t>
      </w:r>
      <w:r w:rsidRPr="009117D7">
        <w:rPr>
          <w:i/>
          <w:iCs/>
        </w:rPr>
        <w:softHyphen/>
      </w:r>
      <w:r w:rsidRPr="009117D7">
        <w:rPr>
          <w:i/>
          <w:iCs/>
          <w:vertAlign w:val="subscript"/>
        </w:rPr>
        <w:t>t</w:t>
      </w:r>
      <w:r>
        <w:t xml:space="preserve"> given by the response variable of interest (either ∆gdp</w:t>
      </w:r>
      <w:r w:rsidRPr="009117D7">
        <w:rPr>
          <w:vertAlign w:val="subscript"/>
        </w:rPr>
        <w:t>t</w:t>
      </w:r>
      <w:r>
        <w:t xml:space="preserve"> or FV</w:t>
      </w:r>
      <w:r w:rsidRPr="00065637">
        <w:rPr>
          <w:vertAlign w:val="subscript"/>
        </w:rPr>
        <w:t>t</w:t>
      </w:r>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r w:rsidR="00667E9F">
        <w:t>, as long as the effect of direct and indirect taxation).</w:t>
      </w:r>
      <w:r>
        <w:t>. We assume that the Gini is likely to respond contemporaneously to the group of fiscal policy variables (</w:t>
      </w:r>
      <w:r>
        <w:rPr>
          <w:i/>
          <w:iCs/>
        </w:rPr>
        <w:t>FV</w:t>
      </w:r>
      <w:r>
        <w:t xml:space="preserve">). </w:t>
      </w:r>
      <w:r>
        <w:lastRenderedPageBreak/>
        <w:t xml:space="preserve">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6"/>
      <w:r w:rsidRPr="0006603D">
        <w:rPr>
          <w:highlight w:val="yellow"/>
        </w:rPr>
        <w:t xml:space="preserve">Fifth, </w:t>
      </w:r>
      <w:commentRangeEnd w:id="6"/>
      <w:r w:rsidR="001453DD">
        <w:rPr>
          <w:rStyle w:val="CommentReference"/>
        </w:rPr>
        <w:commentReference w:id="6"/>
      </w:r>
      <w:r w:rsidRPr="0006603D">
        <w:rPr>
          <w:highlight w:val="yellow"/>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and parallel to Jorda()</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lastRenderedPageBreak/>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7"/>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7"/>
      <w:r w:rsidR="00B52E7B">
        <w:rPr>
          <w:rStyle w:val="CommentReference"/>
        </w:rPr>
        <w:commentReference w:id="7"/>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 xml:space="preserve">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w:t>
      </w:r>
      <w:r w:rsidRPr="00E20219">
        <w:lastRenderedPageBreak/>
        <w:t>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lastRenderedPageBreak/>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8"/>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commentRangeEnd w:id="8"/>
      <w:r w:rsidR="00CD375B">
        <w:rPr>
          <w:rStyle w:val="CommentReference"/>
        </w:rPr>
        <w:commentReference w:id="8"/>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P</w:t>
            </w:r>
            <w:r w:rsidRPr="00DE7C05">
              <w:rPr>
                <w:rFonts w:asciiTheme="minorHAnsi" w:hAnsiTheme="minorHAnsi" w:cstheme="minorHAnsi"/>
                <w:b/>
                <w:bCs/>
                <w:color w:val="000000"/>
                <w:sz w:val="20"/>
                <w:szCs w:val="20"/>
              </w:rPr>
              <w:t>robit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w:t>
      </w:r>
      <w:r>
        <w:lastRenderedPageBreak/>
        <w:t xml:space="preserve">(see, e.g., Jorda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t xml:space="preserve">The </w:t>
      </w:r>
      <w:r w:rsidR="000F6E3E">
        <w:rPr>
          <w:b/>
          <w:sz w:val="28"/>
          <w:szCs w:val="28"/>
          <w:lang w:val="en-US"/>
        </w:rPr>
        <w:t>statistic methodology</w:t>
      </w:r>
    </w:p>
    <w:p w14:paraId="202A8637" w14:textId="7C227E11" w:rsidR="00936F3E" w:rsidRDefault="00092BD2" w:rsidP="00DE7C05">
      <w:pPr>
        <w:spacing w:after="200" w:line="312" w:lineRule="auto"/>
        <w:rPr>
          <w:bCs/>
        </w:rPr>
      </w:pPr>
      <w:commentRangeStart w:id="9"/>
      <w:r>
        <w:rPr>
          <w:bCs/>
        </w:rPr>
        <w:t xml:space="preserve">As we mention above </w:t>
      </w:r>
      <w:r w:rsidR="00936F3E" w:rsidRPr="00936F3E">
        <w:rPr>
          <w:bCs/>
        </w:rPr>
        <w:t xml:space="preserve">dynamics are likely to be present, in the sense that the feedback between income inequality and growth occurs gradually over time, and with different intensities especially in the short-run. The empirical strategy that we propose is based on taking triple coverage against the above potential endogeneity. First, we take the episodes of policy intervention variable as the subset of all episodes that are a considered for random allocation. Think of it as a pseudo-IV step. Second, we include the extended set of covariates from Tables 6 and 7 and add them in the LP of expression of Equation (1). Finally, we use inverse propensity score weighting to re-randomize allocation of fiscal policy episodes. </w:t>
      </w:r>
      <w:commentRangeEnd w:id="9"/>
      <w:r>
        <w:rPr>
          <w:rStyle w:val="CommentReference"/>
        </w:rPr>
        <w:commentReference w:id="9"/>
      </w:r>
    </w:p>
    <w:p w14:paraId="7CEE348B" w14:textId="143714ED"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r w:rsidRPr="006324DA">
        <w:rPr>
          <w:bCs/>
          <w:i/>
          <w:iCs/>
        </w:rPr>
        <w:t>y</w:t>
      </w:r>
      <w:r w:rsidRPr="006324DA">
        <w:rPr>
          <w:bCs/>
          <w:i/>
          <w:iCs/>
          <w:vertAlign w:val="subscript"/>
        </w:rPr>
        <w:t>t</w:t>
      </w:r>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r w:rsidRPr="006324DA">
        <w:rPr>
          <w:bCs/>
          <w:i/>
          <w:iCs/>
        </w:rPr>
        <w:t>w</w:t>
      </w:r>
      <w:r w:rsidRPr="006324DA">
        <w:rPr>
          <w:bCs/>
          <w:i/>
          <w:iCs/>
          <w:vertAlign w:val="subscript"/>
        </w:rPr>
        <w:t>t</w:t>
      </w:r>
      <w:r w:rsidRPr="00FC443F">
        <w:rPr>
          <w:bCs/>
        </w:rPr>
        <w:t xml:space="preserve"> that are not included in </w:t>
      </w:r>
      <w:r w:rsidRPr="006324DA">
        <w:rPr>
          <w:bCs/>
          <w:i/>
          <w:iCs/>
        </w:rPr>
        <w:t>y</w:t>
      </w:r>
      <w:r w:rsidRPr="006324DA">
        <w:rPr>
          <w:bCs/>
          <w:i/>
          <w:iCs/>
          <w:vertAlign w:val="subscript"/>
        </w:rPr>
        <w:t>t</w:t>
      </w:r>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r w:rsidR="00D27BD7" w:rsidRPr="00D27BD7">
        <w:rPr>
          <w:bCs/>
          <w:i/>
          <w:iCs/>
        </w:rPr>
        <w:t>Xt</w:t>
      </w:r>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y</w:t>
      </w:r>
      <w:r w:rsidRPr="00DB1D32">
        <w:rPr>
          <w:bCs/>
          <w:i/>
          <w:iCs/>
          <w:vertAlign w:val="subscript"/>
        </w:rPr>
        <w:t>t</w:t>
      </w:r>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y</w:t>
      </w:r>
      <w:r w:rsidRPr="00DB1D32">
        <w:rPr>
          <w:bCs/>
          <w:i/>
          <w:iCs/>
          <w:vertAlign w:val="subscript"/>
        </w:rPr>
        <w:t>t</w:t>
      </w:r>
      <w:r w:rsidRPr="00DB1D32">
        <w:rPr>
          <w:bCs/>
          <w:i/>
          <w:iCs/>
        </w:rPr>
        <w:t>).</w:t>
      </w:r>
      <w:r w:rsidRPr="00FC443F">
        <w:rPr>
          <w:bCs/>
        </w:rPr>
        <w:t xml:space="preserve"> Notice that </w:t>
      </w:r>
      <w:r w:rsidRPr="00340E5D">
        <w:rPr>
          <w:bCs/>
          <w:i/>
          <w:iCs/>
        </w:rPr>
        <w:t>y</w:t>
      </w:r>
      <w:r w:rsidRPr="00340E5D">
        <w:rPr>
          <w:bCs/>
          <w:i/>
          <w:iCs/>
          <w:vertAlign w:val="subscript"/>
        </w:rPr>
        <w:t>t</w:t>
      </w:r>
      <w:r w:rsidRPr="00FC443F">
        <w:rPr>
          <w:bCs/>
        </w:rPr>
        <w:t xml:space="preserve"> is only used to benchmark the 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lastRenderedPageBreak/>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554ADE"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554ADE"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r w:rsidRPr="00D27BD7">
        <w:rPr>
          <w:bCs/>
          <w:i/>
          <w:iCs/>
          <w:lang w:val="en-US"/>
        </w:rPr>
        <w:t>X</w:t>
      </w:r>
      <w:r w:rsidRPr="00D27BD7">
        <w:rPr>
          <w:bCs/>
          <w:i/>
          <w:iCs/>
          <w:vertAlign w:val="subscript"/>
          <w:lang w:val="en-US"/>
        </w:rPr>
        <w:t>t</w:t>
      </w:r>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r w:rsidRPr="00D358D3">
        <w:rPr>
          <w:bCs/>
          <w:i/>
          <w:iCs/>
        </w:rPr>
        <w:t>X</w:t>
      </w:r>
      <w:r w:rsidRPr="00D358D3">
        <w:rPr>
          <w:bCs/>
          <w:i/>
          <w:iCs/>
          <w:vertAlign w:val="subscript"/>
        </w:rPr>
        <w:t>t</w:t>
      </w:r>
      <w:r w:rsidRPr="00F55C92">
        <w:rPr>
          <w:bCs/>
        </w:rPr>
        <w:t xml:space="preserve"> and hence obtain a consistent estimate of </w:t>
      </w:r>
      <w:r w:rsidRPr="00D358D3">
        <w:rPr>
          <w:bCs/>
          <w:i/>
          <w:iCs/>
        </w:rPr>
        <w:t>E[y</w:t>
      </w:r>
      <w:r w:rsidRPr="00D358D3">
        <w:rPr>
          <w:bCs/>
          <w:i/>
          <w:iCs/>
          <w:vertAlign w:val="subscript"/>
        </w:rPr>
        <w:t>t+h</w:t>
      </w:r>
      <w:r w:rsidRPr="00D358D3">
        <w:rPr>
          <w:bCs/>
          <w:i/>
          <w:iCs/>
        </w:rPr>
        <w:t xml:space="preserve"> − y</w:t>
      </w:r>
      <w:r w:rsidRPr="00D358D3">
        <w:rPr>
          <w:bCs/>
          <w:i/>
          <w:iCs/>
          <w:vertAlign w:val="subscript"/>
        </w:rPr>
        <w:t>t</w:t>
      </w:r>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X</w:t>
      </w:r>
      <w:r w:rsidRPr="00D358D3">
        <w:rPr>
          <w:bCs/>
          <w:i/>
          <w:iCs/>
          <w:vertAlign w:val="subscript"/>
        </w:rPr>
        <w:t>t</w:t>
      </w:r>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554ADE"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r w:rsidR="00A15425" w:rsidRPr="00A15425">
        <w:rPr>
          <w:bCs/>
          <w:lang w:val="en-US"/>
        </w:rPr>
        <w:t>Jorda</w:t>
      </w:r>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r w:rsidR="00A15425" w:rsidRPr="006C0DB6">
        <w:rPr>
          <w:bCs/>
          <w:i/>
          <w:iCs/>
        </w:rPr>
        <w:t>Xt</w:t>
      </w:r>
      <w:r w:rsidR="00A15425" w:rsidRPr="00A15425">
        <w:rPr>
          <w:bCs/>
        </w:rPr>
        <w:t xml:space="preserve"> is assumed to be stable across the treated and control subpopulations. Second, the expected value of </w:t>
      </w:r>
      <w:r w:rsidR="00A15425" w:rsidRPr="006C0DB6">
        <w:rPr>
          <w:bCs/>
          <w:i/>
          <w:iCs/>
        </w:rPr>
        <w:t>Xt</w:t>
      </w:r>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w:t>
      </w:r>
      <w:r w:rsidR="00A15425" w:rsidRPr="00A15425">
        <w:rPr>
          <w:bCs/>
        </w:rPr>
        <w:lastRenderedPageBreak/>
        <w:t xml:space="preserve">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t’s essential to carefully evaluate its validity and potential impact on the 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3FDAF5AF" w14:textId="77777777" w:rsidR="006C41D2" w:rsidRDefault="006C41D2" w:rsidP="00DE7C05">
      <w:pPr>
        <w:spacing w:after="200" w:line="312" w:lineRule="auto"/>
        <w:rPr>
          <w:bCs/>
        </w:rPr>
      </w:pPr>
    </w:p>
    <w:p w14:paraId="7B1D6CA1" w14:textId="352D1E69" w:rsidR="00BC5D5E" w:rsidRPr="00BC5D5E" w:rsidRDefault="00BC5D5E" w:rsidP="00DE7C05">
      <w:pPr>
        <w:spacing w:after="200" w:line="312" w:lineRule="auto"/>
        <w:rPr>
          <w:bCs/>
        </w:rPr>
      </w:pPr>
      <w:r w:rsidRPr="00C87353">
        <w:rPr>
          <w:bCs/>
        </w:rPr>
        <w:t>5.1</w:t>
      </w:r>
      <w:r w:rsidR="00C87353" w:rsidRPr="00C87353">
        <w:rPr>
          <w:bCs/>
        </w:rPr>
        <w:t xml:space="preserve"> 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r w:rsidRPr="00114446">
        <w:rPr>
          <w:bCs/>
          <w:i/>
          <w:iCs/>
        </w:rPr>
        <w:t>X</w:t>
      </w:r>
      <w:r w:rsidRPr="00114446">
        <w:rPr>
          <w:bCs/>
          <w:i/>
          <w:iCs/>
          <w:vertAlign w:val="subscript"/>
        </w:rPr>
        <w:t>t</w:t>
      </w:r>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43DC0B2E"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 xml:space="preserve">of equation </w:t>
      </w:r>
      <w:r w:rsidR="00131F08">
        <w:rPr>
          <w:rFonts w:ascii="LM Roman 10" w:hAnsi="LM Roman 10"/>
          <w:noProof/>
          <w:lang w:val="en-US"/>
        </w:rPr>
        <w:t>(</w:t>
      </w:r>
      <w:r w:rsidR="00D647FB">
        <w:rPr>
          <w:rFonts w:ascii="LM Roman 10" w:hAnsi="LM Roman 10"/>
          <w:noProof/>
          <w:lang w:val="en-US"/>
        </w:rPr>
        <w:t>7</w:t>
      </w:r>
      <w:r w:rsidR="00131F08">
        <w:rPr>
          <w:rFonts w:ascii="LM Roman 10" w:hAnsi="LM Roman 10"/>
          <w:noProof/>
          <w:lang w:val="en-US"/>
        </w:rPr>
        <w:t>)</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6BA5B827"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7902504" w14:textId="40E21153"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where policy environment</w:t>
      </w:r>
      <w:r w:rsidR="00131F08">
        <w:rPr>
          <w:rFonts w:ascii="LM Roman 10" w:hAnsi="LM Roman 10"/>
          <w:noProof/>
          <w:lang w:val="en-US"/>
        </w:rPr>
        <w:t xml:space="preserve"> is</w:t>
      </w:r>
      <w:r w:rsidRPr="00CF7118">
        <w:rPr>
          <w:rFonts w:ascii="LM Roman 10" w:hAnsi="LM Roman 10"/>
          <w:noProof/>
          <w:lang w:val="en-US"/>
        </w:rPr>
        <w:t xml:space="preserve"> characterized by </w:t>
      </w:r>
      <m:oMath>
        <m:r>
          <w:rPr>
            <w:rFonts w:ascii="Cambria Math" w:hAnsi="Cambria Math"/>
          </w:rPr>
          <m:t>φ</m:t>
        </m:r>
      </m:oMath>
      <w:r w:rsidRPr="00CF7118">
        <w:rPr>
          <w:rFonts w:ascii="LM Roman 10" w:hAnsi="LM Roman 10"/>
          <w:noProof/>
          <w:lang w:val="en-US"/>
        </w:rPr>
        <w:t xml:space="preserve"> </w:t>
      </w:r>
      <w:r w:rsidR="00131F08">
        <w:rPr>
          <w:rFonts w:ascii="LM Roman 10" w:hAnsi="LM Roman 10"/>
          <w:noProof/>
          <w:lang w:val="en-US"/>
        </w:rPr>
        <w:t xml:space="preserve">and </w:t>
      </w:r>
      <w:r w:rsidRPr="00CF7118">
        <w:rPr>
          <w:rFonts w:ascii="LM Roman 10" w:hAnsi="LM Roman 10"/>
          <w:noProof/>
          <w:lang w:val="en-US"/>
        </w:rPr>
        <w:t>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r w:rsidR="00131F08">
        <w:rPr>
          <w:rFonts w:ascii="LM Roman 10" w:hAnsi="LM Roman 10"/>
          <w:noProof/>
          <w:lang w:val="en-US"/>
        </w:rPr>
        <w:t xml:space="preserve"> </w:t>
      </w:r>
      <w:r w:rsidR="009F409B">
        <w:rPr>
          <w:rFonts w:ascii="LM Roman 10" w:hAnsi="LM Roman 10"/>
          <w:noProof/>
          <w:lang w:val="en-US"/>
        </w:rPr>
        <w:t xml:space="preserve">In that way, </w:t>
      </w:r>
      <w:r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Pr="00CF7118">
        <w:rPr>
          <w:rFonts w:ascii="LM Roman 10" w:hAnsi="LM Roman 10"/>
          <w:noProof/>
          <w:lang w:val="en-US"/>
        </w:rPr>
        <w:t xml:space="preserve">the </w:t>
      </w:r>
      <w:r w:rsidRPr="00763943">
        <w:rPr>
          <w:rFonts w:ascii="LM Roman 10" w:hAnsi="LM Roman 10"/>
          <w:noProof/>
          <w:lang w:val="en-US"/>
        </w:rPr>
        <w:t>policy propensity score</w:t>
      </w:r>
      <w:r w:rsidR="00135C43">
        <w:rPr>
          <w:rFonts w:ascii="LM Roman 10" w:hAnsi="LM Roman 10"/>
          <w:noProof/>
          <w:lang w:val="en-US"/>
        </w:rPr>
        <w:t>, which</w:t>
      </w:r>
      <w:r w:rsidRPr="00CF7118">
        <w:rPr>
          <w:rFonts w:ascii="LM Roman 10" w:hAnsi="LM Roman 10"/>
          <w:noProof/>
          <w:lang w:val="en-US"/>
        </w:rPr>
        <w:t xml:space="preserve"> ensure</w:t>
      </w:r>
      <w:r w:rsidR="00763943">
        <w:rPr>
          <w:rFonts w:ascii="LM Roman 10" w:hAnsi="LM Roman 10"/>
          <w:noProof/>
          <w:lang w:val="en-US"/>
        </w:rPr>
        <w:t>s</w:t>
      </w:r>
      <w:r w:rsidRPr="00CF7118">
        <w:rPr>
          <w:rFonts w:ascii="LM Roman 10" w:hAnsi="LM Roman 10"/>
          <w:noProof/>
          <w:lang w:val="en-US"/>
        </w:rPr>
        <w:t xml:space="preserve"> the estimation of the policy response is consistent under the main assumption. </w:t>
      </w:r>
      <w:r w:rsidR="009F409B">
        <w:rPr>
          <w:rFonts w:ascii="LM Roman 10" w:hAnsi="LM Roman 10"/>
          <w:noProof/>
          <w:lang w:val="en-US"/>
        </w:rPr>
        <w:t>Therefore, w</w:t>
      </w:r>
      <w:r w:rsidR="00135C43">
        <w:rPr>
          <w:rFonts w:ascii="LM Roman 10" w:hAnsi="LM Roman 10"/>
          <w:noProof/>
          <w:lang w:val="en-US"/>
        </w:rPr>
        <w:t xml:space="preserve">e prefer to add policy </w:t>
      </w:r>
      <w:r w:rsidRPr="00CF7118">
        <w:rPr>
          <w:rFonts w:ascii="LM Roman 10" w:hAnsi="LM Roman 10"/>
          <w:noProof/>
          <w:lang w:val="en-US"/>
        </w:rPr>
        <w:t>predictor</w:t>
      </w:r>
      <w:r w:rsidR="00135C43">
        <w:rPr>
          <w:rFonts w:ascii="LM Roman 10" w:hAnsi="LM Roman 10"/>
          <w:noProof/>
          <w:lang w:val="en-US"/>
        </w:rPr>
        <w:t>s</w:t>
      </w:r>
      <w:r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Pr="00CF7118">
        <w:rPr>
          <w:rFonts w:ascii="LM Roman 10" w:hAnsi="LM Roman 10"/>
          <w:noProof/>
          <w:lang w:val="en-US"/>
        </w:rPr>
        <w:t xml:space="preserve"> economic model. </w:t>
      </w:r>
      <w:r w:rsidR="009F409B">
        <w:rPr>
          <w:rFonts w:ascii="LM Roman 10" w:hAnsi="LM Roman 10"/>
          <w:noProof/>
          <w:lang w:val="en-US"/>
        </w:rPr>
        <w:t>W</w:t>
      </w:r>
      <w:r w:rsidR="009F409B" w:rsidRPr="009F409B">
        <w:rPr>
          <w:rFonts w:ascii="LM Roman 10" w:hAnsi="LM Roman 10"/>
          <w:noProof/>
          <w:lang w:val="en-US"/>
        </w:rPr>
        <w:t xml:space="preserve">e will enhance the construction of the policy propensity score by </w:t>
      </w:r>
      <w:r w:rsidR="009F409B" w:rsidRPr="009F409B">
        <w:rPr>
          <w:rFonts w:ascii="LM Roman 10" w:hAnsi="LM Roman 10"/>
          <w:noProof/>
          <w:lang w:val="en-US"/>
        </w:rPr>
        <w:lastRenderedPageBreak/>
        <w:t>incorporating a more comprehensive specification that encompasses all the controls utilized in Table 4</w:t>
      </w:r>
      <w:r w:rsidR="00763943">
        <w:rPr>
          <w:rFonts w:ascii="LM Roman 10" w:hAnsi="LM Roman 10"/>
          <w:noProof/>
          <w:lang w:val="en-US"/>
        </w:rPr>
        <w:t>.</w:t>
      </w:r>
      <w:r w:rsidR="009F409B">
        <w:rPr>
          <w:rStyle w:val="FootnoteReference"/>
          <w:rFonts w:ascii="LM Roman 10" w:hAnsi="LM Roman 10"/>
          <w:noProof/>
          <w:lang w:val="en-US"/>
        </w:rPr>
        <w:footnoteReference w:id="13"/>
      </w:r>
      <w:r w:rsidR="009F409B">
        <w:rPr>
          <w:rFonts w:ascii="LM Roman 10" w:hAnsi="LM Roman 10"/>
          <w:noProof/>
          <w:lang w:val="en-US"/>
        </w:rPr>
        <w:t xml:space="preserve"> </w:t>
      </w:r>
    </w:p>
    <w:p w14:paraId="5C2DB1E7" w14:textId="3C34C52F"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w:t>
      </w:r>
      <w:r w:rsidR="00CF7118" w:rsidRPr="00CF7118">
        <w:rPr>
          <w:rFonts w:ascii="LM Roman 10" w:hAnsi="LM Roman 10"/>
          <w:noProof/>
          <w:lang w:val="en-US"/>
        </w:rPr>
        <w:t>over</w:t>
      </w:r>
      <w:r w:rsidR="00CF7118">
        <w:rPr>
          <w:rFonts w:ascii="LM Roman 10" w:hAnsi="LM Roman 10"/>
          <w:noProof/>
          <w:lang w:val="en-US"/>
        </w:rPr>
        <w:t xml:space="preserve"> </w:t>
      </w:r>
      <w:r w:rsidR="00CF7118" w:rsidRPr="00763943">
        <w:rPr>
          <w:rFonts w:ascii="LM Roman 10" w:hAnsi="LM Roman 10"/>
          <w:i/>
          <w:iCs/>
          <w:noProof/>
          <w:lang w:val="en-US"/>
        </w:rPr>
        <w:t>X</w:t>
      </w:r>
      <w:r w:rsidR="00CF7118" w:rsidRPr="00763943">
        <w:rPr>
          <w:rFonts w:ascii="LM Roman 10" w:hAnsi="LM Roman 10"/>
          <w:i/>
          <w:iCs/>
          <w:noProof/>
          <w:vertAlign w:val="subscript"/>
          <w:lang w:val="en-US"/>
        </w:rPr>
        <w:t>t</w:t>
      </w:r>
      <w:r w:rsidR="00CF7118" w:rsidRPr="00CF7118">
        <w:rPr>
          <w:rFonts w:ascii="LM Roman 10" w:hAnsi="LM Roman 10"/>
          <w:noProof/>
          <w:lang w:val="en-US"/>
        </w:rPr>
        <w:t>, the ATE can be calculated a</w:t>
      </w:r>
      <w:r>
        <w:rPr>
          <w:rFonts w:ascii="LM Roman 10" w:hAnsi="LM Roman 10"/>
          <w:noProof/>
          <w:lang w:val="en-US"/>
        </w:rPr>
        <w:t>s:</w:t>
      </w:r>
    </w:p>
    <w:p w14:paraId="4055218E" w14:textId="25D3BC09" w:rsidR="00294699" w:rsidRPr="00294699" w:rsidRDefault="00554ADE"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3563FE27" w14:textId="77777777" w:rsidR="00763943" w:rsidRDefault="006E2EF0" w:rsidP="00DE7C05">
      <w:pPr>
        <w:spacing w:after="200" w:line="312" w:lineRule="auto"/>
        <w:rPr>
          <w:rFonts w:ascii="LM Roman 10" w:hAnsi="LM Roman 10"/>
          <w:bCs/>
          <w:noProof/>
          <w:lang w:val="en-US"/>
        </w:rPr>
      </w:pPr>
      <w:r w:rsidRPr="006E2EF0">
        <w:rPr>
          <w:rFonts w:ascii="LM Roman 10" w:hAnsi="LM Roman 10"/>
          <w:bCs/>
          <w:noProof/>
          <w:lang w:val="en-US"/>
        </w:rPr>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763943">
        <w:rPr>
          <w:rFonts w:ascii="LM Roman 10" w:hAnsi="LM Roman 10"/>
          <w:bCs/>
          <w:noProof/>
          <w:lang w:val="en-US"/>
        </w:rPr>
        <w:t>.</w:t>
      </w:r>
      <w:r w:rsidR="00544FDC">
        <w:rPr>
          <w:rStyle w:val="FootnoteReference"/>
          <w:rFonts w:ascii="LM Roman 10" w:hAnsi="LM Roman 10"/>
          <w:bCs/>
          <w:noProof/>
          <w:lang w:val="en-US"/>
        </w:rPr>
        <w:footnoteReference w:id="14"/>
      </w:r>
    </w:p>
    <w:p w14:paraId="499AD41E" w14:textId="46F1E1AB" w:rsidR="006E2EF0" w:rsidRPr="006E2EF0" w:rsidRDefault="00763943" w:rsidP="00DE7C05">
      <w:pPr>
        <w:spacing w:after="200" w:line="312" w:lineRule="auto"/>
        <w:rPr>
          <w:rFonts w:ascii="LM Roman 10" w:hAnsi="LM Roman 10"/>
          <w:bCs/>
          <w:noProof/>
          <w:lang w:val="en-US"/>
        </w:rPr>
      </w:pPr>
      <w:r>
        <w:rPr>
          <w:rFonts w:ascii="LM Roman 10" w:hAnsi="LM Roman 10"/>
          <w:bCs/>
          <w:noProof/>
          <w:lang w:val="en-US"/>
        </w:rPr>
        <w:t>We s</w:t>
      </w:r>
      <w:r w:rsidR="006E2EF0" w:rsidRPr="006E2EF0">
        <w:rPr>
          <w:rFonts w:ascii="LM Roman 10" w:hAnsi="LM Roman 10"/>
          <w:bCs/>
          <w:noProof/>
          <w:lang w:val="en-US"/>
        </w:rPr>
        <w:t xml:space="preserve">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w:t>
      </w:r>
      <w:r w:rsidR="00430D97">
        <w:rPr>
          <w:rFonts w:ascii="LM Roman 10" w:hAnsi="LM Roman 10"/>
          <w:bCs/>
          <w:noProof/>
          <w:lang w:val="en-US"/>
        </w:rPr>
        <w:t>.</w:t>
      </w:r>
      <w:r>
        <w:rPr>
          <w:rFonts w:ascii="LM Roman 10" w:hAnsi="LM Roman 10"/>
          <w:bCs/>
          <w:noProof/>
          <w:lang w:val="en-US"/>
        </w:rPr>
        <w:t xml:space="preserve"> Additionally, w</w:t>
      </w:r>
      <w:r w:rsidR="00A37202">
        <w:rPr>
          <w:rFonts w:ascii="LM Roman 10" w:hAnsi="LM Roman 10"/>
          <w:bCs/>
          <w:noProof/>
          <w:lang w:val="en-US"/>
        </w:rPr>
        <w:t xml:space="preserve">e use </w:t>
      </w:r>
      <w:r w:rsidR="00A37202">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sidR="00A37202">
        <w:rPr>
          <w:rFonts w:ascii="LM Roman 10" w:hAnsi="LM Roman 10"/>
          <w:bCs/>
          <w:noProof/>
          <w:lang w:val="en-US"/>
        </w:rPr>
        <w:t>for</w:t>
      </w:r>
      <w:r w:rsidR="006E2EF0" w:rsidRPr="006E2EF0">
        <w:rPr>
          <w:rFonts w:ascii="LM Roman 10" w:hAnsi="LM Roman 10"/>
          <w:bCs/>
          <w:noProof/>
          <w:lang w:val="en-US"/>
        </w:rPr>
        <w:t xml:space="preserve"> the average treatment effect</w:t>
      </w:r>
      <w:r w:rsidR="00A37202">
        <w:rPr>
          <w:rFonts w:ascii="LM Roman 10" w:hAnsi="LM Roman 10"/>
          <w:bCs/>
          <w:noProof/>
          <w:lang w:val="en-US"/>
        </w:rPr>
        <w:t>.</w:t>
      </w:r>
      <w:r w:rsidR="00434981">
        <w:t xml:space="preserve"> </w:t>
      </w:r>
    </w:p>
    <w:p w14:paraId="26D9603D" w14:textId="32A52BE6" w:rsidR="00DB19AA" w:rsidRDefault="00554ADE" w:rsidP="00DE7C05">
      <w:pPr>
        <w:spacing w:after="200" w:line="312" w:lineRule="auto"/>
        <w:jc w:val="center"/>
        <w:rPr>
          <w:bCs/>
          <w:lang w:val="en-US"/>
        </w:rPr>
      </w:pPr>
      <m:oMath>
        <m:sSubSup>
          <m:sSubSupPr>
            <m:ctrlPr>
              <w:rPr>
                <w:rFonts w:ascii="Cambria Math" w:hAnsi="Cambria Math"/>
                <w:bCs/>
                <w:sz w:val="26"/>
                <w:szCs w:val="26"/>
              </w:rPr>
            </m:ctrlPr>
          </m:sSubSupPr>
          <m:e>
            <m:acc>
              <m:accPr>
                <m:ctrlPr>
                  <w:rPr>
                    <w:rFonts w:ascii="Cambria Math" w:hAnsi="Cambria Math"/>
                    <w:bCs/>
                    <w:sz w:val="26"/>
                    <w:szCs w:val="26"/>
                  </w:rPr>
                </m:ctrlPr>
              </m:accPr>
              <m:e>
                <m:r>
                  <m:rPr>
                    <m:sty m:val="p"/>
                  </m:rPr>
                  <w:rPr>
                    <w:rFonts w:ascii="Cambria Math" w:hAnsi="Cambria Math"/>
                    <w:sz w:val="26"/>
                    <w:szCs w:val="26"/>
                  </w:rPr>
                  <m:t>Λ</m:t>
                </m:r>
              </m:e>
            </m:acc>
          </m:e>
          <m:sub>
            <m:r>
              <w:rPr>
                <w:rFonts w:ascii="Cambria Math" w:hAnsi="Cambria Math"/>
                <w:sz w:val="26"/>
                <w:szCs w:val="26"/>
                <w:lang w:val="en-US"/>
              </w:rPr>
              <m:t>IPW</m:t>
            </m:r>
          </m:sub>
          <m:sup/>
        </m:sSubSup>
        <m:r>
          <w:rPr>
            <w:rFonts w:ascii="Cambria Math" w:hAnsi="Cambria Math"/>
            <w:sz w:val="26"/>
            <w:szCs w:val="26"/>
            <w:lang w:val="en-US"/>
          </w:rPr>
          <m:t xml:space="preserve">= </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1</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0</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(1-D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oMath>
      <w:r w:rsidR="00DB19AA" w:rsidRPr="00763943">
        <w:rPr>
          <w:bCs/>
          <w:sz w:val="28"/>
          <w:szCs w:val="28"/>
        </w:rPr>
        <w:t xml:space="preserve">  </w:t>
      </w:r>
      <w:r w:rsidR="00DB19AA">
        <w:rPr>
          <w:bCs/>
        </w:rPr>
        <w:t>(</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2B51ED52" w14:textId="47450EF7" w:rsidR="00B51EC7" w:rsidRDefault="00B51EC7" w:rsidP="00DE7C05">
      <w:pPr>
        <w:spacing w:after="200" w:line="312" w:lineRule="auto"/>
        <w:rPr>
          <w:rFonts w:ascii="LM Roman 10" w:hAnsi="LM Roman 10"/>
          <w:noProof/>
          <w:lang w:val="en-US"/>
        </w:rPr>
      </w:pPr>
      <w:r>
        <w:rPr>
          <w:rFonts w:ascii="LM Roman 10" w:hAnsi="LM Roman 10"/>
          <w:noProof/>
          <w:lang w:val="en-US"/>
        </w:rPr>
        <w:t xml:space="preserve">Under the following equality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Pr>
          <w:rFonts w:ascii="LM Roman 10" w:hAnsi="LM Roman 10"/>
          <w:noProof/>
          <w:lang w:val="en-US"/>
        </w:rPr>
        <w:t xml:space="preserve"> and for larger samples of </w:t>
      </w:r>
      <w:r w:rsidRPr="00B51EC7">
        <w:rPr>
          <w:rFonts w:ascii="LM Roman 10" w:hAnsi="LM Roman 10"/>
          <w:noProof/>
          <w:lang w:val="en-US"/>
        </w:rPr>
        <w:t>Equation (10) applies the same weighting, as</w:t>
      </w:r>
      <w:r>
        <w:rPr>
          <w:rFonts w:ascii="LM Roman 10" w:hAnsi="LM Roman 10"/>
          <w:noProof/>
          <w:lang w:val="en-US"/>
        </w:rPr>
        <w:t xml:space="preserv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Pr="001359B7">
        <w:rPr>
          <w:rFonts w:ascii="LM Roman 10" w:hAnsi="LM Roman 10"/>
          <w:noProof/>
          <w:lang w:val="en-US"/>
        </w:rPr>
        <w:t>.</w:t>
      </w:r>
      <w:r>
        <w:rPr>
          <w:rFonts w:ascii="LM Roman 10" w:hAnsi="LM Roman 10"/>
          <w:noProof/>
          <w:lang w:val="en-US"/>
        </w:rPr>
        <w:t xml:space="preserve"> </w:t>
      </w:r>
      <w:r w:rsidRPr="00B51EC7">
        <w:rPr>
          <w:rFonts w:ascii="LM Roman 10" w:hAnsi="LM Roman 10"/>
          <w:noProof/>
          <w:lang w:val="en-US"/>
        </w:rPr>
        <w:t>These expressions mirror the Group Mean estimator in Equation (4), utilizing inverse propensity-score weighting to rectify allocation bias and achieve a quasi-random distribution of treatment and control observations through reweighting.</w:t>
      </w:r>
    </w:p>
    <w:p w14:paraId="0612E852" w14:textId="77777777" w:rsidR="00B51EC7" w:rsidRDefault="00B51EC7" w:rsidP="00DE7C05">
      <w:pPr>
        <w:spacing w:after="200" w:line="312" w:lineRule="auto"/>
        <w:rPr>
          <w:rFonts w:ascii="LM Roman 10" w:hAnsi="LM Roman 10"/>
          <w:b/>
          <w:bCs/>
          <w:noProof/>
          <w:highlight w:val="yellow"/>
          <w:lang w:val="en-US"/>
        </w:rPr>
      </w:pPr>
    </w:p>
    <w:p w14:paraId="349A2A1E" w14:textId="5AAADF70" w:rsidR="001745D2" w:rsidRPr="00B51EC7" w:rsidRDefault="001745D2" w:rsidP="00DE7C05">
      <w:pPr>
        <w:spacing w:after="200" w:line="312" w:lineRule="auto"/>
        <w:rPr>
          <w:rFonts w:ascii="LM Roman 10" w:hAnsi="LM Roman 10"/>
          <w:noProof/>
          <w:lang w:val="en-US"/>
        </w:rPr>
      </w:pPr>
      <w:r w:rsidRPr="00B51EC7">
        <w:rPr>
          <w:rFonts w:ascii="LM Roman 10" w:hAnsi="LM Roman 10"/>
          <w:noProof/>
          <w:lang w:val="en-US"/>
        </w:rPr>
        <w:lastRenderedPageBreak/>
        <w:t xml:space="preserve">4.2. </w:t>
      </w:r>
      <w:r w:rsidR="007E34BB">
        <w:rPr>
          <w:rFonts w:ascii="LM Roman 10" w:hAnsi="LM Roman 10"/>
          <w:noProof/>
          <w:lang w:val="en-US"/>
        </w:rPr>
        <w:t>Robustness</w:t>
      </w:r>
      <w:r w:rsidR="00B51EC7">
        <w:rPr>
          <w:rFonts w:ascii="LM Roman 10" w:hAnsi="LM Roman 10"/>
          <w:noProof/>
          <w:lang w:val="en-US"/>
        </w:rPr>
        <w:t xml:space="preserve"> specification: </w:t>
      </w:r>
      <w:r w:rsidRPr="00B51EC7">
        <w:rPr>
          <w:rFonts w:ascii="LM Roman 10" w:hAnsi="LM Roman 10"/>
          <w:noProof/>
          <w:lang w:val="en-US"/>
        </w:rPr>
        <w:t>Regression adjustment and Augmented IPW</w:t>
      </w:r>
    </w:p>
    <w:p w14:paraId="194E974B" w14:textId="7716DCEA" w:rsidR="001745D2" w:rsidRPr="001745D2" w:rsidRDefault="007E34BB" w:rsidP="00DE7C05">
      <w:pPr>
        <w:spacing w:after="200" w:line="312" w:lineRule="auto"/>
        <w:rPr>
          <w:rFonts w:ascii="LM Roman 10" w:hAnsi="LM Roman 10"/>
          <w:noProof/>
          <w:lang w:val="en-US"/>
        </w:rPr>
      </w:pPr>
      <w:r>
        <w:rPr>
          <w:rFonts w:ascii="LM Roman 10" w:hAnsi="LM Roman 10"/>
          <w:noProof/>
          <w:lang w:val="en-US"/>
        </w:rPr>
        <w:t>To conclude, we specify and describe how w</w:t>
      </w:r>
      <w:r w:rsidR="000E2337">
        <w:rPr>
          <w:rFonts w:ascii="LM Roman 10" w:hAnsi="LM Roman 10"/>
          <w:noProof/>
          <w:lang w:val="en-US"/>
        </w:rPr>
        <w:t xml:space="preserve">e use </w:t>
      </w:r>
      <w:r w:rsidR="001745D2" w:rsidRPr="001745D2">
        <w:rPr>
          <w:rFonts w:ascii="LM Roman 10" w:hAnsi="LM Roman 10"/>
          <w:noProof/>
          <w:lang w:val="en-US"/>
        </w:rPr>
        <w:t>the augmented IPW</w:t>
      </w:r>
      <w:r>
        <w:rPr>
          <w:rFonts w:ascii="LM Roman 10" w:hAnsi="LM Roman 10"/>
          <w:noProof/>
          <w:lang w:val="en-US"/>
        </w:rPr>
        <w:t xml:space="preserve"> and </w:t>
      </w:r>
      <w:r w:rsidRPr="007E34BB">
        <w:rPr>
          <w:rFonts w:ascii="LM Roman 10" w:hAnsi="LM Roman 10"/>
          <w:noProof/>
          <w:lang w:val="en-US"/>
        </w:rPr>
        <w:t>Regression adjustment (IPWRA)</w:t>
      </w:r>
      <w:r w:rsidR="001745D2" w:rsidRPr="001745D2">
        <w:rPr>
          <w:rFonts w:ascii="LM Roman 10" w:hAnsi="LM Roman 10"/>
          <w:noProof/>
          <w:lang w:val="en-US"/>
        </w:rPr>
        <w:t xml:space="preserve"> </w:t>
      </w:r>
      <w:r>
        <w:rPr>
          <w:rFonts w:ascii="LM Roman 10" w:hAnsi="LM Roman 10"/>
          <w:noProof/>
          <w:lang w:val="en-US"/>
        </w:rPr>
        <w:t>e</w:t>
      </w:r>
      <w:r w:rsidR="001745D2" w:rsidRPr="001745D2">
        <w:rPr>
          <w:rFonts w:ascii="LM Roman 10" w:hAnsi="LM Roman 10"/>
          <w:noProof/>
          <w:lang w:val="en-US"/>
        </w:rPr>
        <w:t>stimator</w:t>
      </w:r>
      <w:r>
        <w:rPr>
          <w:rFonts w:ascii="LM Roman 10" w:hAnsi="LM Roman 10"/>
          <w:noProof/>
          <w:lang w:val="en-US"/>
        </w:rPr>
        <w:t>s</w:t>
      </w:r>
      <w:r w:rsidR="000E2337">
        <w:rPr>
          <w:rFonts w:ascii="LM Roman 10" w:hAnsi="LM Roman 10"/>
          <w:noProof/>
          <w:lang w:val="en-US"/>
        </w:rPr>
        <w:t xml:space="preserve">, below </w:t>
      </w:r>
      <w:r>
        <w:rPr>
          <w:rFonts w:ascii="LM Roman 10" w:hAnsi="LM Roman 10"/>
          <w:noProof/>
          <w:lang w:val="en-US"/>
        </w:rPr>
        <w:t>a</w:t>
      </w:r>
      <w:r w:rsidR="000E2337">
        <w:rPr>
          <w:rFonts w:ascii="LM Roman 10" w:hAnsi="LM Roman 10"/>
          <w:noProof/>
          <w:lang w:val="en-US"/>
        </w:rPr>
        <w:t xml:space="preserve"> shortly </w:t>
      </w:r>
      <w:r>
        <w:rPr>
          <w:rFonts w:ascii="LM Roman 10" w:hAnsi="LM Roman 10"/>
          <w:noProof/>
          <w:lang w:val="en-US"/>
        </w:rPr>
        <w:t>description for</w:t>
      </w:r>
      <w:r w:rsidR="000E2337">
        <w:rPr>
          <w:rFonts w:ascii="LM Roman 10" w:hAnsi="LM Roman 10"/>
          <w:noProof/>
          <w:lang w:val="en-US"/>
        </w:rPr>
        <w:t xml:space="preserve"> this methodology.</w:t>
      </w:r>
    </w:p>
    <w:p w14:paraId="75BA3E73" w14:textId="794847AD"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The inverse propensity-score weighted estimator </w:t>
      </w:r>
      <w:r w:rsidR="00BC0F94">
        <w:rPr>
          <w:rFonts w:ascii="LM Roman 10" w:hAnsi="LM Roman 10"/>
          <w:noProof/>
          <w:lang w:val="en-US"/>
        </w:rPr>
        <w:t xml:space="preserve">for </w:t>
      </w:r>
      <w:r w:rsidRPr="001745D2">
        <w:rPr>
          <w:rFonts w:ascii="LM Roman 10" w:hAnsi="LM Roman 10"/>
          <w:noProof/>
          <w:lang w:val="en-US"/>
        </w:rPr>
        <w:t>IPWRA</w:t>
      </w:r>
      <w:r w:rsidR="000E2337">
        <w:rPr>
          <w:rFonts w:ascii="LM Roman 10" w:hAnsi="LM Roman 10"/>
          <w:noProof/>
          <w:lang w:val="en-US"/>
        </w:rPr>
        <w:t xml:space="preserve"> is defined by:</w:t>
      </w:r>
    </w:p>
    <w:p w14:paraId="10424688" w14:textId="42E6DC2E" w:rsidR="001745D2" w:rsidRDefault="00554ADE"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1BF9483B"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BC0F94">
        <w:rPr>
          <w:rFonts w:ascii="LM Roman 10" w:hAnsi="LM Roman 10"/>
          <w:noProof/>
          <w:lang w:val="en-US"/>
        </w:rPr>
        <w:t>E</w:t>
      </w:r>
      <w:r w:rsidR="000E2337">
        <w:rPr>
          <w:rFonts w:ascii="LM Roman 10" w:hAnsi="LM Roman 10"/>
          <w:noProof/>
          <w:lang w:val="en-US"/>
        </w:rPr>
        <w:t xml:space="preserv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xml:space="preserve">). It is clear that </w:t>
      </w:r>
      <w:r w:rsidR="00BC0F94">
        <w:rPr>
          <w:rFonts w:ascii="LM Roman 10" w:hAnsi="LM Roman 10"/>
          <w:noProof/>
          <w:lang w:val="en-US"/>
        </w:rPr>
        <w:t>E</w:t>
      </w:r>
      <w:r w:rsidRPr="000C357C">
        <w:rPr>
          <w:rFonts w:ascii="LM Roman 10" w:hAnsi="LM Roman 10"/>
          <w:noProof/>
          <w:lang w:val="en-US"/>
        </w:rPr>
        <w:t>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as special cases.</w:t>
      </w:r>
    </w:p>
    <w:p w14:paraId="40E694CE" w14:textId="3C9EF58B" w:rsidR="000C357C" w:rsidRDefault="00CD4F18" w:rsidP="00BF6035">
      <w:pPr>
        <w:spacing w:after="200" w:line="312" w:lineRule="auto"/>
        <w:rPr>
          <w:rFonts w:ascii="LM Roman 10" w:hAnsi="LM Roman 10"/>
          <w:noProof/>
          <w:lang w:val="en-US"/>
        </w:rPr>
      </w:pPr>
      <w:r>
        <w:rPr>
          <w:rFonts w:ascii="LM Roman 10" w:hAnsi="LM Roman 10"/>
          <w:noProof/>
          <w:lang w:val="en-US"/>
        </w:rPr>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BF6035">
        <w:rPr>
          <w:rFonts w:ascii="LM Roman 10" w:hAnsi="LM Roman 10"/>
          <w:noProof/>
          <w:lang w:val="en-US"/>
        </w:rPr>
        <w:t>Lastly, w</w:t>
      </w:r>
      <w:r w:rsidR="00BF6035" w:rsidRPr="00BF6035">
        <w:rPr>
          <w:rFonts w:ascii="LM Roman 10" w:hAnsi="LM Roman 10"/>
          <w:noProof/>
          <w:lang w:val="en-US"/>
        </w:rPr>
        <w:t>hile Equation (11) belongs to a broad array of unbiased IPWRA estimators, it does not rank as the most efficient within this category. In accordance with Lunceford and Davidian (2004), the estimator with the lowest asymptotic variance in the doubly robust class is the (locally) semi-parametric efficient estimator.</w:t>
      </w:r>
    </w:p>
    <w:p w14:paraId="2B3ED5E2" w14:textId="7D2CC249" w:rsidR="00CD4F18" w:rsidRPr="0006603D" w:rsidRDefault="00554ADE"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53E45DA1" w:rsidR="000C357C" w:rsidRDefault="00BF6035" w:rsidP="00DE7C05">
      <w:pPr>
        <w:spacing w:after="200" w:line="312" w:lineRule="auto"/>
        <w:rPr>
          <w:rFonts w:ascii="LM Roman 10" w:hAnsi="LM Roman 10"/>
          <w:bCs/>
          <w:noProof/>
          <w:sz w:val="22"/>
          <w:szCs w:val="22"/>
        </w:rPr>
      </w:pPr>
      <w:r w:rsidRPr="001B22CE">
        <w:rPr>
          <w:rFonts w:ascii="LM Roman 10" w:hAnsi="LM Roman 10"/>
          <w:noProof/>
          <w:lang w:val="en-US"/>
        </w:rPr>
        <w:t>So</w:t>
      </w:r>
      <w:r w:rsidR="001B22CE" w:rsidRPr="001B22CE">
        <w:rPr>
          <w:rFonts w:ascii="LM Roman 10" w:hAnsi="LM Roman 10"/>
          <w:noProof/>
          <w:lang w:val="en-US"/>
        </w:rPr>
        <w:t xml:space="preserve">, </w:t>
      </w:r>
      <w:r>
        <w:rPr>
          <w:rFonts w:ascii="LM Roman 10" w:hAnsi="LM Roman 10"/>
          <w:noProof/>
          <w:lang w:val="en-US"/>
        </w:rPr>
        <w:t>E</w:t>
      </w:r>
      <w:r w:rsidR="00D13A9A">
        <w:rPr>
          <w:rFonts w:ascii="LM Roman 10" w:hAnsi="LM Roman 10"/>
          <w:noProof/>
          <w:lang w:val="en-US"/>
        </w:rPr>
        <w:t xml:space="preserve">quation </w:t>
      </w:r>
      <w:r w:rsidR="001B22CE" w:rsidRPr="001B22CE">
        <w:rPr>
          <w:rFonts w:ascii="LM Roman 10" w:hAnsi="LM Roman 10"/>
          <w:noProof/>
          <w:lang w:val="en-US"/>
        </w:rPr>
        <w:t>(1</w:t>
      </w:r>
      <w:r w:rsidR="00D13A9A">
        <w:rPr>
          <w:rFonts w:ascii="LM Roman 10" w:hAnsi="LM Roman 10"/>
          <w:noProof/>
          <w:lang w:val="en-US"/>
        </w:rPr>
        <w:t>2</w:t>
      </w:r>
      <w:r w:rsidR="001B22CE" w:rsidRPr="001B22CE">
        <w:rPr>
          <w:rFonts w:ascii="LM Roman 10" w:hAnsi="LM Roman 10"/>
          <w:noProof/>
          <w:lang w:val="en-US"/>
        </w:rPr>
        <w:t>) can be seen as the basic IPW estimator plus an adjustment</w:t>
      </w:r>
      <w:r w:rsidR="001B22CE">
        <w:rPr>
          <w:rFonts w:ascii="LM Roman 10" w:hAnsi="LM Roman 10"/>
          <w:noProof/>
          <w:lang w:val="en-US"/>
        </w:rPr>
        <w:t xml:space="preserve"> </w:t>
      </w:r>
      <w:r w:rsidR="001B22CE" w:rsidRPr="001B22CE">
        <w:rPr>
          <w:rFonts w:ascii="LM Roman 10" w:hAnsi="LM Roman 10"/>
          <w:noProof/>
          <w:lang w:val="en-US"/>
        </w:rPr>
        <w:t>consisting of the weighted average of the two regression estimators. The adjustment term</w:t>
      </w:r>
      <w:r w:rsidR="001B22CE">
        <w:rPr>
          <w:rFonts w:ascii="LM Roman 10" w:hAnsi="LM Roman 10"/>
          <w:noProof/>
          <w:lang w:val="en-US"/>
        </w:rPr>
        <w:t xml:space="preserve"> </w:t>
      </w:r>
      <w:r w:rsidR="001B22CE" w:rsidRPr="001B22CE">
        <w:rPr>
          <w:rFonts w:ascii="LM Roman 10" w:hAnsi="LM Roman 10"/>
          <w:noProof/>
          <w:lang w:val="en-US"/>
        </w:rPr>
        <w:t>has expectation zero when the estimated propensity scores and regression models are</w:t>
      </w:r>
      <w:r w:rsidR="001B22CE">
        <w:rPr>
          <w:rFonts w:ascii="LM Roman 10" w:hAnsi="LM Roman 10"/>
          <w:noProof/>
          <w:lang w:val="en-US"/>
        </w:rPr>
        <w:t xml:space="preserve"> </w:t>
      </w:r>
      <w:r w:rsidR="001B22CE"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001B22CE" w:rsidRPr="001B22CE">
        <w:rPr>
          <w:rFonts w:ascii="LM Roman 10" w:hAnsi="LM Roman 10"/>
          <w:noProof/>
          <w:lang w:val="en-US"/>
        </w:rPr>
        <w:t xml:space="preserve">, the adjustment term </w:t>
      </w:r>
      <w:r w:rsidRPr="001B22CE">
        <w:rPr>
          <w:rFonts w:ascii="LM Roman 10" w:hAnsi="LM Roman 10"/>
          <w:noProof/>
          <w:lang w:val="en-US"/>
        </w:rPr>
        <w:t>soothes</w:t>
      </w:r>
      <w:r w:rsidR="001B22CE" w:rsidRPr="001B22CE">
        <w:rPr>
          <w:rFonts w:ascii="LM Roman 10" w:hAnsi="LM Roman 10"/>
          <w:noProof/>
          <w:lang w:val="en-US"/>
        </w:rPr>
        <w:t xml:space="preserve"> </w:t>
      </w:r>
      <w:r w:rsidR="001B22CE" w:rsidRPr="001B22CE">
        <w:rPr>
          <w:rFonts w:ascii="LM Roman 10" w:hAnsi="LM Roman 10"/>
          <w:noProof/>
          <w:lang w:val="en-US"/>
        </w:rPr>
        <w:lastRenderedPageBreak/>
        <w:t>the</w:t>
      </w:r>
      <w:r w:rsidR="001B22CE">
        <w:rPr>
          <w:rFonts w:ascii="LM Roman 10" w:hAnsi="LM Roman 10"/>
          <w:noProof/>
          <w:lang w:val="en-US"/>
        </w:rPr>
        <w:t xml:space="preserve"> </w:t>
      </w:r>
      <w:r w:rsidR="001B22CE" w:rsidRPr="001B22CE">
        <w:rPr>
          <w:rFonts w:ascii="LM Roman 10" w:hAnsi="LM Roman 10"/>
          <w:noProof/>
          <w:lang w:val="en-US"/>
        </w:rPr>
        <w:t xml:space="preserve">estimator when the propensity scores </w:t>
      </w:r>
      <w:r>
        <w:rPr>
          <w:rFonts w:ascii="LM Roman 10" w:hAnsi="LM Roman 10"/>
          <w:noProof/>
          <w:lang w:val="en-US"/>
        </w:rPr>
        <w:t xml:space="preserve">are </w:t>
      </w:r>
      <w:r w:rsidR="001B22CE" w:rsidRPr="001B22CE">
        <w:rPr>
          <w:rFonts w:ascii="LM Roman 10" w:hAnsi="LM Roman 10"/>
          <w:noProof/>
          <w:lang w:val="en-US"/>
        </w:rPr>
        <w:t>close to zero or one</w:t>
      </w:r>
      <w:r>
        <w:rPr>
          <w:rFonts w:ascii="LM Roman 10" w:hAnsi="LM Roman 10"/>
          <w:noProof/>
          <w:lang w:val="en-US"/>
        </w:rPr>
        <w:t>.</w:t>
      </w:r>
      <w:r w:rsidR="001B22CE" w:rsidRPr="001B22CE">
        <w:rPr>
          <w:rFonts w:ascii="LM Roman 10" w:hAnsi="LM Roman 10"/>
          <w:noProof/>
          <w:lang w:val="en-US"/>
        </w:rPr>
        <w:t xml:space="preserve"> Another way to interpret the AIPW estimator is to realize that</w:t>
      </w:r>
      <w:r w:rsidR="001B22CE">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sidR="001B22CE">
        <w:rPr>
          <w:rFonts w:ascii="LM Roman 10" w:hAnsi="LM Roman 10"/>
          <w:bCs/>
          <w:noProof/>
          <w:sz w:val="22"/>
          <w:szCs w:val="22"/>
        </w:rPr>
        <w:t>.</w:t>
      </w:r>
    </w:p>
    <w:p w14:paraId="77F3011A" w14:textId="77777777" w:rsidR="00E15982" w:rsidRDefault="00E15982" w:rsidP="00DE7C05">
      <w:pPr>
        <w:spacing w:after="200" w:line="312" w:lineRule="auto"/>
        <w:rPr>
          <w:rFonts w:ascii="LM Roman 10" w:hAnsi="LM Roman 10"/>
          <w:b/>
          <w:bCs/>
          <w:noProof/>
          <w:lang w:val="en-US"/>
        </w:rPr>
      </w:pPr>
    </w:p>
    <w:p w14:paraId="37ECBC08" w14:textId="3393E109" w:rsidR="00101FF7" w:rsidRPr="00B51EC7" w:rsidRDefault="001B22CE" w:rsidP="00DE7C05">
      <w:pPr>
        <w:spacing w:after="200" w:line="312" w:lineRule="auto"/>
        <w:rPr>
          <w:rFonts w:ascii="LM Roman 10" w:hAnsi="LM Roman 10"/>
          <w:noProof/>
          <w:lang w:val="en-US"/>
        </w:rPr>
      </w:pPr>
      <w:r w:rsidRPr="00B51EC7">
        <w:rPr>
          <w:rFonts w:ascii="LM Roman 10" w:hAnsi="LM Roman 10"/>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0" w:name="_Toc507749052"/>
      <w:r w:rsidRPr="00DE7C05">
        <w:rPr>
          <w:rFonts w:ascii="Times New Roman" w:hAnsi="Times New Roman"/>
          <w:b/>
          <w:sz w:val="24"/>
          <w:szCs w:val="24"/>
          <w:lang w:val="en-GB"/>
        </w:rPr>
        <w:lastRenderedPageBreak/>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0"/>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1"/>
      <w:commentRangeStart w:id="12"/>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1"/>
      <w:r w:rsidR="00E0559D" w:rsidRPr="00F617CD">
        <w:rPr>
          <w:rFonts w:ascii="LM Roman 10" w:hAnsi="LM Roman 10"/>
          <w:noProof/>
          <w:lang w:val="en-US"/>
        </w:rPr>
        <w:commentReference w:id="11"/>
      </w:r>
      <w:commentRangeEnd w:id="12"/>
      <w:r w:rsidR="00E0559D" w:rsidRPr="00F617CD">
        <w:rPr>
          <w:rFonts w:ascii="LM Roman 10" w:hAnsi="LM Roman 10"/>
          <w:noProof/>
          <w:lang w:val="en-US"/>
        </w:rPr>
        <w:commentReference w:id="12"/>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389085E3" w14:textId="77777777" w:rsidR="00215E0B" w:rsidRDefault="00720711" w:rsidP="00DE7C05">
      <w:pPr>
        <w:spacing w:after="200" w:line="312" w:lineRule="auto"/>
        <w:ind w:right="150"/>
        <w:jc w:val="both"/>
      </w:pPr>
      <w:r>
        <w:lastRenderedPageBreak/>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3"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3"/>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Health expenditure</w:t>
            </w:r>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In-kind transfers</w:t>
            </w:r>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Indirect taxes</w:t>
            </w:r>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4"/>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r w:rsidR="002140E4" w:rsidRPr="004E1E49">
        <w:rPr>
          <w:rFonts w:eastAsia="Calibri"/>
          <w:sz w:val="18"/>
          <w:szCs w:val="22"/>
          <w:lang w:val="en-US" w:eastAsia="en-US"/>
        </w:rPr>
        <w:t>d.CAPB instrumented by IMF fiscal action variable in binary 0-1 form (Treatment) in the top panel. First stage F-statistic reports the Kleibergen-Paap weak identification Wald test statistic</w:t>
      </w:r>
      <w:r w:rsidR="002140E4" w:rsidRPr="004E1E49">
        <w:rPr>
          <w:rFonts w:eastAsia="Calibri"/>
          <w:sz w:val="20"/>
          <w:lang w:val="en-US" w:eastAsia="en-US"/>
        </w:rPr>
        <w:t>.</w:t>
      </w:r>
      <w:commentRangeEnd w:id="14"/>
      <w:r w:rsidR="00105279">
        <w:rPr>
          <w:rStyle w:val="CommentReference"/>
        </w:rPr>
        <w:commentReference w:id="14"/>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5"/>
      <w:r w:rsidRPr="00DE7C05">
        <w:rPr>
          <w:b/>
          <w:szCs w:val="22"/>
        </w:rPr>
        <w:t>Heterogeneous dynamics</w:t>
      </w:r>
      <w:commentRangeEnd w:id="15"/>
      <w:r w:rsidRPr="00DE7C05">
        <w:rPr>
          <w:sz w:val="22"/>
          <w:szCs w:val="22"/>
        </w:rPr>
        <w:commentReference w:id="15"/>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 xml:space="preserve">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w:t>
      </w:r>
      <w:r w:rsidRPr="00F617CD">
        <w:rPr>
          <w:rFonts w:ascii="LM Roman 10" w:hAnsi="LM Roman 10"/>
          <w:noProof/>
          <w:lang w:val="en-US"/>
        </w:rPr>
        <w:lastRenderedPageBreak/>
        <w:t>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6B36C0FA" w14:textId="77777777" w:rsidR="007E34BB" w:rsidRPr="00DE7C05" w:rsidRDefault="007E34BB"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Bust</w:t>
            </w:r>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model. Propensity score based on the saturated probit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cyclical component yC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w:t>
      </w:r>
      <w:r>
        <w:lastRenderedPageBreak/>
        <w:t xml:space="preserve">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Góes (2016), this is an informative way of presenting the additional results, which would not be available if we had imposed homogeneity in the previous estimation. </w:t>
      </w: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w:t>
      </w:r>
      <w:r>
        <w:lastRenderedPageBreak/>
        <w:t>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6" w:name="_bookmark12"/>
      <w:bookmarkEnd w:id="16"/>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2C07C892" w14:textId="77777777" w:rsidR="006148EE" w:rsidRPr="00DE7C05" w:rsidRDefault="00720711">
      <w:pPr>
        <w:spacing w:after="360" w:line="312" w:lineRule="auto"/>
        <w:rPr>
          <w:b/>
        </w:rPr>
      </w:pPr>
      <w:r w:rsidRPr="00DE7C05">
        <w:rPr>
          <w:b/>
          <w:lang w:val="en-US"/>
        </w:rPr>
        <w:lastRenderedPageBreak/>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 xml:space="preserve">Aghion P., Caroli, E. and C. García-Peñalosa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r w:rsidRPr="00096373">
        <w:rPr>
          <w:sz w:val="22"/>
          <w:szCs w:val="22"/>
        </w:rPr>
        <w:t xml:space="preserve">Agnello,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r w:rsidRPr="00096373">
        <w:rPr>
          <w:sz w:val="22"/>
          <w:szCs w:val="22"/>
        </w:rPr>
        <w:t xml:space="preserve">Alesina, A. and R. Perotti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r w:rsidRPr="00096373">
        <w:rPr>
          <w:sz w:val="22"/>
          <w:szCs w:val="22"/>
        </w:rPr>
        <w:t xml:space="preserve">Alesina, A., S. Ardagna, R. Perotti and F. Schiantarelli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2D00AA0C" w:rsidR="00E31A3D" w:rsidRPr="00096373" w:rsidDel="00717554" w:rsidRDefault="00E31A3D" w:rsidP="00E31A3D">
      <w:pPr>
        <w:jc w:val="both"/>
        <w:rPr>
          <w:del w:id="17" w:author="dani" w:date="2024-03-01T20:08:00Z"/>
          <w:sz w:val="22"/>
          <w:szCs w:val="22"/>
        </w:rPr>
      </w:pPr>
      <w:del w:id="18" w:author="dani" w:date="2024-03-01T20:08:00Z">
        <w:r w:rsidRPr="00096373" w:rsidDel="00717554">
          <w:rPr>
            <w:sz w:val="22"/>
            <w:szCs w:val="22"/>
          </w:rPr>
          <w:delText>Ardagna S., “Financial Markets’ Behavior around Episodes of Large Changes in the Fiscal Stance” (2004), European Central Bank working paper.</w:delText>
        </w:r>
      </w:del>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Figari, F., Leventi, C., Levy, H., Navicke, J., and Matsaganis, M. Militaru E., Paulus A., Rastrigina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333E60A7" w:rsidR="006148EE" w:rsidRPr="00096373" w:rsidDel="00717554" w:rsidRDefault="00720711">
      <w:pPr>
        <w:jc w:val="both"/>
        <w:rPr>
          <w:del w:id="19" w:author="dani" w:date="2024-03-01T20:08:00Z"/>
          <w:sz w:val="22"/>
          <w:szCs w:val="22"/>
          <w:shd w:val="clear" w:color="auto" w:fill="FFFFFF"/>
          <w:lang w:val="en-US"/>
        </w:rPr>
      </w:pPr>
      <w:del w:id="20" w:author="dani" w:date="2024-03-01T20:08:00Z">
        <w:r w:rsidRPr="00096373" w:rsidDel="00717554">
          <w:rPr>
            <w:sz w:val="22"/>
            <w:szCs w:val="22"/>
            <w:shd w:val="clear" w:color="auto" w:fill="FFFFFF"/>
            <w:lang w:val="en-US"/>
          </w:rPr>
          <w:delText>Barbieri, P. and G. Cutuli (2016), “Employment Protection Legislation, Labour Market Dualism, and Inequality in Europe”, </w:delText>
        </w:r>
        <w:r w:rsidRPr="00096373" w:rsidDel="00717554">
          <w:rPr>
            <w:rStyle w:val="Emphasis"/>
            <w:sz w:val="22"/>
            <w:szCs w:val="22"/>
            <w:shd w:val="clear" w:color="auto" w:fill="FFFFFF"/>
            <w:lang w:val="en-US"/>
          </w:rPr>
          <w:delText>European Sociological Review</w:delText>
        </w:r>
        <w:r w:rsidRPr="00096373" w:rsidDel="00717554">
          <w:rPr>
            <w:sz w:val="22"/>
            <w:szCs w:val="22"/>
            <w:shd w:val="clear" w:color="auto" w:fill="FFFFFF"/>
            <w:lang w:val="en-US"/>
          </w:rPr>
          <w:delText xml:space="preserve"> 32(4), pp. 501-516, doi.org/10.1093/esr/jcv058.</w:delText>
        </w:r>
      </w:del>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Dooerley,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r w:rsidRPr="00096373">
        <w:rPr>
          <w:sz w:val="22"/>
          <w:szCs w:val="22"/>
        </w:rPr>
        <w:t xml:space="preserve">Bénabou,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3007B8DE" w:rsidR="006148EE" w:rsidRPr="00096373" w:rsidDel="00717554" w:rsidRDefault="00720711">
      <w:pPr>
        <w:jc w:val="both"/>
        <w:rPr>
          <w:del w:id="21" w:author="dani" w:date="2024-03-01T20:09:00Z"/>
          <w:sz w:val="22"/>
          <w:szCs w:val="22"/>
        </w:rPr>
      </w:pPr>
      <w:del w:id="22" w:author="dani" w:date="2024-03-01T20:09:00Z">
        <w:r w:rsidRPr="00096373" w:rsidDel="00717554">
          <w:rPr>
            <w:sz w:val="22"/>
            <w:szCs w:val="22"/>
          </w:rPr>
          <w:delText xml:space="preserve">Birdsall, N., Ross, D. and R. Sabot (1995), "Inequality and Growth Reconsidered", </w:delText>
        </w:r>
        <w:r w:rsidRPr="00096373" w:rsidDel="00717554">
          <w:rPr>
            <w:i/>
            <w:sz w:val="22"/>
            <w:szCs w:val="22"/>
          </w:rPr>
          <w:delText>World Bank Economic Review</w:delText>
        </w:r>
        <w:r w:rsidRPr="00096373" w:rsidDel="00717554">
          <w:rPr>
            <w:sz w:val="22"/>
            <w:szCs w:val="22"/>
          </w:rPr>
          <w:delText>, 9, pp. 477-508.</w:delText>
        </w:r>
      </w:del>
    </w:p>
    <w:p w14:paraId="11E067E7" w14:textId="334BFC1C" w:rsidR="006148EE" w:rsidRPr="00096373" w:rsidRDefault="00720711">
      <w:pPr>
        <w:jc w:val="both"/>
        <w:rPr>
          <w:sz w:val="22"/>
          <w:szCs w:val="22"/>
        </w:rPr>
      </w:pPr>
      <w:del w:id="23" w:author="dani" w:date="2024-03-01T20:09:00Z">
        <w:r w:rsidRPr="00096373" w:rsidDel="00717554">
          <w:rPr>
            <w:sz w:val="22"/>
            <w:szCs w:val="22"/>
          </w:rPr>
          <w:delText xml:space="preserve"> </w:delText>
        </w:r>
      </w:del>
    </w:p>
    <w:p w14:paraId="68FED5DE" w14:textId="1F9E8CB6" w:rsidR="006148EE" w:rsidRPr="00096373" w:rsidDel="00717554" w:rsidRDefault="00720711">
      <w:pPr>
        <w:jc w:val="both"/>
        <w:rPr>
          <w:del w:id="24" w:author="dani" w:date="2024-03-01T20:09:00Z"/>
          <w:sz w:val="22"/>
          <w:szCs w:val="22"/>
        </w:rPr>
      </w:pPr>
      <w:del w:id="25" w:author="dani" w:date="2024-03-01T20:09:00Z">
        <w:r w:rsidRPr="00096373" w:rsidDel="00717554">
          <w:rPr>
            <w:sz w:val="22"/>
            <w:szCs w:val="22"/>
          </w:rPr>
          <w:delText xml:space="preserve">Calderon, C. and L. Lin (2003), “The direction of causality between financial development and economic growth”, </w:delText>
        </w:r>
        <w:r w:rsidRPr="00096373" w:rsidDel="00717554">
          <w:rPr>
            <w:i/>
            <w:sz w:val="22"/>
            <w:szCs w:val="22"/>
          </w:rPr>
          <w:delText>Journal of Development Economics</w:delText>
        </w:r>
        <w:r w:rsidRPr="00096373" w:rsidDel="00717554">
          <w:rPr>
            <w:sz w:val="22"/>
            <w:szCs w:val="22"/>
          </w:rPr>
          <w:delText>, 72 (1), pp. 321-334.</w:delText>
        </w:r>
      </w:del>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Serres,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r w:rsidRPr="00096373">
        <w:rPr>
          <w:sz w:val="22"/>
          <w:szCs w:val="22"/>
        </w:rPr>
        <w:t xml:space="preserve">Cingano,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lastRenderedPageBreak/>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Dabla-Norris, E., Yan Ji, R. T. and D.F. Unsal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r w:rsidRPr="00096373">
        <w:rPr>
          <w:sz w:val="22"/>
          <w:szCs w:val="22"/>
        </w:rPr>
        <w:t xml:space="preserve">Doerrenberg, P. and A. Peichl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2013CF5E" w:rsidR="006148EE" w:rsidRPr="00096373" w:rsidDel="00717554" w:rsidRDefault="00720711">
      <w:pPr>
        <w:jc w:val="both"/>
        <w:rPr>
          <w:del w:id="26" w:author="dani" w:date="2024-03-01T20:10:00Z"/>
          <w:sz w:val="22"/>
          <w:szCs w:val="22"/>
        </w:rPr>
      </w:pPr>
      <w:del w:id="27" w:author="dani" w:date="2024-03-01T20:10:00Z">
        <w:r w:rsidRPr="00096373" w:rsidDel="00717554">
          <w:rPr>
            <w:sz w:val="22"/>
            <w:szCs w:val="22"/>
          </w:rPr>
          <w:delText xml:space="preserve">Easterly, W. (2007), "Inequality does cause underdevelopment: Insights from a new instrument", </w:delText>
        </w:r>
        <w:r w:rsidRPr="00096373" w:rsidDel="00717554">
          <w:rPr>
            <w:i/>
            <w:sz w:val="22"/>
            <w:szCs w:val="22"/>
          </w:rPr>
          <w:delText>Journal of Development Economics</w:delText>
        </w:r>
        <w:r w:rsidRPr="00096373" w:rsidDel="00717554">
          <w:rPr>
            <w:sz w:val="22"/>
            <w:szCs w:val="22"/>
          </w:rPr>
          <w:delText>, 84(2), pp. 755- 776.</w:delText>
        </w:r>
      </w:del>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4CCC66F8" w:rsidR="006148EE" w:rsidRPr="00096373" w:rsidDel="00717554" w:rsidRDefault="00720711">
      <w:pPr>
        <w:pBdr>
          <w:top w:val="nil"/>
          <w:left w:val="nil"/>
          <w:bottom w:val="nil"/>
          <w:right w:val="nil"/>
          <w:between w:val="nil"/>
        </w:pBdr>
        <w:shd w:val="solid" w:color="FFFFFF" w:fill="auto"/>
        <w:jc w:val="both"/>
        <w:rPr>
          <w:del w:id="28" w:author="dani" w:date="2024-03-01T20:10:00Z"/>
          <w:sz w:val="22"/>
          <w:szCs w:val="22"/>
        </w:rPr>
      </w:pPr>
      <w:del w:id="29" w:author="dani" w:date="2024-03-01T20:10:00Z">
        <w:r w:rsidRPr="00096373" w:rsidDel="00717554">
          <w:rPr>
            <w:sz w:val="22"/>
            <w:szCs w:val="22"/>
          </w:rPr>
          <w:delText xml:space="preserve">ECB (2019), “Social spending: a euro area cross-country comparison”, </w:delText>
        </w:r>
        <w:r w:rsidRPr="0006603D" w:rsidDel="00717554">
          <w:rPr>
            <w:sz w:val="22"/>
            <w:szCs w:val="22"/>
            <w:highlight w:val="yellow"/>
          </w:rPr>
          <w:delText>forthcoming.</w:delText>
        </w:r>
      </w:del>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374A077B" w:rsidR="006148EE" w:rsidRPr="00096373" w:rsidDel="00717554" w:rsidRDefault="00720711">
      <w:pPr>
        <w:pBdr>
          <w:top w:val="nil"/>
          <w:left w:val="nil"/>
          <w:bottom w:val="nil"/>
          <w:right w:val="nil"/>
          <w:between w:val="nil"/>
        </w:pBdr>
        <w:shd w:val="solid" w:color="FFFFFF" w:fill="auto"/>
        <w:jc w:val="both"/>
        <w:rPr>
          <w:del w:id="30" w:author="dani" w:date="2024-03-01T20:11:00Z"/>
          <w:sz w:val="22"/>
          <w:szCs w:val="22"/>
        </w:rPr>
      </w:pPr>
      <w:del w:id="31" w:author="dani" w:date="2024-03-01T20:11:00Z">
        <w:r w:rsidRPr="00096373" w:rsidDel="00717554">
          <w:rPr>
            <w:sz w:val="22"/>
            <w:szCs w:val="22"/>
          </w:rPr>
          <w:delText>European System of Accounts (ESA 2010), Eurostat.</w:delText>
        </w:r>
      </w:del>
    </w:p>
    <w:p w14:paraId="5BE162B1" w14:textId="77777777" w:rsidR="006148EE" w:rsidRPr="00096373" w:rsidRDefault="006148EE">
      <w:pPr>
        <w:jc w:val="both"/>
        <w:rPr>
          <w:sz w:val="22"/>
          <w:szCs w:val="22"/>
        </w:rPr>
      </w:pPr>
    </w:p>
    <w:p w14:paraId="709412B7" w14:textId="743544B2" w:rsidR="006148EE" w:rsidRPr="00096373" w:rsidDel="00717554" w:rsidRDefault="00720711">
      <w:pPr>
        <w:jc w:val="both"/>
        <w:rPr>
          <w:del w:id="32" w:author="dani" w:date="2024-03-01T20:11:00Z"/>
          <w:sz w:val="22"/>
          <w:szCs w:val="22"/>
        </w:rPr>
      </w:pPr>
      <w:del w:id="33" w:author="dani" w:date="2024-03-01T20:11:00Z">
        <w:r w:rsidRPr="00096373" w:rsidDel="00717554">
          <w:rPr>
            <w:sz w:val="22"/>
            <w:szCs w:val="22"/>
          </w:rPr>
          <w:delText>Evans, P. (1998), “Using Panel Data to Evaluate Growth Theories”, International Economic Review, pp. 295-306.</w:delText>
        </w:r>
      </w:del>
    </w:p>
    <w:p w14:paraId="7B9EF555" w14:textId="77777777" w:rsidR="006148EE" w:rsidRPr="00096373" w:rsidRDefault="006148EE">
      <w:pPr>
        <w:jc w:val="both"/>
        <w:rPr>
          <w:sz w:val="22"/>
          <w:szCs w:val="22"/>
        </w:rPr>
      </w:pPr>
    </w:p>
    <w:p w14:paraId="1C36ABA7" w14:textId="419EB2AB" w:rsidR="006148EE" w:rsidRPr="00096373" w:rsidDel="00717554" w:rsidRDefault="00554ADE">
      <w:pPr>
        <w:jc w:val="both"/>
        <w:outlineLvl w:val="1"/>
        <w:rPr>
          <w:del w:id="34" w:author="dani" w:date="2024-03-01T20:11:00Z"/>
          <w:rFonts w:ascii="MuseoSlab-300" w:hAnsi="MuseoSlab-300"/>
          <w:noProof/>
          <w:sz w:val="22"/>
          <w:szCs w:val="22"/>
        </w:rPr>
      </w:pPr>
      <w:del w:id="35" w:author="dani" w:date="2024-03-01T20:11:00Z">
        <w:r w:rsidDel="00717554">
          <w:fldChar w:fldCharType="begin"/>
        </w:r>
        <w:r w:rsidDel="00717554">
          <w:delInstrText xml:space="preserve"> HYPERLINK "http://www.imf.org/en/Publications/Publications-By-Author?author=Davide++Furceri" </w:delInstrText>
        </w:r>
        <w:r w:rsidDel="00717554">
          <w:fldChar w:fldCharType="separate"/>
        </w:r>
        <w:r w:rsidR="00720711" w:rsidRPr="00096373" w:rsidDel="00717554">
          <w:rPr>
            <w:rFonts w:ascii="MuseoSans-300" w:hAnsi="MuseoSans-300"/>
            <w:noProof/>
            <w:sz w:val="22"/>
            <w:szCs w:val="22"/>
          </w:rPr>
          <w:delText>Furceri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D., G. </w:delText>
        </w:r>
        <w:r w:rsidDel="00717554">
          <w:fldChar w:fldCharType="begin"/>
        </w:r>
        <w:r w:rsidDel="00717554">
          <w:delInstrText xml:space="preserve"> HYPERLINK "http://www.imf.org/en/Publications/Publications-By-Author?author=</w:delInstrText>
        </w:r>
        <w:r w:rsidDel="00717554">
          <w:delInstrText xml:space="preserve">Jun++Ge" </w:delInstrText>
        </w:r>
        <w:r w:rsidDel="00717554">
          <w:fldChar w:fldCharType="separate"/>
        </w:r>
        <w:r w:rsidR="00720711" w:rsidRPr="00096373" w:rsidDel="00717554">
          <w:rPr>
            <w:rFonts w:ascii="MuseoSans-300" w:hAnsi="MuseoSans-300"/>
            <w:noProof/>
            <w:sz w:val="22"/>
            <w:szCs w:val="22"/>
          </w:rPr>
          <w:delText xml:space="preserve">Jun, </w:delText>
        </w:r>
        <w:r w:rsidDel="00717554">
          <w:rPr>
            <w:rFonts w:ascii="MuseoSans-300" w:hAnsi="MuseoSans-300"/>
            <w:noProof/>
            <w:sz w:val="22"/>
            <w:szCs w:val="22"/>
          </w:rPr>
          <w:fldChar w:fldCharType="end"/>
        </w:r>
        <w:r w:rsidDel="00717554">
          <w:fldChar w:fldCharType="begin"/>
        </w:r>
        <w:r w:rsidDel="00717554">
          <w:delInstrText xml:space="preserve"> HYPERLINK "http://www.imf.org/en/Publications/Publications-By-Author?author=Prakash++Loungani" </w:delInstrText>
        </w:r>
        <w:r w:rsidDel="00717554">
          <w:fldChar w:fldCharType="separate"/>
        </w:r>
        <w:r w:rsidR="00720711" w:rsidRPr="00096373" w:rsidDel="00717554">
          <w:rPr>
            <w:rFonts w:ascii="MuseoSans-300" w:hAnsi="MuseoSans-300"/>
            <w:noProof/>
            <w:sz w:val="22"/>
            <w:szCs w:val="22"/>
          </w:rPr>
          <w:delText>Loungani</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w:delText>
        </w:r>
        <w:r w:rsidR="00720711" w:rsidRPr="00096373" w:rsidDel="00717554">
          <w:rPr>
            <w:noProof/>
            <w:sz w:val="22"/>
            <w:szCs w:val="22"/>
          </w:rPr>
          <w:delText xml:space="preserve"> </w:delText>
        </w:r>
        <w:r w:rsidR="00720711" w:rsidRPr="00096373" w:rsidDel="00717554">
          <w:rPr>
            <w:rFonts w:ascii="MuseoSans-300" w:hAnsi="MuseoSans-300"/>
            <w:noProof/>
            <w:sz w:val="22"/>
            <w:szCs w:val="22"/>
          </w:rPr>
          <w:delText xml:space="preserve">P. and </w:delText>
        </w:r>
        <w:r w:rsidDel="00717554">
          <w:fldChar w:fldCharType="begin"/>
        </w:r>
        <w:r w:rsidDel="00717554">
          <w:delInstrText xml:space="preserve"> HYPERLINK "http://www.imf.org/en/Publications/Publications-By-Author?author=Giovanni++Melina" </w:delInstrText>
        </w:r>
        <w:r w:rsidDel="00717554">
          <w:fldChar w:fldCharType="separate"/>
        </w:r>
        <w:r w:rsidR="00720711" w:rsidRPr="00096373" w:rsidDel="00717554">
          <w:rPr>
            <w:rFonts w:ascii="MuseoSans-300" w:hAnsi="MuseoSans-300"/>
            <w:noProof/>
            <w:sz w:val="22"/>
            <w:szCs w:val="22"/>
          </w:rPr>
          <w:delText>G Melina</w:delText>
        </w:r>
        <w:r w:rsidDel="00717554">
          <w:rPr>
            <w:rFonts w:ascii="MuseoSans-300" w:hAnsi="MuseoSans-300"/>
            <w:noProof/>
            <w:sz w:val="22"/>
            <w:szCs w:val="22"/>
          </w:rPr>
          <w:fldChar w:fldCharType="end"/>
        </w:r>
        <w:r w:rsidR="00720711" w:rsidRPr="00096373" w:rsidDel="00717554">
          <w:rPr>
            <w:rFonts w:ascii="MuseoSans-300" w:hAnsi="MuseoSans-300"/>
            <w:noProof/>
            <w:sz w:val="22"/>
            <w:szCs w:val="22"/>
          </w:rPr>
          <w:delText xml:space="preserve"> (2018), “</w:delText>
        </w:r>
        <w:r w:rsidR="00720711" w:rsidRPr="00096373" w:rsidDel="00717554">
          <w:rPr>
            <w:rFonts w:ascii="MuseoSlab-300" w:hAnsi="MuseoSlab-300"/>
            <w:noProof/>
            <w:sz w:val="22"/>
            <w:szCs w:val="22"/>
          </w:rPr>
          <w:delText xml:space="preserve">The Distributional Effects of Government Spending Shocks in Developing Economies”, </w:delText>
        </w:r>
        <w:r w:rsidR="00720711" w:rsidRPr="00096373" w:rsidDel="00717554">
          <w:rPr>
            <w:rFonts w:ascii="MuseoSlab-300" w:hAnsi="MuseoSlab-300"/>
            <w:i/>
            <w:noProof/>
            <w:sz w:val="22"/>
            <w:szCs w:val="22"/>
          </w:rPr>
          <w:delText>IMF Working Papers</w:delText>
        </w:r>
        <w:r w:rsidR="00720711" w:rsidRPr="00096373" w:rsidDel="00717554">
          <w:rPr>
            <w:rFonts w:ascii="MuseoSlab-300" w:hAnsi="MuseoSlab-300"/>
            <w:noProof/>
            <w:sz w:val="22"/>
            <w:szCs w:val="22"/>
          </w:rPr>
          <w:delText xml:space="preserve">, </w:delText>
        </w:r>
        <w:r w:rsidR="00720711" w:rsidRPr="00096373" w:rsidDel="00717554">
          <w:rPr>
            <w:rFonts w:ascii="MuseoSans-300" w:hAnsi="MuseoSans-300"/>
            <w:noProof/>
            <w:sz w:val="22"/>
            <w:szCs w:val="22"/>
          </w:rPr>
          <w:delText>18/57.</w:delText>
        </w:r>
      </w:del>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r w:rsidRPr="00096373">
        <w:rPr>
          <w:sz w:val="22"/>
          <w:szCs w:val="22"/>
        </w:rPr>
        <w:t xml:space="preserve">Galor, O. and O. Moav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E50FB8A" w:rsidR="006148EE" w:rsidRPr="00096373" w:rsidDel="00717554" w:rsidRDefault="00720711">
      <w:pPr>
        <w:jc w:val="both"/>
        <w:rPr>
          <w:del w:id="36" w:author="dani" w:date="2024-03-01T20:11:00Z"/>
          <w:sz w:val="22"/>
          <w:szCs w:val="22"/>
        </w:rPr>
      </w:pPr>
      <w:del w:id="37" w:author="dani" w:date="2024-03-01T20:11:00Z">
        <w:r w:rsidRPr="00096373" w:rsidDel="00717554">
          <w:rPr>
            <w:sz w:val="22"/>
            <w:szCs w:val="22"/>
          </w:rPr>
          <w:delText xml:space="preserve">Góes, C. (2016). “Testing Piketty's Hypothesis on the Drivers of Income Inequality: Evidence from Panel VARs with Heterogeneous Dynamics”, </w:delText>
        </w:r>
        <w:r w:rsidRPr="00096373" w:rsidDel="00717554">
          <w:rPr>
            <w:i/>
            <w:sz w:val="22"/>
            <w:szCs w:val="22"/>
          </w:rPr>
          <w:delText>IMF Working Paper,</w:delText>
        </w:r>
        <w:r w:rsidRPr="00096373" w:rsidDel="00717554">
          <w:rPr>
            <w:sz w:val="22"/>
            <w:szCs w:val="22"/>
          </w:rPr>
          <w:delText xml:space="preserve"> 16/160.</w:delText>
        </w:r>
      </w:del>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r w:rsidRPr="00096373">
        <w:rPr>
          <w:sz w:val="22"/>
          <w:szCs w:val="22"/>
        </w:rPr>
        <w:t xml:space="preserve">Immervoll,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522DA692" w:rsidR="006148EE" w:rsidRPr="00096373" w:rsidDel="00717554" w:rsidRDefault="00720711">
      <w:pPr>
        <w:pBdr>
          <w:top w:val="nil"/>
          <w:left w:val="nil"/>
          <w:bottom w:val="nil"/>
          <w:right w:val="nil"/>
          <w:between w:val="nil"/>
        </w:pBdr>
        <w:shd w:val="solid" w:color="FFFFFF" w:fill="auto"/>
        <w:jc w:val="both"/>
        <w:rPr>
          <w:del w:id="38" w:author="dani" w:date="2024-03-01T20:12:00Z"/>
          <w:sz w:val="22"/>
          <w:szCs w:val="22"/>
        </w:rPr>
      </w:pPr>
      <w:del w:id="39" w:author="dani" w:date="2024-03-01T20:12:00Z">
        <w:r w:rsidRPr="00096373" w:rsidDel="00717554">
          <w:rPr>
            <w:sz w:val="22"/>
            <w:szCs w:val="22"/>
          </w:rPr>
          <w:delText xml:space="preserve">Imrohoroglu, A., S. Imrohoroglu and D. Joines (1995), "A Life Cycle Analysis of Social Security", </w:delText>
        </w:r>
        <w:r w:rsidRPr="00096373" w:rsidDel="00717554">
          <w:rPr>
            <w:i/>
            <w:sz w:val="22"/>
            <w:szCs w:val="22"/>
          </w:rPr>
          <w:delText>Economic Theory</w:delText>
        </w:r>
        <w:r w:rsidRPr="00096373" w:rsidDel="00717554">
          <w:rPr>
            <w:sz w:val="22"/>
            <w:szCs w:val="22"/>
          </w:rPr>
          <w:delText>, 6, pp. 83-114.</w:delText>
        </w:r>
      </w:del>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 xml:space="preserve">Köhler-Ulbrich, P., Asimakopoulos, Y., Doyle, N., Magono, R., Zachary, M., Walko, Z., Stoess, E., Kok, Ch., Wagner, K., Valckx, N., and Martínez Pagés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r w:rsidRPr="00096373">
        <w:rPr>
          <w:sz w:val="22"/>
          <w:szCs w:val="22"/>
        </w:rPr>
        <w:t xml:space="preserve">Kumhof, M. and R. Rancière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5310EAB0" w:rsidR="006148EE" w:rsidRPr="00096373" w:rsidDel="00717554" w:rsidRDefault="00720711">
      <w:pPr>
        <w:jc w:val="both"/>
        <w:rPr>
          <w:del w:id="40" w:author="dani" w:date="2024-03-01T20:12:00Z"/>
          <w:sz w:val="22"/>
          <w:szCs w:val="22"/>
        </w:rPr>
      </w:pPr>
      <w:del w:id="41" w:author="dani" w:date="2024-03-01T20:12:00Z">
        <w:r w:rsidRPr="00096373" w:rsidDel="00717554">
          <w:rPr>
            <w:sz w:val="22"/>
            <w:szCs w:val="22"/>
          </w:rPr>
          <w:delText>Lequiller, F. and D. Blades (2014), "Understanding National Accounts", OECD.</w:delText>
        </w:r>
      </w:del>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r w:rsidRPr="00096373">
        <w:rPr>
          <w:sz w:val="22"/>
          <w:szCs w:val="22"/>
        </w:rPr>
        <w:t xml:space="preserve">Muinelo-Gallo, L. and O. Roca-Segalés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r w:rsidRPr="00096373">
        <w:rPr>
          <w:sz w:val="22"/>
          <w:szCs w:val="22"/>
        </w:rPr>
        <w:t xml:space="preserve">Muinelo-Gallo, L. and O. Roca-Segalés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0966ABCA" w:rsidR="006148EE" w:rsidRPr="00096373" w:rsidDel="00717554" w:rsidRDefault="00720711">
      <w:pPr>
        <w:jc w:val="both"/>
        <w:rPr>
          <w:del w:id="42" w:author="dani" w:date="2024-03-01T20:14:00Z"/>
          <w:sz w:val="22"/>
          <w:szCs w:val="22"/>
        </w:rPr>
      </w:pPr>
      <w:del w:id="43" w:author="dani" w:date="2024-03-01T20:14:00Z">
        <w:r w:rsidRPr="00096373" w:rsidDel="00717554">
          <w:rPr>
            <w:sz w:val="22"/>
            <w:szCs w:val="22"/>
          </w:rPr>
          <w:delText>Pedroni, P. (2013). “Structural Panel VARs”, Econometrics 1, pp. 180:206. doi: 10.3390/</w:delText>
        </w:r>
      </w:del>
    </w:p>
    <w:p w14:paraId="693391AF" w14:textId="1D24A838" w:rsidR="006148EE" w:rsidRPr="00096373" w:rsidDel="00717554" w:rsidRDefault="00720711">
      <w:pPr>
        <w:jc w:val="both"/>
        <w:rPr>
          <w:del w:id="44" w:author="dani" w:date="2024-03-01T20:14:00Z"/>
          <w:sz w:val="22"/>
          <w:szCs w:val="22"/>
        </w:rPr>
      </w:pPr>
      <w:del w:id="45" w:author="dani" w:date="2024-03-01T20:14:00Z">
        <w:r w:rsidRPr="00096373" w:rsidDel="00717554">
          <w:rPr>
            <w:sz w:val="22"/>
            <w:szCs w:val="22"/>
          </w:rPr>
          <w:delText>econometrics1020180</w:delText>
        </w:r>
      </w:del>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r w:rsidRPr="00096373">
        <w:rPr>
          <w:sz w:val="22"/>
          <w:szCs w:val="22"/>
        </w:rPr>
        <w:t xml:space="preserve">Perotti,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r w:rsidRPr="00096373">
        <w:rPr>
          <w:sz w:val="22"/>
          <w:szCs w:val="22"/>
        </w:rPr>
        <w:t>Rajan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r w:rsidRPr="00096373">
        <w:rPr>
          <w:sz w:val="22"/>
          <w:szCs w:val="22"/>
        </w:rPr>
        <w:t xml:space="preserve">Raitano, M. (2016), “Income inequality in Europe since the crisis”, </w:t>
      </w:r>
      <w:r w:rsidRPr="00096373">
        <w:rPr>
          <w:i/>
          <w:sz w:val="22"/>
          <w:szCs w:val="22"/>
        </w:rPr>
        <w:t>Intereconomics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r w:rsidRPr="00096373">
        <w:rPr>
          <w:sz w:val="22"/>
          <w:szCs w:val="22"/>
        </w:rPr>
        <w:t>Ravallion,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r w:rsidRPr="00096373">
        <w:rPr>
          <w:sz w:val="22"/>
          <w:szCs w:val="22"/>
        </w:rPr>
        <w:t xml:space="preserve">Rawdanowicz,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r w:rsidRPr="00096373">
        <w:rPr>
          <w:sz w:val="22"/>
          <w:szCs w:val="22"/>
        </w:rPr>
        <w:t xml:space="preserve">Roine, J., Vlachos, J. and D. Waldenström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r w:rsidRPr="00096373">
        <w:rPr>
          <w:sz w:val="22"/>
          <w:szCs w:val="22"/>
        </w:rPr>
        <w:t xml:space="preserve">Sabirianova-Peter, K., Buttrick,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r w:rsidRPr="00096373">
        <w:rPr>
          <w:sz w:val="22"/>
          <w:szCs w:val="22"/>
        </w:rPr>
        <w:t xml:space="preserve">Schwabish, J., T. M. Smeeding and L. Osberg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r w:rsidRPr="00096373">
        <w:rPr>
          <w:sz w:val="22"/>
          <w:szCs w:val="22"/>
        </w:rPr>
        <w:t xml:space="preserve">Solt,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r w:rsidRPr="00096373">
        <w:rPr>
          <w:i/>
          <w:sz w:val="22"/>
          <w:szCs w:val="22"/>
        </w:rPr>
        <w:t>Econometrica</w:t>
      </w:r>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r w:rsidRPr="00096373">
        <w:rPr>
          <w:sz w:val="22"/>
          <w:szCs w:val="22"/>
        </w:rPr>
        <w:lastRenderedPageBreak/>
        <w:t xml:space="preserve">Zweimüller, J. and J. K. Brunner (2005), "Innovation and Growth with Rich and Poor consumers", </w:t>
      </w:r>
      <w:r w:rsidRPr="00096373">
        <w:rPr>
          <w:i/>
          <w:sz w:val="22"/>
          <w:szCs w:val="22"/>
        </w:rPr>
        <w:t>Metroeconomica</w:t>
      </w:r>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3FD57ADC"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w:t>
      </w:r>
      <w:del w:id="46" w:author="dani" w:date="2024-03-01T20:13:00Z">
        <w:r w:rsidDel="00717554">
          <w:delText xml:space="preserve">and Pedroni (2004). </w:delText>
        </w:r>
      </w:del>
      <w:r>
        <w:t xml:space="preserve">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w:t>
      </w:r>
      <w:r>
        <w:lastRenderedPageBreak/>
        <w:t xml:space="preserve">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7CA1D5F"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w:t>
      </w:r>
      <w:del w:id="47" w:author="dani" w:date="2024-03-01T20:13:00Z">
        <w:r w:rsidDel="00717554">
          <w:rPr>
            <w:bCs/>
            <w:sz w:val="16"/>
          </w:rPr>
          <w:delText xml:space="preserve">For Pedroni (2004), </w:delText>
        </w:r>
      </w:del>
      <w:r>
        <w:rPr>
          <w:bCs/>
          <w:sz w:val="16"/>
        </w:rPr>
        <w:t>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45858DD8" w14:textId="77777777" w:rsidR="006148EE" w:rsidRDefault="00720711">
      <w:pPr>
        <w:ind w:left="1134" w:right="899"/>
        <w:jc w:val="center"/>
        <w:rPr>
          <w:b/>
          <w:bCs/>
        </w:rPr>
      </w:pPr>
      <w:r>
        <w:rPr>
          <w:b/>
          <w:bCs/>
        </w:rPr>
        <w:lastRenderedPageBreak/>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w:t>
      </w:r>
      <w:r>
        <w:rPr>
          <w:lang w:val="en-US"/>
        </w:rPr>
        <w:lastRenderedPageBreak/>
        <w:t>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19"/>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1"/>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2"/>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4"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7" w:author="dani" w:date="2022-07-07T18:17:00Z" w:initials="d">
    <w:p w14:paraId="726DA99D" w14:textId="1ACB9F4E" w:rsidR="00B52E7B" w:rsidRPr="00717554" w:rsidRDefault="00B52E7B">
      <w:pPr>
        <w:pStyle w:val="CommentText"/>
        <w:rPr>
          <w:lang w:val="es-ES"/>
        </w:rPr>
      </w:pPr>
      <w:r>
        <w:rPr>
          <w:rStyle w:val="CommentReference"/>
        </w:rPr>
        <w:annotationRef/>
      </w:r>
      <w:r w:rsidRPr="00717554">
        <w:rPr>
          <w:lang w:val="es-ES"/>
        </w:rPr>
        <w:t>Añadir resultados</w:t>
      </w:r>
    </w:p>
  </w:comment>
  <w:comment w:id="8" w:author="dani" w:date="2022-07-11T20:26:00Z" w:initials="d">
    <w:p w14:paraId="2C34310A" w14:textId="57A9A398" w:rsidR="00CD375B" w:rsidRPr="00717554" w:rsidRDefault="00CD375B">
      <w:pPr>
        <w:pStyle w:val="CommentText"/>
        <w:rPr>
          <w:lang w:val="es-ES"/>
        </w:rPr>
      </w:pPr>
      <w:r>
        <w:rPr>
          <w:rStyle w:val="CommentReference"/>
        </w:rPr>
        <w:annotationRef/>
      </w:r>
      <w:r w:rsidRPr="00717554">
        <w:rPr>
          <w:lang w:val="es-ES"/>
        </w:rPr>
        <w:t>result</w:t>
      </w:r>
    </w:p>
  </w:comment>
  <w:comment w:id="9" w:author="dani" w:date="2024-03-01T19:43:00Z" w:initials="d">
    <w:p w14:paraId="524B40C5" w14:textId="0FD4D44A" w:rsidR="00092BD2" w:rsidRPr="00717554" w:rsidRDefault="00092BD2">
      <w:pPr>
        <w:pStyle w:val="CommentText"/>
        <w:rPr>
          <w:lang w:val="es-ES"/>
        </w:rPr>
      </w:pPr>
      <w:r>
        <w:rPr>
          <w:rStyle w:val="CommentReference"/>
        </w:rPr>
        <w:annotationRef/>
      </w:r>
      <w:r w:rsidRPr="00717554">
        <w:rPr>
          <w:lang w:val="es-ES"/>
        </w:rPr>
        <w:t>copiado de arriba</w:t>
      </w:r>
    </w:p>
  </w:comment>
  <w:comment w:id="11" w:author="dani" w:date="2022-08-19T17:56:00Z" w:initials="d">
    <w:p w14:paraId="2DB4F7B8" w14:textId="12901CD2" w:rsidR="00E0559D" w:rsidRPr="00717554" w:rsidRDefault="00E0559D">
      <w:pPr>
        <w:pStyle w:val="CommentText"/>
        <w:rPr>
          <w:lang w:val="es-ES"/>
        </w:rPr>
      </w:pPr>
      <w:r>
        <w:rPr>
          <w:rStyle w:val="CommentReference"/>
        </w:rPr>
        <w:annotationRef/>
      </w:r>
    </w:p>
  </w:comment>
  <w:comment w:id="12"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4" w:author="dani" w:date="2022-08-21T18:21:00Z" w:initials="d">
    <w:p w14:paraId="42D45E30" w14:textId="3E1364B8" w:rsidR="00105279" w:rsidRPr="00366905" w:rsidRDefault="00105279">
      <w:pPr>
        <w:pStyle w:val="CommentText"/>
        <w:rPr>
          <w:lang w:val="es-ES"/>
        </w:rPr>
      </w:pPr>
      <w:r>
        <w:rPr>
          <w:rStyle w:val="CommentReference"/>
        </w:rPr>
        <w:annotationRef/>
      </w:r>
      <w:r w:rsidRPr="00366905">
        <w:rPr>
          <w:lang w:val="es-ES"/>
        </w:rPr>
        <w:t>Review and change content</w:t>
      </w:r>
    </w:p>
  </w:comment>
  <w:comment w:id="15"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56538CC2" w15:done="0"/>
  <w15:commentEx w15:paraId="726DA99D" w15:done="0"/>
  <w15:commentEx w15:paraId="2C34310A" w15:done="0"/>
  <w15:commentEx w15:paraId="524B40C5"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Extensible w16cex:durableId="298CAE6F" w16cex:dateUtc="2024-03-01T18:43: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524B40C5" w16cid:durableId="298CAE6F"/>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AB6D" w14:textId="77777777" w:rsidR="00554ADE" w:rsidRDefault="00554ADE">
      <w:r>
        <w:separator/>
      </w:r>
    </w:p>
  </w:endnote>
  <w:endnote w:type="continuationSeparator" w:id="0">
    <w:p w14:paraId="38E3F8B2" w14:textId="77777777" w:rsidR="00554ADE" w:rsidRDefault="0055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FBF4" w14:textId="77777777" w:rsidR="00554ADE" w:rsidRDefault="00554ADE">
      <w:r>
        <w:separator/>
      </w:r>
    </w:p>
  </w:footnote>
  <w:footnote w:type="continuationSeparator" w:id="0">
    <w:p w14:paraId="2DF632C1" w14:textId="77777777" w:rsidR="00554ADE" w:rsidRDefault="00554ADE">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23B8515D"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Sabirianova-Peter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1E329B82" w14:textId="68BE4DCD" w:rsidR="009F409B" w:rsidRPr="009F409B" w:rsidRDefault="009F409B" w:rsidP="00E15982">
      <w:pPr>
        <w:pStyle w:val="FootnoteText"/>
        <w:spacing w:line="360" w:lineRule="auto"/>
      </w:pPr>
      <w:r>
        <w:rPr>
          <w:rStyle w:val="FootnoteReference"/>
        </w:rPr>
        <w:footnoteRef/>
      </w:r>
      <w:r>
        <w:t xml:space="preserve"> </w:t>
      </w:r>
      <w:r w:rsidRPr="009F409B">
        <w:t>The probit results presented in Table 5 serve as potential estimates for the policy propensity score.</w:t>
      </w:r>
    </w:p>
  </w:footnote>
  <w:footnote w:id="14">
    <w:p w14:paraId="1E00AB1C" w14:textId="1E0FE5EB" w:rsidR="00544FDC" w:rsidRPr="00544FDC" w:rsidRDefault="00544FDC" w:rsidP="007E34BB">
      <w:pPr>
        <w:pStyle w:val="FootnoteText"/>
        <w:spacing w:before="120"/>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5">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00A4F934"/>
    <w:name w:val="Lista numerada 2"/>
    <w:lvl w:ilvl="0">
      <w:start w:val="3"/>
      <w:numFmt w:val="decimal"/>
      <w:lvlText w:val="%1."/>
      <w:lvlJc w:val="left"/>
      <w:pPr>
        <w:ind w:left="360" w:firstLine="0"/>
      </w:pPr>
    </w:lvl>
    <w:lvl w:ilvl="1">
      <w:start w:val="1"/>
      <w:numFmt w:val="decimal"/>
      <w:pStyle w:val="Head2"/>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sFADyqbnMtAAAA"/>
  </w:docVars>
  <w:rsids>
    <w:rsidRoot w:val="006148EE"/>
    <w:rsid w:val="00017FEB"/>
    <w:rsid w:val="00026187"/>
    <w:rsid w:val="000301C7"/>
    <w:rsid w:val="000509C3"/>
    <w:rsid w:val="000601E3"/>
    <w:rsid w:val="00065637"/>
    <w:rsid w:val="0006603D"/>
    <w:rsid w:val="00087EE4"/>
    <w:rsid w:val="00092BD2"/>
    <w:rsid w:val="00096373"/>
    <w:rsid w:val="000A1C86"/>
    <w:rsid w:val="000A2D31"/>
    <w:rsid w:val="000A4BA0"/>
    <w:rsid w:val="000C1699"/>
    <w:rsid w:val="000C357C"/>
    <w:rsid w:val="000E2337"/>
    <w:rsid w:val="000E4A42"/>
    <w:rsid w:val="000F6E3E"/>
    <w:rsid w:val="00101FF7"/>
    <w:rsid w:val="00102A23"/>
    <w:rsid w:val="00105279"/>
    <w:rsid w:val="00114446"/>
    <w:rsid w:val="001169E2"/>
    <w:rsid w:val="00116A00"/>
    <w:rsid w:val="00122D4A"/>
    <w:rsid w:val="00123D0E"/>
    <w:rsid w:val="00125634"/>
    <w:rsid w:val="00131F08"/>
    <w:rsid w:val="001359B7"/>
    <w:rsid w:val="00135C43"/>
    <w:rsid w:val="001453DD"/>
    <w:rsid w:val="00154397"/>
    <w:rsid w:val="00162B15"/>
    <w:rsid w:val="001745D2"/>
    <w:rsid w:val="00175228"/>
    <w:rsid w:val="0017722D"/>
    <w:rsid w:val="001828A5"/>
    <w:rsid w:val="00194EA3"/>
    <w:rsid w:val="001A1517"/>
    <w:rsid w:val="001A3A98"/>
    <w:rsid w:val="001B22CE"/>
    <w:rsid w:val="001C3BE7"/>
    <w:rsid w:val="001C672D"/>
    <w:rsid w:val="001F6ECF"/>
    <w:rsid w:val="002140E4"/>
    <w:rsid w:val="00215E0B"/>
    <w:rsid w:val="00216BD9"/>
    <w:rsid w:val="002330DF"/>
    <w:rsid w:val="002339AD"/>
    <w:rsid w:val="00236035"/>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84507"/>
    <w:rsid w:val="00394BFC"/>
    <w:rsid w:val="003B1F01"/>
    <w:rsid w:val="003B1F81"/>
    <w:rsid w:val="003D3E79"/>
    <w:rsid w:val="003F77CF"/>
    <w:rsid w:val="00406A99"/>
    <w:rsid w:val="00407662"/>
    <w:rsid w:val="00412C2B"/>
    <w:rsid w:val="0042235D"/>
    <w:rsid w:val="00425A3A"/>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4ADE"/>
    <w:rsid w:val="0055518B"/>
    <w:rsid w:val="00572941"/>
    <w:rsid w:val="00585240"/>
    <w:rsid w:val="005A45A7"/>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17554"/>
    <w:rsid w:val="00720711"/>
    <w:rsid w:val="0072468A"/>
    <w:rsid w:val="00731902"/>
    <w:rsid w:val="007512A1"/>
    <w:rsid w:val="00763943"/>
    <w:rsid w:val="007818D4"/>
    <w:rsid w:val="00782347"/>
    <w:rsid w:val="00785483"/>
    <w:rsid w:val="007952E6"/>
    <w:rsid w:val="00797B3A"/>
    <w:rsid w:val="007C6B3C"/>
    <w:rsid w:val="007D3BDA"/>
    <w:rsid w:val="007E34BB"/>
    <w:rsid w:val="007F0C7F"/>
    <w:rsid w:val="007F34B7"/>
    <w:rsid w:val="00810944"/>
    <w:rsid w:val="00816BF9"/>
    <w:rsid w:val="008323D5"/>
    <w:rsid w:val="00856E08"/>
    <w:rsid w:val="00864B90"/>
    <w:rsid w:val="008909A9"/>
    <w:rsid w:val="008A7917"/>
    <w:rsid w:val="008E0C3F"/>
    <w:rsid w:val="008F01AE"/>
    <w:rsid w:val="009077F9"/>
    <w:rsid w:val="009117D7"/>
    <w:rsid w:val="009327EA"/>
    <w:rsid w:val="00936F3E"/>
    <w:rsid w:val="00941AB5"/>
    <w:rsid w:val="009502A0"/>
    <w:rsid w:val="00957812"/>
    <w:rsid w:val="00960F01"/>
    <w:rsid w:val="0099423F"/>
    <w:rsid w:val="009B635E"/>
    <w:rsid w:val="009F1605"/>
    <w:rsid w:val="009F409B"/>
    <w:rsid w:val="00A0625F"/>
    <w:rsid w:val="00A07DAF"/>
    <w:rsid w:val="00A12D7A"/>
    <w:rsid w:val="00A15425"/>
    <w:rsid w:val="00A335BC"/>
    <w:rsid w:val="00A37202"/>
    <w:rsid w:val="00AB684E"/>
    <w:rsid w:val="00AC0817"/>
    <w:rsid w:val="00AC78F4"/>
    <w:rsid w:val="00AE2474"/>
    <w:rsid w:val="00AF2BAF"/>
    <w:rsid w:val="00AF2D72"/>
    <w:rsid w:val="00AF3370"/>
    <w:rsid w:val="00B104F7"/>
    <w:rsid w:val="00B2129B"/>
    <w:rsid w:val="00B23BAD"/>
    <w:rsid w:val="00B36297"/>
    <w:rsid w:val="00B513D4"/>
    <w:rsid w:val="00B51EC7"/>
    <w:rsid w:val="00B52E7B"/>
    <w:rsid w:val="00B66C0C"/>
    <w:rsid w:val="00B97AFC"/>
    <w:rsid w:val="00BA73B2"/>
    <w:rsid w:val="00BB5831"/>
    <w:rsid w:val="00BC0F94"/>
    <w:rsid w:val="00BC5D5E"/>
    <w:rsid w:val="00BE2EC1"/>
    <w:rsid w:val="00BE58CD"/>
    <w:rsid w:val="00BF5C12"/>
    <w:rsid w:val="00BF6035"/>
    <w:rsid w:val="00BF7005"/>
    <w:rsid w:val="00C12142"/>
    <w:rsid w:val="00C5420A"/>
    <w:rsid w:val="00C729B0"/>
    <w:rsid w:val="00C87353"/>
    <w:rsid w:val="00C87740"/>
    <w:rsid w:val="00CC1165"/>
    <w:rsid w:val="00CD1D67"/>
    <w:rsid w:val="00CD375B"/>
    <w:rsid w:val="00CD4F18"/>
    <w:rsid w:val="00CE0501"/>
    <w:rsid w:val="00CE33B3"/>
    <w:rsid w:val="00CF21D5"/>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15982"/>
    <w:rsid w:val="00E20219"/>
    <w:rsid w:val="00E31A3D"/>
    <w:rsid w:val="00E532CE"/>
    <w:rsid w:val="00E66C90"/>
    <w:rsid w:val="00E67E2E"/>
    <w:rsid w:val="00E87C18"/>
    <w:rsid w:val="00E9731D"/>
    <w:rsid w:val="00EA0F41"/>
    <w:rsid w:val="00EA1730"/>
    <w:rsid w:val="00EA44CB"/>
    <w:rsid w:val="00EB04DA"/>
    <w:rsid w:val="00EB4EDF"/>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link w:val="ListParagraphChar"/>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 w:type="paragraph" w:customStyle="1" w:styleId="Head2">
    <w:name w:val="Head2"/>
    <w:basedOn w:val="ListParagraph"/>
    <w:link w:val="Head2Char"/>
    <w:qFormat/>
    <w:rsid w:val="000A1C86"/>
    <w:pPr>
      <w:numPr>
        <w:ilvl w:val="1"/>
        <w:numId w:val="2"/>
      </w:numPr>
      <w:spacing w:before="360" w:after="240" w:line="312" w:lineRule="auto"/>
      <w:ind w:left="1157" w:hanging="437"/>
      <w:jc w:val="both"/>
      <w:outlineLvl w:val="1"/>
    </w:pPr>
    <w:rPr>
      <w:rFonts w:ascii="Times New Roman" w:hAnsi="Times New Roman"/>
      <w:b/>
      <w:sz w:val="24"/>
      <w:szCs w:val="24"/>
    </w:rPr>
  </w:style>
  <w:style w:type="character" w:customStyle="1" w:styleId="ListParagraphChar">
    <w:name w:val="List Paragraph Char"/>
    <w:basedOn w:val="DefaultParagraphFont"/>
    <w:link w:val="ListParagraph"/>
    <w:rsid w:val="000A1C86"/>
    <w:rPr>
      <w:rFonts w:ascii="Calibri" w:eastAsia="Calibri" w:hAnsi="Calibri"/>
      <w:sz w:val="22"/>
      <w:szCs w:val="22"/>
      <w:lang w:val="en-US" w:eastAsia="en-US"/>
    </w:rPr>
  </w:style>
  <w:style w:type="character" w:customStyle="1" w:styleId="Head2Char">
    <w:name w:val="Head2 Char"/>
    <w:basedOn w:val="ListParagraphChar"/>
    <w:link w:val="Head2"/>
    <w:rsid w:val="000A1C86"/>
    <w:rPr>
      <w:rFonts w:ascii="Calibri" w:eastAsia="Calibri" w:hAnsi="Calibri"/>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footer" Target="foot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38</Pages>
  <Words>12620</Words>
  <Characters>69415</Characters>
  <Application>Microsoft Office Word</Application>
  <DocSecurity>0</DocSecurity>
  <Lines>578</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69</cp:revision>
  <cp:lastPrinted>2019-05-28T12:31:00Z</cp:lastPrinted>
  <dcterms:created xsi:type="dcterms:W3CDTF">2022-01-23T17:02:00Z</dcterms:created>
  <dcterms:modified xsi:type="dcterms:W3CDTF">2024-03-01T19:17:00Z</dcterms:modified>
</cp:coreProperties>
</file>