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Pr>
          <w:szCs w:val="32"/>
        </w:rPr>
        <w:t>HOW can fiscal policies MiTIGATE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proofErr w:type="spellStart"/>
      <w:r>
        <w:t>Ro</w:t>
      </w:r>
      <w:r w:rsidRPr="000A2D31">
        <w:t>i</w:t>
      </w:r>
      <w:r>
        <w:t>ne</w:t>
      </w:r>
      <w:proofErr w:type="spellEnd"/>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w:t>
      </w:r>
      <w:proofErr w:type="spellStart"/>
      <w:r w:rsidRPr="000A2D31">
        <w:t>M</w:t>
      </w:r>
      <w:r>
        <w:t>u</w:t>
      </w:r>
      <w:r w:rsidRPr="000A2D31">
        <w:t>i</w:t>
      </w:r>
      <w:r>
        <w:t>ne</w:t>
      </w:r>
      <w:r w:rsidRPr="000A2D31">
        <w:t>lo</w:t>
      </w:r>
      <w:proofErr w:type="spellEnd"/>
      <w:r w:rsidRPr="000A2D31">
        <w:t>-G</w:t>
      </w:r>
      <w:r>
        <w:t>a</w:t>
      </w:r>
      <w:r w:rsidRPr="000A2D31">
        <w:t>l</w:t>
      </w:r>
      <w:r>
        <w:t>lo</w:t>
      </w:r>
      <w:r w:rsidRPr="000A2D31">
        <w:t xml:space="preserve"> </w:t>
      </w:r>
      <w:r>
        <w:t>and</w:t>
      </w:r>
      <w:r w:rsidRPr="000A2D31">
        <w:t xml:space="preserve"> </w:t>
      </w:r>
      <w:r>
        <w:t>Ro</w:t>
      </w:r>
      <w:r w:rsidRPr="000A2D31">
        <w:t>ca-</w:t>
      </w:r>
      <w:proofErr w:type="spellStart"/>
      <w:r>
        <w:t>Saga</w:t>
      </w:r>
      <w:r w:rsidRPr="000A2D31">
        <w:t>l</w:t>
      </w:r>
      <w:r>
        <w:t>és</w:t>
      </w:r>
      <w:proofErr w:type="spellEnd"/>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 xml:space="preserve">Source: </w:t>
            </w:r>
            <w:proofErr w:type="gramStart"/>
            <w:r>
              <w:rPr>
                <w:rFonts w:eastAsia="Arial"/>
                <w:sz w:val="20"/>
                <w:szCs w:val="20"/>
              </w:rPr>
              <w:t>Authors’</w:t>
            </w:r>
            <w:proofErr w:type="gramEnd"/>
            <w:r>
              <w:rPr>
                <w:rFonts w:eastAsia="Arial"/>
                <w:sz w:val="20"/>
                <w:szCs w:val="20"/>
              </w:rPr>
              <w:t xml:space="preserve">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4D51EF42" w:rsidR="006148EE" w:rsidRDefault="00720711" w:rsidP="000A2D31">
      <w:pPr>
        <w:spacing w:after="200" w:line="312" w:lineRule="auto"/>
        <w:jc w:val="both"/>
      </w:pPr>
      <w:r>
        <w:t xml:space="preserve">This paper investigates the effect of fiscal policies instruments on income inequality trends by using a dynamic local projection model, </w:t>
      </w:r>
      <w:r w:rsidRPr="00BF5C12">
        <w:t xml:space="preserve">starting with </w:t>
      </w:r>
      <w:proofErr w:type="spellStart"/>
      <w:r w:rsidRPr="00BF5C12">
        <w:t>Jordà</w:t>
      </w:r>
      <w:proofErr w:type="spellEnd"/>
      <w:r w:rsidRPr="00BF5C12">
        <w:t xml:space="preserve"> (2005), local projections (LPs) 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77777777" w:rsidR="006148EE" w:rsidRDefault="00720711" w:rsidP="000A2D31">
      <w:pPr>
        <w:spacing w:after="20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rsidP="000A2D31">
      <w:pPr>
        <w:spacing w:after="20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r>
        <w:t xml:space="preserve"> This </w:t>
      </w:r>
      <w:r>
        <w:lastRenderedPageBreak/>
        <w:t>large and new panel data set covers personal income tax structures at the country level in 189 countries over more than 30 years and contains various important variables such as average and marginal tax rates, progressivity or complexity.</w:t>
      </w:r>
    </w:p>
    <w:p w14:paraId="1F167036" w14:textId="5B549576" w:rsidR="006148EE" w:rsidRDefault="00720711" w:rsidP="000A2D31">
      <w:pPr>
        <w:spacing w:after="20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(e.g., Lundberg and Squire, 2003).</w:t>
      </w:r>
    </w:p>
    <w:p w14:paraId="3ADB9D30" w14:textId="6C36C934"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education and health expenditure, the main in-kind transfers. Fourth, we introduce a new variable for the degree</w:t>
      </w:r>
      <w:r>
        <w:t xml:space="preserve"> of tax progressivity, as it is also important to analyse the degree of redistribution via the (progressive) direct income tax system, and the effects of direct and indirect taxation.</w:t>
      </w:r>
    </w:p>
    <w:p w14:paraId="1629FE8D" w14:textId="0CD1B6B2"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 in the Appendix for definitions and sources).</w:t>
      </w:r>
    </w:p>
    <w:p w14:paraId="660BEF53" w14:textId="77777777" w:rsidR="006148EE" w:rsidRDefault="00720711">
      <w:pPr>
        <w:jc w:val="center"/>
      </w:pPr>
      <w:commentRangeStart w:id="5"/>
      <w:commentRangeStart w:id="6"/>
      <w:r>
        <w:rPr>
          <w:b/>
        </w:rPr>
        <w:t>Table 1. Descriptive statistics and model variables</w:t>
      </w:r>
      <w:commentRangeEnd w:id="5"/>
      <w:r>
        <w:commentReference w:id="5"/>
      </w:r>
      <w:commentRangeEnd w:id="6"/>
      <w:r w:rsidR="000A2D31">
        <w:rPr>
          <w:rStyle w:val="CommentReference"/>
        </w:rPr>
        <w:commentReference w:id="6"/>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lastRenderedPageBreak/>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The empirical specification of Local Projection</w:t>
      </w:r>
    </w:p>
    <w:p w14:paraId="22DC4E0A" w14:textId="77777777" w:rsidR="006148EE" w:rsidRDefault="006148EE">
      <w:pPr>
        <w:rPr>
          <w:b/>
          <w:sz w:val="22"/>
          <w:szCs w:val="22"/>
        </w:rPr>
      </w:pPr>
    </w:p>
    <w:p w14:paraId="45133EB9" w14:textId="6DA1AD23" w:rsidR="00572941" w:rsidRDefault="00720711" w:rsidP="002766BB">
      <w:pPr>
        <w:spacing w:after="20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rsidP="002766BB">
      <w:pPr>
        <w:spacing w:after="200" w:line="312" w:lineRule="auto"/>
        <w:jc w:val="both"/>
      </w:pPr>
      <w:r>
        <w:t xml:space="preserve">Second, dynamics are likely to be present, in the sense that the feedback between income inequality and growth occurs gradually over time, and with different intensities especially in the short-run. </w:t>
      </w:r>
      <w:r w:rsidR="00175228" w:rsidRPr="00175228">
        <w:t xml:space="preserve">The previous </w:t>
      </w:r>
      <w:r w:rsidR="00175228">
        <w:t>point</w:t>
      </w:r>
      <w:r w:rsidR="00175228" w:rsidRPr="00175228">
        <w:t xml:space="preserve"> raises concerns that the </w:t>
      </w:r>
      <w:r w:rsidR="00175228" w:rsidRPr="0006603D">
        <w:rPr>
          <w:highlight w:val="yellow"/>
        </w:rPr>
        <w:t>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0A5BA848" w:rsidR="006148EE" w:rsidRDefault="00720711" w:rsidP="002766BB">
      <w:pPr>
        <w:spacing w:after="200" w:line="312" w:lineRule="auto"/>
        <w:jc w:val="both"/>
      </w:pPr>
      <w:r>
        <w:t>We use an unbalanced panel of data from 23 developed countries over the period 1990-2018 and estimated a dynamic local projection model (</w:t>
      </w:r>
      <w:proofErr w:type="spellStart"/>
      <w:r>
        <w:t>Jorda</w:t>
      </w:r>
      <w:proofErr w:type="spellEnd"/>
      <w:r>
        <w:t>, 2005)</w:t>
      </w:r>
      <w:r w:rsidRPr="00175228">
        <w:t>, local projections (LPs) have become an increasingly widespread alternative econometric approach</w:t>
      </w:r>
      <w:r>
        <w:t xml:space="preserve">. </w:t>
      </w:r>
      <w:r w:rsidR="00175228" w:rsidRPr="0006603D">
        <w:rPr>
          <w:highlight w:val="yellow"/>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r w:rsidR="00175228">
        <w:t xml:space="preserve"> </w:t>
      </w:r>
      <w:r>
        <w:t xml:space="preserve">Traditional econometric methods </w:t>
      </w:r>
      <w:r>
        <w:lastRenderedPageBreak/>
        <w:t xml:space="preserve">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 LPs are efficient and </w:t>
      </w:r>
      <w:r w:rsidRPr="00175228">
        <w:t>are more robust to model misspecification</w:t>
      </w:r>
      <w:r>
        <w:t xml:space="preserve">. In this way, our paper sheds some light in identifying the relationship between economic fiscal policies, growth and inequality. </w:t>
      </w:r>
    </w:p>
    <w:p w14:paraId="77965EAE" w14:textId="1D79E310" w:rsidR="006148EE" w:rsidRDefault="00720711" w:rsidP="002766BB">
      <w:pPr>
        <w:spacing w:after="200" w:line="312" w:lineRule="auto"/>
        <w:jc w:val="both"/>
      </w:pPr>
      <w:r>
        <w:t xml:space="preserve">We use a Local Projection model, which controls for country fixed-effects. This method results in a distribution of </w:t>
      </w:r>
      <w:proofErr w:type="spellStart"/>
      <w:r>
        <w:rPr>
          <w:i/>
        </w:rPr>
        <w:t>impulseresponse</w:t>
      </w:r>
      <w:proofErr w:type="spellEnd"/>
      <w:r>
        <w:t xml:space="preserve"> functions permitting a much more robust inference than those relying on average estimates which assume commonly slopes homogeneity. The model allows to be fully heterogeneous amongst panel members. In that context, each member </w:t>
      </w:r>
      <w:proofErr w:type="spellStart"/>
      <w:r>
        <w:rPr>
          <w:i/>
        </w:rPr>
        <w:t>i</w:t>
      </w:r>
      <w:proofErr w:type="spellEnd"/>
      <w:r>
        <w:rPr>
          <w:i/>
        </w:rPr>
        <w:t xml:space="preserve"> = [1…M]’</w:t>
      </w:r>
      <w:r>
        <w:t xml:space="preserve">, </w:t>
      </w:r>
      <w:r w:rsidR="00F8193A">
        <w:t>being</w:t>
      </w:r>
      <w:r>
        <w:t xml:space="preserve"> </w:t>
      </w:r>
      <w:proofErr w:type="spellStart"/>
      <w:proofErr w:type="gramStart"/>
      <w:r>
        <w:t>y</w:t>
      </w:r>
      <w:r>
        <w:rPr>
          <w:vertAlign w:val="subscript"/>
        </w:rPr>
        <w:t>i,t</w:t>
      </w:r>
      <w:proofErr w:type="spellEnd"/>
      <w:proofErr w:type="gramEnd"/>
      <w:r>
        <w:t xml:space="preserve"> a vector of </w:t>
      </w:r>
      <w:r>
        <w:rPr>
          <w:i/>
        </w:rPr>
        <w:t>n</w:t>
      </w:r>
      <w:r>
        <w:t xml:space="preserve"> endogenous variables with country specific time dimensions </w:t>
      </w:r>
      <w:r>
        <w:rPr>
          <w:i/>
        </w:rPr>
        <w:t>t = [1,…</w:t>
      </w:r>
      <w:proofErr w:type="spellStart"/>
      <w:r>
        <w:rPr>
          <w:i/>
        </w:rPr>
        <w:t>T</w:t>
      </w:r>
      <w:r>
        <w:rPr>
          <w:i/>
          <w:vertAlign w:val="subscript"/>
        </w:rPr>
        <w:t>i</w:t>
      </w:r>
      <w:proofErr w:type="spellEnd"/>
      <w:r>
        <w:rPr>
          <w:i/>
        </w:rPr>
        <w:t>]’.</w:t>
      </w:r>
      <w:r>
        <w:rPr>
          <w:rStyle w:val="FootnoteReference"/>
          <w:i/>
        </w:rPr>
        <w:footnoteReference w:id="10"/>
      </w:r>
      <w:r>
        <w:t xml:space="preserve"> To control for individual fixed-effects, we demean the data, resulting in </w:t>
      </w:r>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represents the average of the variable for each </w:t>
      </w:r>
      <w:proofErr w:type="spellStart"/>
      <w:r>
        <w:rPr>
          <w:i/>
        </w:rPr>
        <w:t>i</w:t>
      </w:r>
      <w:proofErr w:type="spellEnd"/>
      <w:r>
        <w:rPr>
          <w:i/>
        </w:rPr>
        <w:t>.</w:t>
      </w:r>
      <w:r>
        <w:t xml:space="preserve"> Thus,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r w:rsidR="00E9731D" w:rsidRPr="00E9731D">
        <w:rPr>
          <w:i/>
          <w:iCs/>
        </w:rPr>
        <w:t>FV</w:t>
      </w:r>
      <w:r w:rsidR="00E9731D" w:rsidRPr="00E9731D">
        <w:rPr>
          <w:i/>
          <w:iCs/>
          <w:vertAlign w:val="subscript"/>
        </w:rPr>
        <w:t>h</w:t>
      </w:r>
      <w:proofErr w:type="spellEnd"/>
      <w:r w:rsidR="00E9731D" w:rsidRPr="00E9731D">
        <w:rPr>
          <w:i/>
          <w:iCs/>
        </w:rPr>
        <w:t xml:space="preserve">, </w:t>
      </w:r>
      <w:proofErr w:type="spellStart"/>
      <w:r w:rsidR="00310C3F" w:rsidRPr="00E9731D">
        <w:rPr>
          <w:i/>
          <w:iCs/>
        </w:rPr>
        <w:t>x</w:t>
      </w:r>
      <w:r w:rsidR="00310C3F" w:rsidRPr="00E9731D">
        <w:rPr>
          <w:i/>
          <w:iCs/>
          <w:vertAlign w:val="subscript"/>
        </w:rPr>
        <w:t>t</w:t>
      </w:r>
      <w:proofErr w:type="spellEnd"/>
      <w:r w:rsidR="00310C3F">
        <w:t xml:space="preserve"> </w:t>
      </w:r>
      <w:r w:rsidR="00E9731D">
        <w:t xml:space="preserve">are </w:t>
      </w:r>
      <w:r w:rsidR="00310C3F">
        <w:t xml:space="preserve">given by </w:t>
      </w:r>
      <w:r w:rsidR="00F8193A">
        <w:t>(</w:t>
      </w:r>
      <w:r w:rsidR="00310C3F">
        <w:t>β</w:t>
      </w:r>
      <w:proofErr w:type="gramStart"/>
      <w:r w:rsidR="00310C3F" w:rsidRPr="00310C3F">
        <w:rPr>
          <w:vertAlign w:val="subscript"/>
        </w:rPr>
        <w:t>h</w:t>
      </w:r>
      <w:r w:rsidR="00F8193A">
        <w:t>)</w:t>
      </w:r>
      <w:r w:rsidR="00310C3F" w:rsidRPr="00310C3F">
        <w:rPr>
          <w:vertAlign w:val="subscript"/>
        </w:rPr>
        <w:t>h</w:t>
      </w:r>
      <w:proofErr w:type="gramEnd"/>
      <w:r w:rsidR="00310C3F" w:rsidRPr="00310C3F">
        <w:rPr>
          <w:vertAlign w:val="subscript"/>
        </w:rPr>
        <w:t>≥0</w:t>
      </w:r>
      <w:r w:rsidR="00E9731D">
        <w:t xml:space="preserve">, and </w:t>
      </w:r>
      <w:r w:rsidR="00310C3F">
        <w:t xml:space="preserve"> </w:t>
      </w:r>
      <m:oMath>
        <m:r>
          <m:rPr>
            <m:sty m:val="p"/>
          </m:rPr>
          <w:rPr>
            <w:rFonts w:ascii="Cambria Math" w:hAnsi="Cambria Math"/>
          </w:rPr>
          <m:t>δ</m:t>
        </m:r>
      </m:oMath>
      <w:r w:rsidR="00E9731D">
        <w:t xml:space="preserve"> </w:t>
      </w:r>
      <w:r w:rsidR="00310C3F">
        <w:t>in Eq. (1).</w:t>
      </w:r>
    </w:p>
    <w:p w14:paraId="2C8CEE79" w14:textId="7C78D002" w:rsidR="005F5127" w:rsidRDefault="005F5127" w:rsidP="002766BB">
      <w:pPr>
        <w:spacing w:after="200" w:line="312" w:lineRule="auto"/>
        <w:jc w:val="both"/>
      </w:pPr>
      <w:r>
        <w:t>To create a benchmark estimating equation that mimics the standard setup in the literature, the typical LP equation that we estimate has the form:</w:t>
      </w:r>
    </w:p>
    <w:p w14:paraId="44CC0039" w14:textId="0BA5A084" w:rsidR="003F77CF" w:rsidRDefault="007F0C7F"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2D562B36" w:rsidR="006148EE" w:rsidRDefault="00E67E2E" w:rsidP="002766BB">
      <w:pPr>
        <w:spacing w:after="200" w:line="312" w:lineRule="auto"/>
        <w:jc w:val="both"/>
      </w:pPr>
      <w:r>
        <w:t xml:space="preserve">for h = 1, ..., 5, and where </w:t>
      </w:r>
      <w:proofErr w:type="spellStart"/>
      <w:r>
        <w:t>y</w:t>
      </w:r>
      <w:r w:rsidRPr="002D4EDB">
        <w:rPr>
          <w:vertAlign w:val="subscript"/>
        </w:rPr>
        <w:t>i,t+h</w:t>
      </w:r>
      <w:proofErr w:type="spellEnd"/>
      <w:r>
        <w:t xml:space="preserve"> − </w:t>
      </w:r>
      <w:proofErr w:type="spellStart"/>
      <w:r>
        <w:t>y</w:t>
      </w:r>
      <w:r w:rsidRPr="002D4EDB">
        <w:rPr>
          <w:vertAlign w:val="subscript"/>
        </w:rPr>
        <w:t>i,t</w:t>
      </w:r>
      <w:proofErr w:type="spellEnd"/>
      <w:r>
        <w:t xml:space="preserve"> denotes the cumulative change from time t to t + h in 100 times the log of real GDP, the </w:t>
      </w:r>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w:t>
      </w:r>
      <w:proofErr w:type="spellStart"/>
      <w:r>
        <w:t>D</w:t>
      </w:r>
      <w:r w:rsidRPr="002D4EDB">
        <w:rPr>
          <w:vertAlign w:val="subscript"/>
        </w:rPr>
        <w:t>i,t</w:t>
      </w:r>
      <w:proofErr w:type="spellEnd"/>
      <w:r>
        <w:t xml:space="preserve"> denotes the </w:t>
      </w:r>
      <w:r w:rsidR="002D4EDB">
        <w:t>differences fiscal</w:t>
      </w:r>
      <w:r>
        <w:t xml:space="preserve"> policy variable (measured from time t to time t + 1</w:t>
      </w:r>
      <w:r w:rsidR="002D4EDB">
        <w:t>)</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CE33B3">
        <w:t xml:space="preserve">(economic </w:t>
      </w:r>
      <w:r w:rsidR="00E9731D">
        <w:t>growth and government expenditure</w:t>
      </w:r>
      <w:r w:rsidR="00CE33B3">
        <w:t>)</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2C5CF85E" w:rsidR="006148EE" w:rsidRDefault="00720711" w:rsidP="002766BB">
      <w:pPr>
        <w:spacing w:after="200" w:line="312" w:lineRule="auto"/>
        <w:jc w:val="both"/>
      </w:pPr>
      <w:r>
        <w:t xml:space="preserve">Instead, we </w:t>
      </w:r>
      <w:r w:rsidR="007818D4" w:rsidRPr="007818D4">
        <w:t>impose a temporal ordering on the set of variables</w:t>
      </w:r>
      <w:r>
        <w:t xml:space="preserve"> to estimate the function that draws the current distribution into parameters characterizing the next period distribution, conditional on vector Xt. </w:t>
      </w:r>
      <w:r w:rsidR="007818D4">
        <w:t xml:space="preserve">For example, the Gini index, which itself in turn does not react within the period to changes in fiscal policies and money growth. </w:t>
      </w:r>
      <w:r>
        <w:t>The basic idea for our empirical exercise is:</w:t>
      </w:r>
    </w:p>
    <w:p w14:paraId="30277ACD" w14:textId="2B12088B" w:rsidR="006148EE" w:rsidRDefault="00720711" w:rsidP="002766BB">
      <w:pPr>
        <w:spacing w:after="200" w:line="312" w:lineRule="auto"/>
        <w:jc w:val="both"/>
        <w:rPr>
          <w:i/>
          <w:vertAlign w:val="subscript"/>
        </w:rPr>
      </w:pPr>
      <w:r>
        <w:rPr>
          <w:i/>
        </w:rPr>
        <w:t xml:space="preserve">Left-hand variables = </w:t>
      </w:r>
      <w:proofErr w:type="spellStart"/>
      <w:proofErr w:type="gramStart"/>
      <w:r>
        <w:rPr>
          <w:i/>
        </w:rPr>
        <w:t>Gini</w:t>
      </w:r>
      <w:r>
        <w:rPr>
          <w:i/>
          <w:vertAlign w:val="subscript"/>
        </w:rPr>
        <w:t>i,t</w:t>
      </w:r>
      <w:proofErr w:type="spellEnd"/>
      <w:proofErr w:type="gramEnd"/>
      <w:r>
        <w:rPr>
          <w:i/>
        </w:rPr>
        <w:t>,</w:t>
      </w:r>
      <w:r w:rsidR="00026187">
        <w:rPr>
          <w:i/>
        </w:rPr>
        <w:t xml:space="preserve"> net income</w:t>
      </w:r>
      <w:r>
        <w:rPr>
          <w:i/>
        </w:rPr>
        <w:t xml:space="preserve"> </w:t>
      </w:r>
    </w:p>
    <w:p w14:paraId="759ED300" w14:textId="722C05EA" w:rsidR="006148EE" w:rsidRDefault="00720711" w:rsidP="002766BB">
      <w:pPr>
        <w:spacing w:after="200" w:line="312" w:lineRule="auto"/>
        <w:jc w:val="both"/>
      </w:pPr>
      <w:r>
        <w:rPr>
          <w:i/>
        </w:rPr>
        <w:lastRenderedPageBreak/>
        <w:t xml:space="preserve">Right-hand variables = </w:t>
      </w:r>
      <w:proofErr w:type="spellStart"/>
      <w:proofErr w:type="gramStart"/>
      <w:r>
        <w:rPr>
          <w:i/>
        </w:rPr>
        <w:t>Gini</w:t>
      </w:r>
      <w:r>
        <w:rPr>
          <w:i/>
          <w:vertAlign w:val="subscript"/>
        </w:rPr>
        <w:t>i,t</w:t>
      </w:r>
      <w:proofErr w:type="spellEnd"/>
      <w:proofErr w:type="gramEnd"/>
      <w:r>
        <w:rPr>
          <w:i/>
        </w:rPr>
        <w:t xml:space="preserve">, </w:t>
      </w:r>
      <w:proofErr w:type="spellStart"/>
      <w:r>
        <w:rPr>
          <w:i/>
        </w:rPr>
        <w:t>Growth</w:t>
      </w:r>
      <w:r>
        <w:rPr>
          <w:i/>
          <w:vertAlign w:val="subscript"/>
        </w:rPr>
        <w:t>i,t</w:t>
      </w:r>
      <w:proofErr w:type="spellEnd"/>
      <w:r>
        <w:rPr>
          <w:i/>
        </w:rPr>
        <w:t>, Fiscal policies</w:t>
      </w:r>
      <w:r w:rsidR="007818D4">
        <w:rPr>
          <w:i/>
        </w:rPr>
        <w:t xml:space="preserve"> (</w:t>
      </w:r>
      <w:proofErr w:type="spellStart"/>
      <w:r w:rsidR="007818D4">
        <w:rPr>
          <w:i/>
        </w:rPr>
        <w:t>FV</w:t>
      </w:r>
      <w:r w:rsidR="007818D4">
        <w:rPr>
          <w:i/>
          <w:vertAlign w:val="subscript"/>
        </w:rPr>
        <w:t>i,t</w:t>
      </w:r>
      <w:proofErr w:type="spellEnd"/>
      <w:r w:rsidR="007818D4">
        <w:rPr>
          <w:i/>
        </w:rPr>
        <w:t>)</w:t>
      </w:r>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015F5798" w:rsidR="006148EE" w:rsidRDefault="000509C3" w:rsidP="002766BB">
      <w:pPr>
        <w:spacing w:after="20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2766BB">
      <w:pPr>
        <w:spacing w:after="200" w:line="312" w:lineRule="auto"/>
        <w:jc w:val="both"/>
      </w:pPr>
      <w:r>
        <w:t xml:space="preserve">Intuitively, this projection uncovers the linear combination of the data that best explains long-run movements in the Gini index. By assumption, as possible explanatory variables we consider the GDP growth and Fiscal policies. Thus, to estimate impulse responses with respect to the </w:t>
      </w:r>
      <w:r w:rsidRPr="009117D7">
        <w:rPr>
          <w:i/>
          <w:iCs/>
        </w:rPr>
        <w:t>X</w:t>
      </w:r>
      <w:r>
        <w:t xml:space="preserve"> variable, we can run the local projection (Eq. 1) with </w:t>
      </w:r>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r>
        <w:t xml:space="preserve"> and with </w:t>
      </w:r>
      <w:proofErr w:type="spellStart"/>
      <w:r w:rsidRPr="009117D7">
        <w:rPr>
          <w:i/>
          <w:iCs/>
        </w:rPr>
        <w:t>y</w:t>
      </w:r>
      <w:r w:rsidRPr="009117D7">
        <w:rPr>
          <w:i/>
          <w:iCs/>
        </w:rPr>
        <w:softHyphen/>
      </w:r>
      <w:r w:rsidRPr="009117D7">
        <w:rPr>
          <w:i/>
          <w:iCs/>
          <w:vertAlign w:val="subscript"/>
        </w:rPr>
        <w:t>t</w:t>
      </w:r>
      <w:proofErr w:type="spellEnd"/>
      <w:r>
        <w:t xml:space="preserve"> given by the response variable of interest (either ∆</w:t>
      </w:r>
      <w:proofErr w:type="spellStart"/>
      <w:r>
        <w:t>gdp</w:t>
      </w:r>
      <w:r w:rsidRPr="009117D7">
        <w:rPr>
          <w:vertAlign w:val="subscript"/>
        </w:rPr>
        <w:t>t</w:t>
      </w:r>
      <w:proofErr w:type="spellEnd"/>
      <w:r>
        <w:t xml:space="preserve"> or </w:t>
      </w:r>
      <w:proofErr w:type="spellStart"/>
      <w:r>
        <w:t>FV</w:t>
      </w:r>
      <w:r w:rsidRPr="00065637">
        <w:rPr>
          <w:vertAlign w:val="subscript"/>
        </w:rPr>
        <w:t>t</w:t>
      </w:r>
      <w:proofErr w:type="spellEnd"/>
      <w:r>
        <w:t>).</w:t>
      </w:r>
    </w:p>
    <w:p w14:paraId="644B5304" w14:textId="6BCBBD87"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First, we can infer dynamic </w:t>
      </w:r>
      <w:r w:rsidR="00667E9F">
        <w:t>properties</w:t>
      </w:r>
      <w:r>
        <w:t xml:space="preserve"> since it captures the effects of the changes of income and inequality over time as influenced by growth and changes in the fiscal side. Thus, we can characterize the relationships between fiscal policies, growth and inequality via dynamic responses. </w:t>
      </w:r>
      <w:r w:rsidR="00667E9F">
        <w:t>Following</w:t>
      </w:r>
      <w:r>
        <w:t>, as long as the identification permits, any structure of the previous interactions on inequality can be allowed in the model. Previous studies of single equation empirical models did not consider such interactions among fiscal variables.</w:t>
      </w:r>
    </w:p>
    <w:p w14:paraId="38BCB232" w14:textId="41EC81AD" w:rsidR="006148EE" w:rsidRDefault="00720711" w:rsidP="002766BB">
      <w:pPr>
        <w:spacing w:after="200" w:line="312" w:lineRule="auto"/>
        <w:jc w:val="both"/>
      </w:pPr>
      <w:r>
        <w:t>Here we test 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r w:rsidR="00667E9F">
        <w:t>, as long as the effect of direct and indirect taxation</w:t>
      </w:r>
      <w:proofErr w:type="gramStart"/>
      <w:r w:rsidR="00667E9F">
        <w:t>).</w:t>
      </w:r>
      <w:r>
        <w:t>.</w:t>
      </w:r>
      <w:proofErr w:type="gramEnd"/>
      <w:r>
        <w:t xml:space="preserve"> 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7F71750F" w14:textId="5DDABF07" w:rsidR="00F8193A" w:rsidRPr="0006603D" w:rsidRDefault="00720711" w:rsidP="002766BB">
      <w:pPr>
        <w:spacing w:after="200" w:line="312" w:lineRule="auto"/>
        <w:jc w:val="both"/>
        <w:rPr>
          <w:highlight w:val="yellow"/>
        </w:rPr>
      </w:pPr>
      <w:r>
        <w:t xml:space="preserve">Moreover, given the reasonable large time length of our data set, we exploit the panel structure of the data that is not reliable in a </w:t>
      </w:r>
      <w:r w:rsidR="00384507">
        <w:t>traditional VAR estimate</w:t>
      </w:r>
      <w:r>
        <w:t xml:space="preserve">. </w:t>
      </w:r>
      <w:r w:rsidR="00F8193A" w:rsidRPr="0006603D">
        <w:rPr>
          <w:highlight w:val="yellow"/>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p>
    <w:p w14:paraId="374C5FFC" w14:textId="57FBE4D1" w:rsidR="00F8193A" w:rsidRDefault="00F8193A" w:rsidP="002766BB">
      <w:pPr>
        <w:spacing w:after="200" w:line="312" w:lineRule="auto"/>
        <w:jc w:val="both"/>
      </w:pPr>
      <w:commentRangeStart w:id="7"/>
      <w:r w:rsidRPr="0006603D">
        <w:rPr>
          <w:highlight w:val="yellow"/>
        </w:rPr>
        <w:lastRenderedPageBreak/>
        <w:t xml:space="preserve">Fifth, </w:t>
      </w:r>
      <w:commentRangeEnd w:id="7"/>
      <w:r w:rsidR="001453DD">
        <w:rPr>
          <w:rStyle w:val="CommentReference"/>
        </w:rPr>
        <w:commentReference w:id="7"/>
      </w:r>
      <w:r w:rsidRPr="0006603D">
        <w:rPr>
          <w:highlight w:val="yellow"/>
        </w:rPr>
        <w:t xml:space="preserve">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w:t>
      </w:r>
      <w:proofErr w:type="spellStart"/>
      <w:r w:rsidRPr="0006603D">
        <w:rPr>
          <w:highlight w:val="yellow"/>
        </w:rPr>
        <w:t>Rotnitzky</w:t>
      </w:r>
      <w:proofErr w:type="spellEnd"/>
      <w:r w:rsidRPr="0006603D">
        <w:rPr>
          <w:highlight w:val="yellow"/>
        </w:rPr>
        <w:t>, and Zhao (1994). The “doubly robust” property means that consistency of the estimated ATE can be proved in the special cases where either the propensity score model and/or the conditional mean is correctly specified.</w:t>
      </w:r>
    </w:p>
    <w:p w14:paraId="75860934" w14:textId="0ACF820D" w:rsidR="00E67E2E" w:rsidRDefault="00E67E2E" w:rsidP="002766BB">
      <w:pPr>
        <w:spacing w:before="200" w:after="200" w:line="312" w:lineRule="auto"/>
        <w:jc w:val="both"/>
      </w:pPr>
      <w:r w:rsidRPr="00E67E2E">
        <w:t>Note that this partition is meant to provide a more granular statistical summary of the main features of the data. We are not arguing whether or not a boom or a slump is more likely under a particular choice of fiscal policy or another.</w:t>
      </w:r>
    </w:p>
    <w:p w14:paraId="1E8603E2" w14:textId="2BDF46B0"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340B5197"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162B15">
        <w:rPr>
          <w:lang w:val="en-US"/>
        </w:rPr>
        <w:t xml:space="preserve">, and parallel to </w:t>
      </w:r>
      <w:proofErr w:type="spellStart"/>
      <w:proofErr w:type="gramStart"/>
      <w:r w:rsidR="00162B15">
        <w:rPr>
          <w:lang w:val="en-US"/>
        </w:rPr>
        <w:t>Jorda</w:t>
      </w:r>
      <w:proofErr w:type="spellEnd"/>
      <w:r w:rsidR="00162B15">
        <w:rPr>
          <w:lang w:val="en-US"/>
        </w:rPr>
        <w:t>(</w:t>
      </w:r>
      <w:proofErr w:type="gramEnd"/>
      <w:r w:rsidR="00162B15">
        <w:rPr>
          <w:lang w:val="en-US"/>
        </w:rPr>
        <w:t>)</w:t>
      </w:r>
      <w:r w:rsidRPr="00960F01">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 xml:space="preserve">Income tax </w:t>
            </w:r>
            <w:proofErr w:type="spellStart"/>
            <w:r w:rsidRPr="00513B74">
              <w:rPr>
                <w:rFonts w:asciiTheme="minorHAnsi" w:hAnsiTheme="minorHAnsi" w:cstheme="minorHAnsi"/>
                <w:color w:val="000000"/>
                <w:sz w:val="18"/>
                <w:szCs w:val="18"/>
              </w:rPr>
              <w:t>progresivity</w:t>
            </w:r>
            <w:proofErr w:type="spellEnd"/>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8"/>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8"/>
      <w:r w:rsidR="00B52E7B">
        <w:rPr>
          <w:rStyle w:val="CommentReference"/>
        </w:rPr>
        <w:commentReference w:id="8"/>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w:t>
      </w:r>
      <w:r w:rsidRPr="00B52E7B">
        <w:rPr>
          <w:lang w:val="en-US"/>
        </w:rPr>
        <w:lastRenderedPageBreak/>
        <w:t>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9"/>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w:t>
      </w:r>
      <w:r>
        <w:lastRenderedPageBreak/>
        <w:t>on the state of the economy: when the economy is growing below potential, there is an increase in the likelihood of consolidation.</w:t>
      </w:r>
      <w:commentRangeEnd w:id="9"/>
      <w:r w:rsidR="00CD375B">
        <w:rPr>
          <w:rStyle w:val="CommentReference"/>
        </w:rPr>
        <w:commentReference w:id="9"/>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w:t>
            </w:r>
            <w:proofErr w:type="spellStart"/>
            <w:r w:rsidR="002766BB"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robit</w:t>
            </w:r>
            <w:proofErr w:type="spellEnd"/>
            <w:r w:rsidRPr="00DE7C05">
              <w:rPr>
                <w:rFonts w:asciiTheme="minorHAnsi" w:hAnsiTheme="minorHAnsi" w:cstheme="minorHAnsi"/>
                <w:b/>
                <w:bCs/>
                <w:color w:val="000000"/>
                <w:sz w:val="20"/>
                <w:szCs w:val="20"/>
              </w:rPr>
              <w:t xml:space="preserve">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(see, e.g., </w:t>
      </w:r>
      <w:proofErr w:type="spellStart"/>
      <w:r>
        <w:t>Jorda</w:t>
      </w:r>
      <w:proofErr w:type="spellEnd"/>
      <w:r>
        <w:t xml:space="preserve"> and </w:t>
      </w:r>
      <w:r w:rsidR="00CD375B">
        <w:t>Taylor 2011</w:t>
      </w:r>
      <w:r>
        <w:t>)</w:t>
      </w:r>
      <w:r w:rsidR="00CD375B">
        <w:rPr>
          <w:rStyle w:val="FootnoteReference"/>
        </w:rPr>
        <w:footnoteReference w:id="11"/>
      </w:r>
      <w:r>
        <w:t xml:space="preserve">. Table </w:t>
      </w:r>
      <w:r w:rsidR="005E5A50">
        <w:t>5</w:t>
      </w:r>
      <w:r>
        <w:t xml:space="preserve"> measures the classification ability of each specification. The AUC statistics show that the </w:t>
      </w:r>
      <w:proofErr w:type="spellStart"/>
      <w:r>
        <w:t>probits</w:t>
      </w:r>
      <w:proofErr w:type="spellEnd"/>
      <w:r>
        <w:t xml:space="preserve">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2"/>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lastRenderedPageBreak/>
        <w:t xml:space="preserve">The </w:t>
      </w:r>
      <w:r w:rsidR="000F6E3E">
        <w:rPr>
          <w:b/>
          <w:sz w:val="28"/>
          <w:szCs w:val="28"/>
          <w:lang w:val="en-US"/>
        </w:rPr>
        <w:t>statistic methodology</w:t>
      </w:r>
    </w:p>
    <w:p w14:paraId="13E4825F" w14:textId="30F688E3" w:rsidR="000F6E3E" w:rsidRDefault="00FC443F" w:rsidP="00DE7C05">
      <w:pPr>
        <w:spacing w:after="200" w:line="312" w:lineRule="auto"/>
        <w:rPr>
          <w:bCs/>
        </w:rPr>
      </w:pPr>
      <w:r w:rsidRPr="00FC443F">
        <w:rPr>
          <w:bC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w:t>
      </w:r>
      <w:r>
        <w:rPr>
          <w:bCs/>
        </w:rPr>
        <w:t>4 and 5,</w:t>
      </w:r>
      <w:r w:rsidRPr="00FC443F">
        <w:rPr>
          <w:bCs/>
        </w:rPr>
        <w:t xml:space="preserve"> and add them as right-hand side variables in the LP of e</w:t>
      </w:r>
      <w:r>
        <w:rPr>
          <w:bCs/>
        </w:rPr>
        <w:t xml:space="preserve">quation </w:t>
      </w:r>
      <w:r w:rsidRPr="00FC443F">
        <w:rPr>
          <w:bCs/>
        </w:rPr>
        <w:t>1. Third, we use inverse propensity score weighting on this LP to re-randomize allocation of the IMF fiscal consolidation events.</w:t>
      </w:r>
    </w:p>
    <w:p w14:paraId="7CEE348B" w14:textId="55B1B9C9" w:rsidR="00FC443F" w:rsidRDefault="00FC443F" w:rsidP="00DE7C05">
      <w:pPr>
        <w:spacing w:after="200" w:line="312" w:lineRule="auto"/>
        <w:rPr>
          <w:bCs/>
        </w:rPr>
      </w:pPr>
      <w:r w:rsidRPr="00FC443F">
        <w:rPr>
          <w:bCs/>
        </w:rPr>
        <w:t xml:space="preserve">In order to facilitate the exposition, we momentarily drop the cross-sectional country index in the panel. Denote, as before, </w:t>
      </w:r>
      <w:proofErr w:type="spellStart"/>
      <w:r w:rsidRPr="00FC443F">
        <w:rPr>
          <w:bCs/>
        </w:rPr>
        <w:t>yt</w:t>
      </w:r>
      <w:proofErr w:type="spellEnd"/>
      <w:r w:rsidRPr="00FC443F">
        <w:rPr>
          <w:bCs/>
        </w:rPr>
        <w:t xml:space="preserve"> the outcome variable of interest, the log of real GDP. In other applications </w:t>
      </w:r>
      <w:proofErr w:type="spellStart"/>
      <w:r w:rsidRPr="00FC443F">
        <w:rPr>
          <w:bCs/>
        </w:rPr>
        <w:t>yt</w:t>
      </w:r>
      <w:proofErr w:type="spellEnd"/>
      <w:r w:rsidRPr="00FC443F">
        <w:rPr>
          <w:bCs/>
        </w:rPr>
        <w:t xml:space="preserve"> could be a </w:t>
      </w:r>
      <w:proofErr w:type="spellStart"/>
      <w:r w:rsidRPr="00FC443F">
        <w:rPr>
          <w:bCs/>
        </w:rPr>
        <w:t>ky</w:t>
      </w:r>
      <w:proofErr w:type="spellEnd"/>
      <w:r w:rsidRPr="00FC443F">
        <w:rPr>
          <w:bCs/>
        </w:rPr>
        <w:t xml:space="preserve">-dimensional vector. Let Dt denote the fiscal policy variable. Dt will now be a discrete random variable Dt </w:t>
      </w:r>
      <w:r w:rsidRPr="00FC443F">
        <w:rPr>
          <w:rFonts w:ascii="Cambria Math" w:hAnsi="Cambria Math" w:cs="Cambria Math"/>
          <w:bCs/>
        </w:rPr>
        <w:t>∈</w:t>
      </w:r>
      <w:r w:rsidRPr="00FC443F">
        <w:rPr>
          <w:bCs/>
        </w:rPr>
        <w:t xml:space="preserve"> {0, 1} based on the IMF narrative indicator of exogenous fiscal consolidations, although earlier it was the continuous </w:t>
      </w:r>
      <w:proofErr w:type="spellStart"/>
      <w:proofErr w:type="gramStart"/>
      <w:r w:rsidRPr="00FC443F">
        <w:rPr>
          <w:bCs/>
        </w:rPr>
        <w:t>d.CAPB</w:t>
      </w:r>
      <w:proofErr w:type="spellEnd"/>
      <w:proofErr w:type="gramEnd"/>
      <w:r w:rsidRPr="00FC443F">
        <w:rPr>
          <w:bCs/>
        </w:rPr>
        <w:t xml:space="preserve"> variable.</w:t>
      </w:r>
      <w:r>
        <w:rPr>
          <w:bCs/>
        </w:rPr>
        <w:t xml:space="preserve"> </w:t>
      </w:r>
      <w:r w:rsidRPr="00FC443F">
        <w:rPr>
          <w:bCs/>
        </w:rPr>
        <w:t xml:space="preserve">The methods that we present next can be extended to settings in which the policy variable takes on a small number of discrete values. Next we allow for a kw-dimensional vector of variables, </w:t>
      </w:r>
      <w:proofErr w:type="spellStart"/>
      <w:r w:rsidRPr="00FC443F">
        <w:rPr>
          <w:bCs/>
        </w:rPr>
        <w:t>wt</w:t>
      </w:r>
      <w:proofErr w:type="spellEnd"/>
      <w:r w:rsidRPr="00FC443F">
        <w:rPr>
          <w:bCs/>
        </w:rPr>
        <w:t xml:space="preserve"> that are not included in the vector </w:t>
      </w:r>
      <w:proofErr w:type="spellStart"/>
      <w:r w:rsidRPr="00FC443F">
        <w:rPr>
          <w:bCs/>
        </w:rPr>
        <w:t>yt</w:t>
      </w:r>
      <w:proofErr w:type="spellEnd"/>
      <w:r w:rsidRPr="00FC443F">
        <w:rPr>
          <w:bCs/>
        </w:rPr>
        <w:t xml:space="preserve">, but which could be relevant predictors of the policy variable </w:t>
      </w:r>
      <w:proofErr w:type="gramStart"/>
      <w:r w:rsidRPr="00FC443F">
        <w:rPr>
          <w:bCs/>
        </w:rPr>
        <w:t>Dt .</w:t>
      </w:r>
      <w:proofErr w:type="gramEnd"/>
      <w:r w:rsidRPr="00FC443F">
        <w:rPr>
          <w:bCs/>
        </w:rPr>
        <w:t xml:space="preserve"> Finally, denote </w:t>
      </w:r>
      <w:proofErr w:type="spellStart"/>
      <w:r w:rsidRPr="00FC443F">
        <w:rPr>
          <w:bCs/>
        </w:rPr>
        <w:t>Xt</w:t>
      </w:r>
      <w:proofErr w:type="spellEnd"/>
      <w:r w:rsidRPr="00FC443F">
        <w:rPr>
          <w:bCs/>
        </w:rPr>
        <w:t xml:space="preserve"> the rich conditioning set given by ∆yt−1, ∆yt−2, ...; Dt−1</w:t>
      </w:r>
      <w:proofErr w:type="gramStart"/>
      <w:r w:rsidRPr="00FC443F">
        <w:rPr>
          <w:bCs/>
        </w:rPr>
        <w:t>, .Dt</w:t>
      </w:r>
      <w:proofErr w:type="gramEnd"/>
      <w:r w:rsidRPr="00FC443F">
        <w:rPr>
          <w:bCs/>
        </w:rPr>
        <w:t>−2, ...; and wt.</w:t>
      </w:r>
    </w:p>
    <w:p w14:paraId="01F31F57" w14:textId="1E31385A" w:rsidR="00FC443F" w:rsidRDefault="00FC443F" w:rsidP="00DE7C05">
      <w:pPr>
        <w:spacing w:after="200" w:line="312" w:lineRule="auto"/>
        <w:rPr>
          <w:bCs/>
        </w:rPr>
      </w:pPr>
      <w:r>
        <w:rPr>
          <w:bCs/>
        </w:rPr>
        <w:t xml:space="preserve">Assumption 1: </w:t>
      </w:r>
      <w:r w:rsidRPr="00FC443F">
        <w:rPr>
          <w:bCs/>
        </w:rPr>
        <w:t>The causal effect of a policy intervention is defined as the unobservable random variable given by the difference (</w:t>
      </w:r>
      <w:proofErr w:type="spellStart"/>
      <w:proofErr w:type="gramStart"/>
      <w:r w:rsidRPr="00FC443F">
        <w:rPr>
          <w:bCs/>
        </w:rPr>
        <w:t>yt,h</w:t>
      </w:r>
      <w:proofErr w:type="spellEnd"/>
      <w:proofErr w:type="gramEnd"/>
      <w:r w:rsidRPr="00FC443F">
        <w:rPr>
          <w:bCs/>
        </w:rPr>
        <w:t xml:space="preserve"> (1) − </w:t>
      </w:r>
      <w:proofErr w:type="spellStart"/>
      <w:r w:rsidRPr="00FC443F">
        <w:rPr>
          <w:bCs/>
        </w:rPr>
        <w:t>yt</w:t>
      </w:r>
      <w:proofErr w:type="spellEnd"/>
      <w:r w:rsidRPr="00FC443F">
        <w:rPr>
          <w:bCs/>
        </w:rPr>
        <w:t>) − (</w:t>
      </w:r>
      <w:proofErr w:type="spellStart"/>
      <w:r w:rsidRPr="00FC443F">
        <w:rPr>
          <w:bCs/>
        </w:rPr>
        <w:t>yt,h</w:t>
      </w:r>
      <w:proofErr w:type="spellEnd"/>
      <w:r w:rsidRPr="00FC443F">
        <w:rPr>
          <w:bCs/>
        </w:rPr>
        <w:t xml:space="preserve"> (0) − </w:t>
      </w:r>
      <w:proofErr w:type="spellStart"/>
      <w:r w:rsidRPr="00FC443F">
        <w:rPr>
          <w:bCs/>
        </w:rPr>
        <w:t>yt</w:t>
      </w:r>
      <w:proofErr w:type="spellEnd"/>
      <w:r w:rsidRPr="00FC443F">
        <w:rPr>
          <w:bCs/>
        </w:rPr>
        <w:t xml:space="preserve">). Notice that </w:t>
      </w:r>
      <w:proofErr w:type="spellStart"/>
      <w:r w:rsidRPr="00FC443F">
        <w:rPr>
          <w:bCs/>
        </w:rPr>
        <w:t>yt</w:t>
      </w:r>
      <w:proofErr w:type="spellEnd"/>
      <w:r w:rsidRPr="00FC443F">
        <w:rPr>
          <w:bCs/>
        </w:rPr>
        <w:t xml:space="preserve"> is only used to benchmark the cumulative change and it is observed at time t. We assume that the parameters of the policy function do not change.</w:t>
      </w:r>
    </w:p>
    <w:p w14:paraId="614B907D" w14:textId="088D94A1" w:rsidR="00FC443F" w:rsidRDefault="00FC443F" w:rsidP="00DE7C05">
      <w:pPr>
        <w:spacing w:after="200" w:line="312" w:lineRule="auto"/>
        <w:rPr>
          <w:bCs/>
        </w:rPr>
      </w:pPr>
      <w:r w:rsidRPr="00FC443F">
        <w:rPr>
          <w:bCs/>
        </w:rPr>
        <w:t>Consider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by</w:t>
      </w:r>
    </w:p>
    <w:p w14:paraId="3A8B956B" w14:textId="18A73FD8" w:rsidR="00FC443F" w:rsidRPr="006D3CE6" w:rsidRDefault="000509C3" w:rsidP="00DE7C05">
      <w:pPr>
        <w:spacing w:after="200" w:line="312" w:lineRule="auto"/>
        <w:jc w:val="center"/>
        <w:rPr>
          <w:bCs/>
        </w:rPr>
      </w:pPr>
      <m:oMath>
        <m:r>
          <w:rPr>
            <w:rFonts w:ascii="Cambria Math" w:hAnsi="Cambria Math"/>
          </w:rPr>
          <m:t>E[</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(1)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(0)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oMath>
      <w:r>
        <w:rPr>
          <w:bCs/>
        </w:rPr>
        <w:tab/>
        <w:t>(3)</w:t>
      </w:r>
    </w:p>
    <w:p w14:paraId="1B32D4B4" w14:textId="08AAD8EF" w:rsidR="006D3CE6" w:rsidRDefault="007F0C7F" w:rsidP="00DE7C05">
      <w:pPr>
        <w:spacing w:after="200" w:line="312" w:lineRule="auto"/>
        <w:jc w:val="center"/>
        <w:rPr>
          <w:bCs/>
          <w:lang w:val="en-US"/>
        </w:rPr>
      </w:pPr>
      <m:oMath>
        <m:sSubSup>
          <m:sSubSupPr>
            <m:ctrlPr>
              <w:rPr>
                <w:rFonts w:ascii="Cambria Math" w:hAnsi="Cambria Math"/>
                <w:bCs/>
              </w:rPr>
            </m:ctrlPr>
          </m:sSubSupPr>
          <m:e>
            <m:r>
              <m:rPr>
                <m:sty m:val="p"/>
              </m:rPr>
              <w:rPr>
                <w:rFonts w:ascii="Cambria Math" w:hAnsi="Cambria Math"/>
              </w:rPr>
              <m:t>Λ</m:t>
            </m:r>
          </m:e>
          <m:sub>
            <m:r>
              <w:rPr>
                <w:rFonts w:ascii="Cambria Math" w:hAnsi="Cambria Math"/>
                <w:lang w:val="en-US"/>
              </w:rPr>
              <m:t xml:space="preserve">GroupMean </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oMath>
      <w:r w:rsidR="006D3CE6" w:rsidRPr="006D3CE6">
        <w:rPr>
          <w:bCs/>
          <w:lang w:val="en-US"/>
        </w:rPr>
        <w:t xml:space="preserve">  </w:t>
      </w:r>
      <w:r w:rsidR="000509C3">
        <w:rPr>
          <w:bCs/>
          <w:lang w:val="en-US"/>
        </w:rPr>
        <w:t>(4)</w:t>
      </w:r>
      <w:r w:rsidR="006D3CE6" w:rsidRPr="006D3CE6">
        <w:rPr>
          <w:bCs/>
          <w:lang w:val="en-US"/>
        </w:rPr>
        <w:t xml:space="preserve"> for all </w:t>
      </w:r>
      <w:r w:rsidR="006D3CE6">
        <w:rPr>
          <w:bCs/>
          <w:lang w:val="en-US"/>
        </w:rPr>
        <w:t>h &gt; 0</w:t>
      </w:r>
    </w:p>
    <w:p w14:paraId="21794F07" w14:textId="2C88DDF7" w:rsidR="006D3CE6" w:rsidRDefault="006D3CE6" w:rsidP="00DE7C05">
      <w:pPr>
        <w:spacing w:after="200" w:line="312" w:lineRule="auto"/>
        <w:rPr>
          <w:bCs/>
          <w:lang w:val="en-US"/>
        </w:rPr>
      </w:pPr>
      <w:r w:rsidRPr="006D3CE6">
        <w:rPr>
          <w:bCs/>
          <w:lang w:val="en-US"/>
        </w:rPr>
        <w:lastRenderedPageBreak/>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and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F55C92">
        <w:rPr>
          <w:bCs/>
          <w:lang w:val="en-US"/>
        </w:rPr>
        <w:t>.</w:t>
      </w:r>
    </w:p>
    <w:p w14:paraId="3D884800" w14:textId="65C2DA1D" w:rsidR="00F55C92" w:rsidRDefault="007F0C7F"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for all </w:t>
      </w:r>
      <w:r w:rsidR="00F55C92">
        <w:rPr>
          <w:bCs/>
          <w:lang w:val="en-US"/>
        </w:rPr>
        <w:t>h &gt; 0</w:t>
      </w:r>
    </w:p>
    <w:p w14:paraId="299A8F67" w14:textId="73E9121E" w:rsidR="00F55C92" w:rsidRDefault="00F55C92" w:rsidP="00DE7C05">
      <w:pPr>
        <w:spacing w:after="200" w:line="312" w:lineRule="auto"/>
        <w:rPr>
          <w:bCs/>
          <w:lang w:val="en-US"/>
        </w:rPr>
      </w:pPr>
      <w:r w:rsidRPr="00F55C92">
        <w:rPr>
          <w:bCs/>
          <w:lang w:val="en-US"/>
        </w:rPr>
        <w:t xml:space="preserve">Even when data are randomly allocated across the treatment and control subpopulations, it would be natural to condition on the </w:t>
      </w:r>
      <w:proofErr w:type="spellStart"/>
      <w:r w:rsidRPr="00F55C92">
        <w:rPr>
          <w:bCs/>
          <w:lang w:val="en-US"/>
        </w:rPr>
        <w:t>Xt</w:t>
      </w:r>
      <w:proofErr w:type="spellEnd"/>
      <w:r w:rsidRPr="00F55C92">
        <w:rPr>
          <w:bCs/>
          <w:lang w:val="en-US"/>
        </w:rPr>
        <w:t xml:space="preserve">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4F68FFA9" w14:textId="3C0D7604" w:rsidR="00F55C92" w:rsidRDefault="00F55C92" w:rsidP="00DE7C05">
      <w:pPr>
        <w:spacing w:after="200" w:line="312" w:lineRule="auto"/>
        <w:rPr>
          <w:bCs/>
        </w:rPr>
      </w:pPr>
      <w:r>
        <w:rPr>
          <w:bCs/>
        </w:rPr>
        <w:t xml:space="preserve">Assumption 2: </w:t>
      </w:r>
      <w:r w:rsidRPr="00F55C92">
        <w:rPr>
          <w:bCs/>
        </w:rPr>
        <w:t xml:space="preserve">Assume that a linear regression control strategy suffices to do the appropriate conditioning for the </w:t>
      </w:r>
      <w:proofErr w:type="spellStart"/>
      <w:r w:rsidRPr="00F55C92">
        <w:rPr>
          <w:bCs/>
        </w:rPr>
        <w:t>Xt</w:t>
      </w:r>
      <w:proofErr w:type="spellEnd"/>
      <w:r w:rsidRPr="00F55C92">
        <w:rPr>
          <w:bCs/>
        </w:rPr>
        <w:t xml:space="preserve"> and hence obtain a consistent estimate of </w:t>
      </w:r>
      <w:proofErr w:type="gramStart"/>
      <w:r w:rsidRPr="00F55C92">
        <w:rPr>
          <w:bCs/>
        </w:rPr>
        <w:t>E[</w:t>
      </w:r>
      <w:proofErr w:type="spellStart"/>
      <w:proofErr w:type="gramEnd"/>
      <w:r w:rsidRPr="00F55C92">
        <w:rPr>
          <w:bCs/>
        </w:rPr>
        <w:t>y</w:t>
      </w:r>
      <w:r w:rsidRPr="00F55C92">
        <w:rPr>
          <w:bCs/>
          <w:vertAlign w:val="subscript"/>
        </w:rPr>
        <w:t>t+h</w:t>
      </w:r>
      <w:proofErr w:type="spellEnd"/>
      <w:r w:rsidRPr="00F55C92">
        <w:rPr>
          <w:bCs/>
        </w:rPr>
        <w:t xml:space="preserve"> − </w:t>
      </w:r>
      <w:proofErr w:type="spellStart"/>
      <w:r w:rsidRPr="00F55C92">
        <w:rPr>
          <w:bCs/>
        </w:rPr>
        <w:t>y</w:t>
      </w:r>
      <w:r w:rsidRPr="00F55C92">
        <w:rPr>
          <w:bCs/>
          <w:vertAlign w:val="subscript"/>
        </w:rPr>
        <w:t>t</w:t>
      </w:r>
      <w:proofErr w:type="spellEnd"/>
      <w:r w:rsidRPr="00F55C92">
        <w:rPr>
          <w:bCs/>
        </w:rPr>
        <w:t xml:space="preserve"> |D</w:t>
      </w:r>
      <w:r w:rsidRPr="00F55C92">
        <w:rPr>
          <w:bCs/>
          <w:vertAlign w:val="subscript"/>
        </w:rPr>
        <w:t>t</w:t>
      </w:r>
      <w:r w:rsidRPr="00F55C92">
        <w:rPr>
          <w:bCs/>
        </w:rPr>
        <w:t xml:space="preserve"> , </w:t>
      </w:r>
      <w:proofErr w:type="spellStart"/>
      <w:r w:rsidRPr="00F55C92">
        <w:rPr>
          <w:bCs/>
        </w:rPr>
        <w:t>X</w:t>
      </w:r>
      <w:r w:rsidRPr="00F55C92">
        <w:rPr>
          <w:bCs/>
          <w:vertAlign w:val="subscript"/>
        </w:rPr>
        <w:t>t</w:t>
      </w:r>
      <w:proofErr w:type="spellEnd"/>
      <w:r w:rsidRPr="00F55C92">
        <w:rPr>
          <w:bCs/>
        </w:rPr>
        <w:t xml:space="preserve"> ]. This is a big assumption 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p>
    <w:p w14:paraId="1DBC5139" w14:textId="03A19DB0" w:rsidR="00A15425" w:rsidRDefault="007F0C7F"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1</m:t>
            </m:r>
          </m:sub>
          <m:sup/>
        </m:sSubSup>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oMath>
      <w:r w:rsidR="00A15425" w:rsidRPr="006D3CE6">
        <w:rPr>
          <w:bCs/>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for all </w:t>
      </w:r>
      <w:r w:rsidR="00A15425">
        <w:rPr>
          <w:bCs/>
          <w:lang w:val="en-US"/>
        </w:rPr>
        <w:t>h &gt; 0</w:t>
      </w:r>
    </w:p>
    <w:p w14:paraId="6B754F91" w14:textId="5A0E9E5C" w:rsidR="00A15425" w:rsidRPr="00A15425" w:rsidRDefault="00A15425" w:rsidP="00DE7C05">
      <w:pPr>
        <w:spacing w:after="200" w:line="312" w:lineRule="auto"/>
        <w:rPr>
          <w:bCs/>
          <w:lang w:val="en-US"/>
        </w:rPr>
      </w:pPr>
      <w:r w:rsidRPr="00A15425">
        <w:rPr>
          <w:bCs/>
          <w:lang w:val="en-US"/>
        </w:rPr>
        <w:t>If one imposes the</w:t>
      </w:r>
      <w:r>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Pr="00A15425">
        <w:rPr>
          <w:bCs/>
          <w:lang w:val="en-US"/>
        </w:rPr>
        <w:t xml:space="preserve">, then </w:t>
      </w:r>
      <w:r>
        <w:rPr>
          <w:bCs/>
          <w:lang w:val="en-US"/>
        </w:rPr>
        <w:t xml:space="preserve">the above </w:t>
      </w:r>
      <w:r w:rsidRPr="00A15425">
        <w:rPr>
          <w:bCs/>
          <w:lang w:val="en-US"/>
        </w:rPr>
        <w:t>expression is nothing more than a</w:t>
      </w:r>
      <w:r>
        <w:rPr>
          <w:bCs/>
          <w:lang w:val="en-US"/>
        </w:rPr>
        <w:t xml:space="preserve"> </w:t>
      </w:r>
      <w:r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Pr="00A15425">
        <w:rPr>
          <w:bCs/>
          <w:lang w:val="en-US"/>
        </w:rPr>
        <w:t>is the policy response at horizon h.</w:t>
      </w:r>
      <w:r>
        <w:rPr>
          <w:bCs/>
          <w:lang w:val="en-US"/>
        </w:rPr>
        <w:t xml:space="preserve"> </w:t>
      </w:r>
      <w:r w:rsidRPr="00A15425">
        <w:rPr>
          <w:bCs/>
          <w:lang w:val="en-US"/>
        </w:rPr>
        <w:t>The standard linear LP is a direct estimate of the typical impulse response derived from</w:t>
      </w:r>
      <w:r>
        <w:rPr>
          <w:bCs/>
          <w:lang w:val="en-US"/>
        </w:rPr>
        <w:t xml:space="preserve"> </w:t>
      </w:r>
      <w:r w:rsidRPr="00A15425">
        <w:rPr>
          <w:bCs/>
          <w:lang w:val="en-US"/>
        </w:rPr>
        <w:t xml:space="preserve">a traditional VAR, as </w:t>
      </w:r>
      <w:proofErr w:type="spellStart"/>
      <w:r w:rsidRPr="00A15425">
        <w:rPr>
          <w:bCs/>
          <w:lang w:val="en-US"/>
        </w:rPr>
        <w:t>Jorda</w:t>
      </w:r>
      <w:proofErr w:type="spellEnd"/>
      <w:r w:rsidRPr="00A15425">
        <w:rPr>
          <w:bCs/>
          <w:lang w:val="en-US"/>
        </w:rPr>
        <w:t xml:space="preserve"> (2005) shows</w:t>
      </w:r>
      <w:r>
        <w:rPr>
          <w:bCs/>
          <w:lang w:val="en-US"/>
        </w:rPr>
        <w:t>.</w:t>
      </w:r>
    </w:p>
    <w:p w14:paraId="07973C5B" w14:textId="2B137D5A" w:rsidR="00A15425" w:rsidRDefault="00A15425" w:rsidP="00DE7C05">
      <w:pPr>
        <w:spacing w:after="200" w:line="312" w:lineRule="auto"/>
        <w:rPr>
          <w:bCs/>
        </w:rPr>
      </w:pPr>
      <w:r w:rsidRPr="00A15425">
        <w:rPr>
          <w:bCs/>
        </w:rPr>
        <w:t xml:space="preserve">This naïve constrained specification, which characterizes responses derived from a VAR, imposes two implicit assumptions. First, the effect of the controls </w:t>
      </w:r>
      <w:proofErr w:type="spellStart"/>
      <w:r w:rsidRPr="00A15425">
        <w:rPr>
          <w:bCs/>
        </w:rPr>
        <w:t>Xt</w:t>
      </w:r>
      <w:proofErr w:type="spellEnd"/>
      <w:r w:rsidRPr="00A15425">
        <w:rPr>
          <w:bCs/>
        </w:rPr>
        <w:t xml:space="preserve"> on the outcomes is assumed to be stable across the treated and control subpopulations. Second, the expected value of </w:t>
      </w:r>
      <w:proofErr w:type="spellStart"/>
      <w:r w:rsidRPr="00A15425">
        <w:rPr>
          <w:bCs/>
        </w:rPr>
        <w:t>Xt</w:t>
      </w:r>
      <w:proofErr w:type="spellEnd"/>
      <w:r w:rsidRPr="00A15425">
        <w:rPr>
          <w:bC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0AFD1BEE" w14:textId="77777777" w:rsidR="00236035" w:rsidRPr="00236035" w:rsidRDefault="00236035" w:rsidP="00DE7C05">
      <w:pPr>
        <w:spacing w:after="200" w:line="312" w:lineRule="auto"/>
        <w:rPr>
          <w:bCs/>
        </w:rPr>
      </w:pPr>
      <w:r w:rsidRPr="00236035">
        <w:rPr>
          <w:bCs/>
        </w:rPr>
        <w:t xml:space="preserve">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w:t>
      </w:r>
      <w:r w:rsidRPr="00236035">
        <w:rPr>
          <w:bCs/>
        </w:rPr>
        <w:lastRenderedPageBreak/>
        <w:t xml:space="preserve">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25BCAB02" w14:textId="13BA1CD2" w:rsidR="00A15425" w:rsidRDefault="00236035" w:rsidP="00DE7C05">
      <w:pPr>
        <w:spacing w:after="200" w:line="312" w:lineRule="auto"/>
        <w:rPr>
          <w:bCs/>
        </w:rPr>
      </w:pPr>
      <w:r w:rsidRPr="00236035">
        <w:rPr>
          <w:bCs/>
        </w:rPr>
        <w:t xml:space="preserve">More generally, if we do not impose the implicit assumptions of the </w:t>
      </w:r>
      <w:r w:rsidR="000509C3" w:rsidRPr="00236035">
        <w:rPr>
          <w:bCs/>
        </w:rPr>
        <w:t>naive</w:t>
      </w:r>
      <w:r w:rsidRPr="00236035">
        <w:rPr>
          <w:bCs/>
        </w:rPr>
        <w:t xml:space="preserve"> LP specification, the analogous representation to the group means expression (</w:t>
      </w:r>
      <w:r w:rsidR="00B104F7">
        <w:rPr>
          <w:bCs/>
        </w:rPr>
        <w:t>4</w:t>
      </w:r>
      <w:r w:rsidRPr="00236035">
        <w:rPr>
          <w:bCs/>
        </w:rPr>
        <w:t>) is</w:t>
      </w:r>
    </w:p>
    <w:p w14:paraId="2CD595E6" w14:textId="2FF8AEA9" w:rsidR="00236035" w:rsidRDefault="007F0C7F"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RA</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m</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θ</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 xml:space="preserve"> )</m:t>
            </m:r>
          </m:e>
        </m:nary>
        <m:r>
          <w:rPr>
            <w:rFonts w:ascii="Cambria Math" w:hAnsi="Cambria Math"/>
          </w:rPr>
          <m:t>)</m:t>
        </m:r>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m</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θ</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e>
        </m:nary>
      </m:oMath>
      <w:r w:rsidR="00236035">
        <w:rPr>
          <w:bCs/>
        </w:rPr>
        <w:t xml:space="preserve">  </w:t>
      </w:r>
      <w:r w:rsidR="000509C3">
        <w:rPr>
          <w:bCs/>
        </w:rPr>
        <w:t>(</w:t>
      </w:r>
      <w:r w:rsidR="00B104F7">
        <w:rPr>
          <w:bCs/>
        </w:rPr>
        <w:t>7</w:t>
      </w:r>
      <w:r w:rsidR="000509C3">
        <w:rPr>
          <w:bCs/>
        </w:rPr>
        <w:t>)</w:t>
      </w:r>
      <w:r w:rsidR="00236035">
        <w:rPr>
          <w:bCs/>
        </w:rPr>
        <w:t xml:space="preserve">  </w:t>
      </w:r>
      <w:r w:rsidR="00236035" w:rsidRPr="006D3CE6">
        <w:rPr>
          <w:bCs/>
          <w:lang w:val="en-US"/>
        </w:rPr>
        <w:t xml:space="preserve">for all </w:t>
      </w:r>
      <w:r w:rsidR="00236035">
        <w:rPr>
          <w:bCs/>
          <w:lang w:val="en-US"/>
        </w:rPr>
        <w:t>h &gt; 0</w:t>
      </w:r>
    </w:p>
    <w:p w14:paraId="2322F505" w14:textId="5AC2834E" w:rsidR="00236035" w:rsidRPr="00236035" w:rsidRDefault="00236035" w:rsidP="00DE7C05">
      <w:pPr>
        <w:spacing w:after="200" w:line="312" w:lineRule="auto"/>
        <w:rPr>
          <w:bCs/>
          <w:lang w:val="en-US"/>
        </w:rPr>
      </w:pPr>
      <w:r w:rsidRPr="00236035">
        <w:rPr>
          <w:bCs/>
          <w:lang w:val="en-US"/>
        </w:rPr>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lang w:val="en-US"/>
              </w:rPr>
              <m:t>h</m:t>
            </m:r>
          </m:sup>
        </m:sSubSup>
        <m:d>
          <m:dPr>
            <m:ctrlPr>
              <w:rPr>
                <w:rFonts w:ascii="Cambria Math" w:hAnsi="Cambria Math"/>
                <w:bCs/>
                <w:i/>
              </w:rPr>
            </m:ctrlPr>
          </m:dPr>
          <m:e>
            <m:r>
              <w:rPr>
                <w:rFonts w:ascii="Cambria Math" w:hAnsi="Cambria Math"/>
              </w:rPr>
              <m:t>.</m:t>
            </m:r>
          </m:e>
        </m:d>
      </m:oMath>
      <w:r w:rsidRPr="00236035">
        <w:rPr>
          <w:bCs/>
          <w:lang w:val="en-US"/>
        </w:rPr>
        <w:t xml:space="preserve"> is a generic specification of the conditional mean of (y</w:t>
      </w:r>
      <w:proofErr w:type="spellStart"/>
      <w:r w:rsidRPr="00236035">
        <w:rPr>
          <w:bCs/>
          <w:vertAlign w:val="subscript"/>
          <w:lang w:val="en-US"/>
        </w:rPr>
        <w:t>t+h</w:t>
      </w:r>
      <w:proofErr w:type="spellEnd"/>
      <w:r w:rsidRPr="00236035">
        <w:rPr>
          <w:bCs/>
          <w:lang w:val="en-US"/>
        </w:rPr>
        <w:t xml:space="preserve"> </w:t>
      </w:r>
      <w:r>
        <w:rPr>
          <w:bCs/>
          <w:lang w:val="en-US"/>
        </w:rPr>
        <w:t>–</w:t>
      </w:r>
      <w:r w:rsidRPr="00236035">
        <w:rPr>
          <w:bCs/>
          <w:lang w:val="en-US"/>
        </w:rPr>
        <w:t xml:space="preserve"> </w:t>
      </w:r>
      <w:proofErr w:type="spellStart"/>
      <w:r w:rsidRPr="00236035">
        <w:rPr>
          <w:bCs/>
          <w:lang w:val="en-US"/>
        </w:rPr>
        <w:t>y</w:t>
      </w:r>
      <w:r>
        <w:rPr>
          <w:bCs/>
          <w:vertAlign w:val="subscript"/>
          <w:lang w:val="en-US"/>
        </w:rPr>
        <w:t>t</w:t>
      </w:r>
      <w:proofErr w:type="spellEnd"/>
      <w:r w:rsidRPr="00236035">
        <w:rPr>
          <w:bCs/>
          <w:lang w:val="en-US"/>
        </w:rPr>
        <w:t xml:space="preserve">) in each subpopulation j = 1, 0 and </w:t>
      </w:r>
      <m:oMath>
        <m:sSubSup>
          <m:sSubSupPr>
            <m:ctrlPr>
              <w:rPr>
                <w:rFonts w:ascii="Cambria Math" w:hAnsi="Cambria Math"/>
                <w:bCs/>
              </w:rPr>
            </m:ctrlPr>
          </m:sSubSupPr>
          <m:e>
            <m:r>
              <w:rPr>
                <w:rFonts w:ascii="Cambria Math" w:hAnsi="Cambria Math"/>
              </w:rPr>
              <m:t>θ</m:t>
            </m:r>
          </m:e>
          <m:sub>
            <m:r>
              <w:rPr>
                <w:rFonts w:ascii="Cambria Math" w:hAnsi="Cambria Math"/>
                <w:lang w:val="en-US"/>
              </w:rPr>
              <m:t>j</m:t>
            </m:r>
          </m:sub>
          <m:sup>
            <m:r>
              <w:rPr>
                <w:rFonts w:ascii="Cambria Math" w:hAnsi="Cambria Math"/>
                <w:lang w:val="en-US"/>
              </w:rPr>
              <m:t>h</m:t>
            </m:r>
          </m:sup>
        </m:sSubSup>
        <m:r>
          <w:rPr>
            <w:rFonts w:ascii="Cambria Math" w:hAnsi="Cambria Math"/>
          </w:rPr>
          <m:t>=</m:t>
        </m:r>
        <m:d>
          <m:dPr>
            <m:ctrlPr>
              <w:rPr>
                <w:rFonts w:ascii="Cambria Math" w:hAnsi="Cambria Math"/>
                <w:bCs/>
                <w:i/>
              </w:rPr>
            </m:ctrlPr>
          </m:dPr>
          <m:e>
            <m:sSubSup>
              <m:sSubSupPr>
                <m:ctrlPr>
                  <w:rPr>
                    <w:rFonts w:ascii="Cambria Math" w:hAnsi="Cambria Math"/>
                    <w:bCs/>
                  </w:rPr>
                </m:ctrlPr>
              </m:sSubSupPr>
              <m:e>
                <m:r>
                  <w:rPr>
                    <w:rFonts w:ascii="Cambria Math" w:hAnsi="Cambria Math"/>
                  </w:rPr>
                  <m:t>α</m:t>
                </m:r>
              </m:e>
              <m:sub>
                <m:r>
                  <w:rPr>
                    <w:rFonts w:ascii="Cambria Math" w:hAnsi="Cambria Math"/>
                    <w:lang w:val="en-US"/>
                  </w:rPr>
                  <m:t>j</m:t>
                </m:r>
              </m:sub>
              <m:sup>
                <m:r>
                  <w:rPr>
                    <w:rFonts w:ascii="Cambria Math" w:hAnsi="Cambria Math"/>
                    <w:lang w:val="en-US"/>
                  </w:rPr>
                  <m:t>h</m:t>
                </m:r>
              </m:sup>
            </m:sSubSup>
            <m:sSubSup>
              <m:sSubSupPr>
                <m:ctrlPr>
                  <w:rPr>
                    <w:rFonts w:ascii="Cambria Math" w:hAnsi="Cambria Math"/>
                    <w:bCs/>
                  </w:rPr>
                </m:ctrlPr>
              </m:sSubSupPr>
              <m:e>
                <m:r>
                  <w:rPr>
                    <w:rFonts w:ascii="Cambria Math" w:hAnsi="Cambria Math"/>
                  </w:rPr>
                  <m:t xml:space="preserve">    β</m:t>
                </m:r>
              </m:e>
              <m:sub>
                <m:r>
                  <w:rPr>
                    <w:rFonts w:ascii="Cambria Math" w:hAnsi="Cambria Math"/>
                    <w:lang w:val="en-US"/>
                  </w:rPr>
                  <m:t>j</m:t>
                </m:r>
              </m:sub>
              <m:sup>
                <m:r>
                  <w:rPr>
                    <w:rFonts w:ascii="Cambria Math" w:hAnsi="Cambria Math"/>
                    <w:lang w:val="en-US"/>
                  </w:rPr>
                  <m:t>h</m:t>
                </m:r>
              </m:sup>
            </m:sSubSup>
          </m:e>
        </m:d>
      </m:oMath>
      <w:r w:rsidRPr="00236035">
        <w:rPr>
          <w:bCs/>
          <w:lang w:val="en-US"/>
        </w:rPr>
        <w:t>′ for the regression example in (</w:t>
      </w:r>
      <w:r w:rsidR="00B104F7">
        <w:rPr>
          <w:bCs/>
          <w:lang w:val="en-US"/>
        </w:rPr>
        <w:t>6</w:t>
      </w:r>
      <w:r w:rsidRPr="00236035">
        <w:rPr>
          <w:bCs/>
          <w:lang w:val="en-US"/>
        </w:rPr>
        <w:t>). Note that this more general form of regression adjustment allows the conditional means to be different for the treated and control subpopulations and allows their effect on the outcome to differ as well.</w:t>
      </w:r>
    </w:p>
    <w:p w14:paraId="2DF75FB5" w14:textId="77777777" w:rsidR="00DE7C05" w:rsidRDefault="00DE7C05" w:rsidP="00DE7C05">
      <w:pPr>
        <w:spacing w:after="200" w:line="312" w:lineRule="auto"/>
        <w:rPr>
          <w:bCs/>
        </w:rPr>
      </w:pPr>
    </w:p>
    <w:p w14:paraId="7B1D6CA1" w14:textId="40523CE8" w:rsidR="00BC5D5E" w:rsidRPr="00BC5D5E" w:rsidRDefault="00BC5D5E" w:rsidP="00DE7C05">
      <w:pPr>
        <w:spacing w:after="200" w:line="312" w:lineRule="auto"/>
        <w:rPr>
          <w:bCs/>
        </w:rPr>
      </w:pPr>
      <w:r w:rsidRPr="00DE7C05">
        <w:rPr>
          <w:bCs/>
          <w:highlight w:val="yellow"/>
        </w:rPr>
        <w:t>5.1. Re-randomization through the propensity score</w:t>
      </w:r>
      <w:r w:rsidRPr="00BC5D5E">
        <w:rPr>
          <w:bCs/>
        </w:rPr>
        <w:t xml:space="preserve"> </w:t>
      </w:r>
    </w:p>
    <w:p w14:paraId="6E5477F9" w14:textId="6F923A05" w:rsidR="00236035" w:rsidRDefault="00236035" w:rsidP="00DE7C05">
      <w:pPr>
        <w:spacing w:after="200" w:line="312" w:lineRule="auto"/>
        <w:rPr>
          <w:bCs/>
        </w:rPr>
      </w:pPr>
    </w:p>
    <w:p w14:paraId="57C8C7FA" w14:textId="061F6AEA" w:rsidR="00BC5D5E" w:rsidRDefault="00BC5D5E" w:rsidP="00DE7C05">
      <w:pPr>
        <w:spacing w:after="200" w:line="312" w:lineRule="auto"/>
        <w:rPr>
          <w:bCs/>
        </w:rPr>
      </w:pPr>
      <w:r w:rsidRPr="00BC5D5E">
        <w:rPr>
          <w:bCs/>
        </w:rPr>
        <w:t>Rosenbaum and Rubin (1983) show that</w:t>
      </w:r>
      <w:r>
        <w:rPr>
          <w:bCs/>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 xml:space="preserve"> |p(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 xml:space="preserve">,φ) </m:t>
        </m:r>
      </m:oMath>
      <w:r w:rsidRPr="00BC5D5E">
        <w:rPr>
          <w:bCs/>
        </w:rPr>
        <w:t xml:space="preserve">that is,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proofErr w:type="spellStart"/>
      <w:r w:rsidRPr="00BC5D5E">
        <w:rPr>
          <w:bCs/>
        </w:rPr>
        <w:t>X</w:t>
      </w:r>
      <w:r w:rsidRPr="008909A9">
        <w:rPr>
          <w:bCs/>
          <w:vertAlign w:val="subscript"/>
        </w:rPr>
        <w:t>t</w:t>
      </w:r>
      <w:proofErr w:type="spellEnd"/>
      <w:r>
        <w:rPr>
          <w:bCs/>
        </w:rPr>
        <w:t xml:space="preserve"> </w:t>
      </w:r>
      <w:r w:rsidRPr="00BC5D5E">
        <w:rPr>
          <w:bCs/>
        </w:rPr>
        <w:t>in the selection-on-observables condition.9</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 Recall the average treatment effect (ATE) is, by definition</w:t>
      </w:r>
    </w:p>
    <w:p w14:paraId="2E8596F7" w14:textId="2C314CBD"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rPr>
              <m:t>(0)-</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(8)</w:t>
      </w:r>
    </w:p>
    <w:p w14:paraId="7639EFBC" w14:textId="0EF9FDE7" w:rsidR="008909A9" w:rsidRDefault="008909A9" w:rsidP="00DE7C05">
      <w:pPr>
        <w:spacing w:after="200" w:line="312" w:lineRule="auto"/>
        <w:rPr>
          <w:rFonts w:ascii="LM Roman 10" w:hAnsi="LM Roman 10"/>
          <w:noProof/>
          <w:lang w:val="en-US"/>
        </w:rPr>
      </w:pPr>
      <w:r w:rsidRPr="008909A9">
        <w:rPr>
          <w:rFonts w:ascii="LM Roman 10" w:hAnsi="LM Roman 10"/>
          <w:noProof/>
          <w:lang w:val="en-US"/>
        </w:rPr>
        <w:t>using the law of iterated expectations. Looking inside the expectations in the final term</w:t>
      </w:r>
      <w:r>
        <w:rPr>
          <w:rFonts w:ascii="LM Roman 10" w:hAnsi="LM Roman 10"/>
          <w:noProof/>
          <w:lang w:val="en-US"/>
        </w:rPr>
        <w:t xml:space="preserve"> </w:t>
      </w:r>
      <w:r w:rsidRPr="008909A9">
        <w:rPr>
          <w:rFonts w:ascii="LM Roman 10" w:hAnsi="LM Roman 10"/>
          <w:noProof/>
          <w:lang w:val="en-US"/>
        </w:rPr>
        <w:t>above, the average policy response conditional on X</w:t>
      </w:r>
      <w:r w:rsidRPr="008909A9">
        <w:rPr>
          <w:rFonts w:ascii="LM Roman 10" w:hAnsi="LM Roman 10"/>
          <w:noProof/>
          <w:vertAlign w:val="subscript"/>
          <w:lang w:val="en-US"/>
        </w:rPr>
        <w:t>t</w:t>
      </w:r>
      <w:r w:rsidRPr="008909A9">
        <w:rPr>
          <w:rFonts w:ascii="LM Roman 10" w:hAnsi="LM Roman 10"/>
          <w:noProof/>
          <w:lang w:val="en-US"/>
        </w:rPr>
        <w:t>, in terms of observable data, is</w:t>
      </w:r>
    </w:p>
    <w:p w14:paraId="4FA82F5B" w14:textId="58A5EAEB"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D</m:t>
            </m:r>
          </m:e>
          <m:sub>
            <m:r>
              <w:rPr>
                <w:rFonts w:ascii="Cambria Math" w:hAnsi="Cambria Math"/>
                <w:lang w:val="en-US"/>
              </w:rPr>
              <m:t>t</m:t>
            </m:r>
          </m:sub>
          <m:sup/>
        </m:sSubSup>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(9)</w:t>
      </w:r>
      <w:r w:rsidR="00CF7118">
        <w:rPr>
          <w:bCs/>
          <w:lang w:val="en-US"/>
        </w:rPr>
        <w:tab/>
      </w:r>
      <w:r w:rsidRPr="008909A9">
        <w:rPr>
          <w:bCs/>
          <w:lang w:val="en-US"/>
        </w:rPr>
        <w:t xml:space="preserve">   for all</w:t>
      </w:r>
      <w:r>
        <w:rPr>
          <w:bCs/>
          <w:i/>
          <w:iCs/>
          <w:lang w:val="en-US"/>
        </w:rPr>
        <w:t xml:space="preserve"> h </w:t>
      </w:r>
      <w:proofErr w:type="gramStart"/>
      <w:r>
        <w:rPr>
          <w:bCs/>
          <w:i/>
          <w:iCs/>
          <w:lang w:val="en-US"/>
        </w:rPr>
        <w:t>&gt;  0</w:t>
      </w:r>
      <w:proofErr w:type="gramEnd"/>
    </w:p>
    <w:p w14:paraId="30892E3E" w14:textId="22266F7F" w:rsidR="008909A9"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where it is assumed that the policy environment characterized by </w:t>
      </w:r>
      <m:oMath>
        <m:r>
          <w:rPr>
            <w:rFonts w:ascii="Cambria Math" w:hAnsi="Cambria Math"/>
          </w:rPr>
          <m:t>φ</m:t>
        </m:r>
      </m:oMath>
      <w:r w:rsidRPr="00CF7118">
        <w:rPr>
          <w:rFonts w:ascii="LM Roman 10" w:hAnsi="LM Roman 10"/>
          <w:noProof/>
          <w:lang w:val="en-US"/>
        </w:rPr>
        <w:t xml:space="preserve"> remains constant. Estimation of these conditional expectations can be simplified considerably when</w:t>
      </w:r>
      <w:r>
        <w:rPr>
          <w:rFonts w:ascii="LM Roman 10" w:hAnsi="LM Roman 10"/>
          <w:noProof/>
          <w:lang w:val="en-US"/>
        </w:rPr>
        <w:t xml:space="preserve"> </w:t>
      </w:r>
      <w:r w:rsidRPr="00CF7118">
        <w:rPr>
          <w:rFonts w:ascii="LM Roman 10" w:hAnsi="LM Roman 10"/>
          <w:noProof/>
          <w:lang w:val="en-US"/>
        </w:rPr>
        <w:t>a model for the policy variable D</w:t>
      </w:r>
      <w:r w:rsidRPr="00CF7118">
        <w:rPr>
          <w:rFonts w:ascii="LM Roman 10" w:hAnsi="LM Roman 10"/>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p>
    <w:p w14:paraId="37902504" w14:textId="5B95748B"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lastRenderedPageBreak/>
        <w:t xml:space="preserve">Angrist and Kuersteiner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 reduction device. Ideally, any predictor of policy should be included, regardless of whether that predictor is a fundamental variable in a macroeconomic model. The probit results reported in Table </w:t>
      </w:r>
      <w:r>
        <w:rPr>
          <w:rFonts w:ascii="LM Roman 10" w:hAnsi="LM Roman 10"/>
          <w:noProof/>
          <w:lang w:val="en-US"/>
        </w:rPr>
        <w:t>5</w:t>
      </w:r>
      <w:r w:rsidRPr="00CF7118">
        <w:rPr>
          <w:rFonts w:ascii="LM Roman 10" w:hAnsi="LM Roman 10"/>
          <w:noProof/>
          <w:lang w:val="en-US"/>
        </w:rPr>
        <w:t xml:space="preserve"> can be seen as candidate estimates of this policy propensity score. We will instead construct the policy propensity score using a richer specification that includes all the controls used in Table </w:t>
      </w:r>
      <w:r>
        <w:rPr>
          <w:rFonts w:ascii="LM Roman 10" w:hAnsi="LM Roman 10"/>
          <w:noProof/>
          <w:lang w:val="en-US"/>
        </w:rPr>
        <w:t>4</w:t>
      </w:r>
      <w:r w:rsidRPr="00CF7118">
        <w:rPr>
          <w:rFonts w:ascii="LM Roman 10" w:hAnsi="LM Roman 10"/>
          <w:noProof/>
          <w:lang w:val="en-US"/>
        </w:rPr>
        <w:t xml:space="preserve"> as well.</w:t>
      </w:r>
    </w:p>
    <w:p w14:paraId="5C2DB1E7" w14:textId="4BA65648"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Solving for </w:t>
      </w:r>
      <m:oMath>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j-</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sidRPr="00CF7118">
        <w:rPr>
          <w:rFonts w:ascii="LM Roman 10" w:hAnsi="LM Roman 10"/>
          <w:noProof/>
          <w:lang w:val="en-US"/>
        </w:rPr>
        <w:t xml:space="preserve"> and taking unconditional expectations, by integrating over</w:t>
      </w:r>
      <w:r>
        <w:rPr>
          <w:rFonts w:ascii="LM Roman 10" w:hAnsi="LM Roman 10"/>
          <w:noProof/>
          <w:lang w:val="en-US"/>
        </w:rPr>
        <w:t xml:space="preserve"> </w:t>
      </w:r>
      <w:r w:rsidRPr="00CF7118">
        <w:rPr>
          <w:rFonts w:ascii="LM Roman 10" w:hAnsi="LM Roman 10"/>
          <w:noProof/>
          <w:lang w:val="en-US"/>
        </w:rPr>
        <w:t>Xt, the ATE in (9) can be calculated a</w:t>
      </w:r>
    </w:p>
    <w:p w14:paraId="00AC7B02" w14:textId="3EEA9548" w:rsidR="006E2EF0" w:rsidRPr="008909A9" w:rsidRDefault="007F0C7F" w:rsidP="00DE7C05">
      <w:pPr>
        <w:spacing w:after="200" w:line="312" w:lineRule="auto"/>
        <w:ind w:left="1701" w:firstLine="1134"/>
        <w:jc w:val="center"/>
        <w:rPr>
          <w:bCs/>
          <w:i/>
          <w:iCs/>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r>
            <m:rPr>
              <m:sty m:val="p"/>
            </m:rPr>
            <w:rPr>
              <w:rFonts w:ascii="Cambria Math" w:hAnsi="Cambria Math"/>
              <w:lang w:val="en-US"/>
            </w:rPr>
            <w:br/>
          </m:r>
        </m:oMath>
      </m:oMathPara>
      <m:oMath>
        <m:r>
          <w:rPr>
            <w:rFonts w:ascii="Cambria Math" w:hAnsi="Cambria Math"/>
          </w:rPr>
          <m:t>= 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rPr>
          <m:t>)(</m:t>
        </m:r>
        <m:f>
          <m:fPr>
            <m:ctrlPr>
              <w:rPr>
                <w:rFonts w:ascii="Cambria Math" w:hAnsi="Cambria Math"/>
                <w:bCs/>
                <w:i/>
              </w:rPr>
            </m:ctrlPr>
          </m:fPr>
          <m:num>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rPr>
              <m:t>=1}</m:t>
            </m:r>
          </m:num>
          <m:den>
            <m:r>
              <w:rPr>
                <w:rFonts w:ascii="Cambria Math" w:hAnsi="Cambria Math"/>
              </w:rPr>
              <m:t>p1(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t,φ</m:t>
                </m:r>
              </m:sub>
            </m:sSub>
            <m:r>
              <w:rPr>
                <w:rFonts w:ascii="Cambria Math" w:hAnsi="Cambria Math"/>
              </w:rPr>
              <m:t>)</m:t>
            </m:r>
          </m:den>
        </m:f>
        <m:r>
          <w:rPr>
            <w:rFonts w:ascii="Cambria Math" w:hAnsi="Cambria Math"/>
            <w:lang w:val="en-US"/>
          </w:rPr>
          <m:t>-</m:t>
        </m:r>
        <m:f>
          <m:fPr>
            <m:ctrlPr>
              <w:rPr>
                <w:rFonts w:ascii="Cambria Math" w:hAnsi="Cambria Math"/>
                <w:bCs/>
                <w:i/>
              </w:rPr>
            </m:ctrlPr>
          </m:fPr>
          <m:num>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rPr>
              <m:t>=0}</m:t>
            </m:r>
          </m:num>
          <m:den>
            <m:r>
              <w:rPr>
                <w:rFonts w:ascii="Cambria Math" w:hAnsi="Cambria Math"/>
              </w:rPr>
              <m:t>p0(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t,φ</m:t>
                </m:r>
              </m:sub>
            </m:sSub>
            <m:r>
              <w:rPr>
                <w:rFonts w:ascii="Cambria Math" w:hAnsi="Cambria Math"/>
              </w:rPr>
              <m:t>)</m:t>
            </m:r>
          </m:den>
        </m:f>
        <m:r>
          <w:rPr>
            <w:rFonts w:ascii="Cambria Math" w:hAnsi="Cambria Math"/>
            <w:lang w:val="en-US"/>
          </w:rPr>
          <m:t>]</m:t>
        </m:r>
      </m:oMath>
      <w:r w:rsidR="006E2EF0">
        <w:rPr>
          <w:rFonts w:ascii="LM Roman 10" w:hAnsi="LM Roman 10"/>
          <w:noProof/>
          <w:lang w:val="en-US"/>
        </w:rPr>
        <w:tab/>
        <w:t>(10)</w:t>
      </w:r>
      <w:r w:rsidR="006E2EF0">
        <w:rPr>
          <w:bCs/>
          <w:lang w:val="en-US"/>
        </w:rPr>
        <w:tab/>
      </w:r>
      <w:r w:rsidR="006E2EF0" w:rsidRPr="008909A9">
        <w:rPr>
          <w:bCs/>
          <w:lang w:val="en-US"/>
        </w:rPr>
        <w:t xml:space="preserve">   for all</w:t>
      </w:r>
      <w:r w:rsidR="006E2EF0">
        <w:rPr>
          <w:bCs/>
          <w:i/>
          <w:iCs/>
          <w:lang w:val="en-US"/>
        </w:rPr>
        <w:t xml:space="preserve"> h </w:t>
      </w:r>
      <w:proofErr w:type="gramStart"/>
      <w:r w:rsidR="006E2EF0">
        <w:rPr>
          <w:bCs/>
          <w:i/>
          <w:iCs/>
          <w:lang w:val="en-US"/>
        </w:rPr>
        <w:t>&gt;  0</w:t>
      </w:r>
      <w:proofErr w:type="gramEnd"/>
    </w:p>
    <w:p w14:paraId="395C275E" w14:textId="77777777" w:rsidR="00DB19AA" w:rsidRDefault="006E2EF0" w:rsidP="00DE7C05">
      <w:pPr>
        <w:spacing w:after="200" w:line="312" w:lineRule="auto"/>
        <w:rPr>
          <w:rFonts w:ascii="LM Roman 10" w:hAnsi="LM Roman 10"/>
          <w:bCs/>
          <w:noProof/>
          <w:lang w:val="en-US"/>
        </w:rPr>
      </w:pPr>
      <w:r w:rsidRPr="006E2EF0">
        <w:rPr>
          <w:rFonts w:ascii="LM Roman 10" w:hAnsi="LM Roman 10"/>
          <w:bCs/>
          <w:noProof/>
          <w:lang w:val="en-US"/>
        </w:rPr>
        <w:t>Under standard regularity conditions an estimate of expression (1</w:t>
      </w:r>
      <w:r>
        <w:rPr>
          <w:rFonts w:ascii="LM Roman 10" w:hAnsi="LM Roman 10"/>
          <w:bCs/>
          <w:noProof/>
          <w:lang w:val="en-US"/>
        </w:rPr>
        <w:t>0</w:t>
      </w:r>
      <w:r w:rsidRPr="006E2EF0">
        <w:rPr>
          <w:rFonts w:ascii="LM Roman 10" w:hAnsi="LM Roman 10"/>
          <w:bCs/>
          <w:noProof/>
          <w:lang w:val="en-US"/>
        </w:rPr>
        <w:t>)</w:t>
      </w:r>
      <w:r>
        <w:rPr>
          <w:rFonts w:ascii="LM Roman 10" w:hAnsi="LM Roman 10"/>
          <w:bCs/>
          <w:noProof/>
          <w:lang w:val="en-US"/>
        </w:rPr>
        <w:t xml:space="preserve">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sing sample moments which generalize the sample moments presented</w:t>
      </w:r>
      <w:r>
        <w:rPr>
          <w:rFonts w:ascii="LM Roman 10" w:hAnsi="LM Roman 10"/>
          <w:bCs/>
          <w:noProof/>
          <w:lang w:val="en-US"/>
        </w:rPr>
        <w:t xml:space="preserve"> </w:t>
      </w:r>
      <w:r w:rsidRPr="006E2EF0">
        <w:rPr>
          <w:rFonts w:ascii="LM Roman 10" w:hAnsi="LM Roman 10"/>
          <w:bCs/>
          <w:noProof/>
          <w:lang w:val="en-US"/>
        </w:rPr>
        <w:t>earlier in expression (</w:t>
      </w:r>
      <w:r>
        <w:rPr>
          <w:rFonts w:ascii="LM Roman 10" w:hAnsi="LM Roman 10"/>
          <w:bCs/>
          <w:noProof/>
          <w:lang w:val="en-US"/>
        </w:rPr>
        <w:t>4</w:t>
      </w:r>
      <w:r w:rsidRPr="006E2EF0">
        <w:rPr>
          <w:rFonts w:ascii="LM Roman 10" w:hAnsi="LM Roman 10"/>
          <w:bCs/>
          <w:noProof/>
          <w:lang w:val="en-US"/>
        </w:rPr>
        <w:t>) for the OLS case.</w:t>
      </w:r>
      <w:r>
        <w:rPr>
          <w:rFonts w:ascii="LM Roman 10" w:hAnsi="LM Roman 10"/>
          <w:bCs/>
          <w:noProof/>
          <w:lang w:val="en-US"/>
        </w:rPr>
        <w:t xml:space="preserve"> </w:t>
      </w:r>
      <w:r w:rsidRPr="006E2EF0">
        <w:rPr>
          <w:rFonts w:ascii="LM Roman 10" w:hAnsi="LM Roman 10"/>
          <w:bCs/>
          <w:noProof/>
          <w:lang w:val="en-US"/>
        </w:rPr>
        <w:t xml:space="preserve">Suppose that the first-stage treatment model takes the form of a probability of treatment at time t given by the estimated model </w:t>
      </w:r>
    </w:p>
    <w:p w14:paraId="499AD41E" w14:textId="08582822" w:rsidR="006E2EF0" w:rsidRPr="006E2EF0" w:rsidRDefault="007F0C7F" w:rsidP="00DE7C05">
      <w:pPr>
        <w:spacing w:after="200" w:line="312" w:lineRule="auto"/>
        <w:rPr>
          <w:rFonts w:ascii="LM Roman 10" w:hAnsi="LM Roman 10"/>
          <w:bCs/>
          <w:noProof/>
          <w:lang w:val="en-US"/>
        </w:rPr>
      </w:pP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 and</w:t>
      </w:r>
      <w:r w:rsidR="00DB19AA">
        <w:rPr>
          <w:rFonts w:ascii="LM Roman 10" w:hAnsi="LM Roman 10"/>
          <w:bCs/>
          <w:noProof/>
          <w:lang w:val="en-US"/>
        </w:rPr>
        <w:t xml:space="preserve"> </w:t>
      </w:r>
      <m:oMath>
        <m:r>
          <w:rPr>
            <w:rFonts w:ascii="Cambria Math" w:hAnsi="Cambria Math"/>
            <w:noProof/>
            <w:lang w:val="en-US"/>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 xml:space="preserve">t = </m:t>
        </m:r>
        <m:sSub>
          <m:sSubPr>
            <m:ctrlPr>
              <w:rPr>
                <w:rFonts w:ascii="Cambria Math" w:hAnsi="Cambria Math"/>
                <w:bCs/>
                <w:i/>
                <w:noProof/>
                <w:lang w:val="en-US"/>
              </w:rPr>
            </m:ctrlPr>
          </m:sSubPr>
          <m:e>
            <m:r>
              <w:rPr>
                <w:rFonts w:ascii="Cambria Math" w:hAnsi="Cambria Math"/>
                <w:noProof/>
                <w:lang w:val="en-US"/>
              </w:rPr>
              <m:t>p</m:t>
            </m:r>
          </m:e>
          <m:sub>
            <m:r>
              <w:rPr>
                <w:rFonts w:ascii="Cambria Math" w:hAnsi="Cambria Math"/>
                <w:noProof/>
                <w:lang w:val="en-US"/>
              </w:rPr>
              <m:t>0</m:t>
            </m:r>
          </m:sub>
        </m:sSub>
        <m:r>
          <w:rPr>
            <w:rFonts w:ascii="Cambria Math" w:hAnsi="Cambria Math"/>
            <w:noProof/>
            <w:lang w:val="en-US"/>
          </w:rPr>
          <m:t>(</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m:t>
        </m:r>
      </m:oMath>
      <w:r w:rsidR="006E2EF0" w:rsidRPr="006E2EF0">
        <w:rPr>
          <w:rFonts w:ascii="LM Roman 10" w:hAnsi="LM Roman 10"/>
          <w:bCs/>
          <w:noProof/>
          <w:lang w:val="en-US"/>
        </w:rPr>
        <w:t>. The 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ratio estimator” of the average treatment effect is</w:t>
      </w:r>
      <w:r w:rsidR="00434981">
        <w:rPr>
          <w:rFonts w:ascii="LM Roman 10" w:hAnsi="LM Roman 10"/>
          <w:bCs/>
          <w:noProof/>
          <w:lang w:val="en-US"/>
        </w:rPr>
        <w:t xml:space="preserve">. </w:t>
      </w:r>
      <w:r w:rsidR="00434981">
        <w:t xml:space="preserve">Some improvements can be made to this expression. </w:t>
      </w:r>
      <w:proofErr w:type="spellStart"/>
      <w:r w:rsidR="00434981">
        <w:t>Imbens</w:t>
      </w:r>
      <w:proofErr w:type="spellEnd"/>
      <w:r w:rsidR="00434981">
        <w:t xml:space="preserve"> (2004) and Lunceford and Davidian (2004) suggest renormalizing the weights so that they sum up to one in small samples. </w:t>
      </w:r>
    </w:p>
    <w:p w14:paraId="26D9603D" w14:textId="049220A0" w:rsidR="00DB19AA" w:rsidRDefault="007F0C7F"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IPW</m:t>
            </m:r>
          </m:sub>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(1</m:t>
                    </m:r>
                    <m:r>
                      <w:rPr>
                        <w:rFonts w:ascii="Cambria Math" w:hAnsi="Cambria Math"/>
                        <w:lang w:val="en-US"/>
                      </w:rPr>
                      <m:t>-D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DB19AA">
        <w:rPr>
          <w:bCs/>
        </w:rPr>
        <w:t xml:space="preserve">  (</w:t>
      </w:r>
      <w:r w:rsidR="00585240">
        <w:rPr>
          <w:bCs/>
        </w:rPr>
        <w:t>11</w:t>
      </w:r>
      <w:r w:rsidR="00434981">
        <w:rPr>
          <w:bCs/>
        </w:rPr>
        <w:t>)</w:t>
      </w:r>
    </w:p>
    <w:p w14:paraId="7190EA2E" w14:textId="60FDF6E6" w:rsidR="001359B7" w:rsidRDefault="001359B7" w:rsidP="00DE7C05">
      <w:pPr>
        <w:spacing w:after="200" w:line="312" w:lineRule="auto"/>
        <w:rPr>
          <w:rFonts w:ascii="LM Roman 10" w:hAnsi="LM Roman 10"/>
          <w:noProof/>
          <w:lang w:val="en-US"/>
        </w:rPr>
      </w:pPr>
      <w:r>
        <w:rPr>
          <w:rFonts w:ascii="LM Roman 10" w:hAnsi="LM Roman 10"/>
          <w:noProof/>
          <w:lang w:val="en-US"/>
        </w:rPr>
        <w:t>Where</w:t>
      </w:r>
      <w:r w:rsidR="00DC3D19">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3CC24E14" w14:textId="77777777" w:rsidR="001359B7" w:rsidRDefault="001359B7" w:rsidP="00DE7C05">
      <w:pPr>
        <w:spacing w:after="200" w:line="312" w:lineRule="auto"/>
        <w:rPr>
          <w:rFonts w:ascii="LM Roman 10" w:hAnsi="LM Roman 10"/>
          <w:noProof/>
          <w:lang w:val="en-US"/>
        </w:rPr>
      </w:pPr>
      <w:r w:rsidRPr="001359B7">
        <w:rPr>
          <w:rFonts w:ascii="LM Roman 10" w:hAnsi="LM Roman 10"/>
          <w:noProof/>
          <w:lang w:val="en-US"/>
        </w:rPr>
        <w:t>Note that</w:t>
      </w:r>
      <w:r>
        <w:rPr>
          <w:rFonts w:ascii="LM Roman 10" w:hAnsi="LM Roman 10"/>
          <w:noProof/>
          <w:lang w:val="en-US"/>
        </w:rPr>
        <w:t xml:space="preserve"> </w:t>
      </w:r>
      <m:oMath>
        <m:r>
          <m:rPr>
            <m:sty m:val="p"/>
          </m:rPr>
          <w:rPr>
            <w:rFonts w:ascii="Cambria Math" w:hAnsi="Cambria Math"/>
            <w:noProof/>
            <w:lang w:val="en-US"/>
          </w:rPr>
          <m:t>E</m:t>
        </m:r>
        <m:d>
          <m:dPr>
            <m:begChr m:val="["/>
            <m:endChr m:val="]"/>
            <m:ctrlPr>
              <w:rPr>
                <w:rFonts w:ascii="Cambria Math" w:hAnsi="Cambria Math"/>
                <w:noProof/>
                <w:lang w:val="es-ES"/>
              </w:rPr>
            </m:ctrlPr>
          </m:dPr>
          <m:e>
            <m:r>
              <w:rPr>
                <w:rFonts w:ascii="Cambria Math" w:hAnsi="Cambria Math"/>
                <w:noProof/>
                <w:lang w:val="en-US"/>
              </w:rPr>
              <m:t>Dt</m:t>
            </m:r>
            <m:r>
              <m:rPr>
                <m:lit/>
                <m:sty m:val="p"/>
              </m:rPr>
              <w:rPr>
                <w:rFonts w:ascii="Cambria Math" w:hAnsi="Cambria Math"/>
                <w:noProof/>
                <w:lang w:val="en-US"/>
              </w:rPr>
              <m:t>/</m:t>
            </m:r>
            <m:r>
              <m:rPr>
                <m:sty m:val="p"/>
              </m:rPr>
              <w:rPr>
                <w:rFonts w:ascii="Cambria Math" w:hAnsi="Cambria Math"/>
                <w:noProof/>
                <w:lang w:val="en-US"/>
              </w:rPr>
              <m:t>pt</m:t>
            </m:r>
          </m:e>
        </m:d>
        <m:r>
          <m:rPr>
            <m:sty m:val="p"/>
          </m:rPr>
          <w:rPr>
            <w:rFonts w:ascii="Cambria Math" w:hAnsi="Cambria Math"/>
            <w:noProof/>
            <w:lang w:val="en-US"/>
          </w:rPr>
          <m:t>=E</m:t>
        </m:r>
        <m:d>
          <m:dPr>
            <m:begChr m:val="["/>
            <m:endChr m:val="]"/>
            <m:ctrlPr>
              <w:rPr>
                <w:rFonts w:ascii="Cambria Math" w:hAnsi="Cambria Math"/>
                <w:noProof/>
                <w:lang w:val="es-ES"/>
              </w:rPr>
            </m:ctrlPr>
          </m:dPr>
          <m:e>
            <m:r>
              <m:rPr>
                <m:sty m:val="p"/>
              </m:rPr>
              <w:rPr>
                <w:rFonts w:ascii="Cambria Math" w:hAnsi="Cambria Math"/>
                <w:noProof/>
                <w:lang w:val="en-US"/>
              </w:rPr>
              <m:t>E</m:t>
            </m:r>
            <m:d>
              <m:dPr>
                <m:ctrlPr>
                  <w:rPr>
                    <w:rFonts w:ascii="Cambria Math" w:hAnsi="Cambria Math"/>
                    <w:noProof/>
                    <w:lang w:val="es-ES"/>
                  </w:rPr>
                </m:ctrlPr>
              </m:dPr>
              <m:e>
                <m:r>
                  <m:rPr>
                    <m:sty m:val="p"/>
                  </m:rPr>
                  <w:rPr>
                    <w:rFonts w:ascii="Cambria Math" w:hAnsi="Cambria Math"/>
                    <w:noProof/>
                    <w:lang w:val="en-US"/>
                  </w:rPr>
                  <m:t>Dt</m:t>
                </m:r>
              </m:e>
              <m:e>
                <m:r>
                  <m:rPr>
                    <m:sty m:val="p"/>
                  </m:rPr>
                  <w:rPr>
                    <w:rFonts w:ascii="Cambria Math" w:hAnsi="Cambria Math"/>
                    <w:noProof/>
                    <w:lang w:val="en-US"/>
                  </w:rPr>
                  <m:t>Xt</m:t>
                </m:r>
              </m:e>
            </m:d>
          </m:e>
        </m:d>
        <m:r>
          <m:rPr>
            <m:lit/>
            <m:sty m:val="p"/>
          </m:rPr>
          <w:rPr>
            <w:rFonts w:ascii="Cambria Math" w:hAnsi="Cambria Math"/>
            <w:noProof/>
            <w:lang w:val="en-US"/>
          </w:rPr>
          <m:t>/</m:t>
        </m:r>
        <m:r>
          <m:rPr>
            <m:sty m:val="p"/>
          </m:rPr>
          <w:rPr>
            <w:rFonts w:ascii="Cambria Math" w:hAnsi="Cambria Math"/>
            <w:noProof/>
            <w:lang w:val="en-US"/>
          </w:rPr>
          <m:t>pt=1</m:t>
        </m:r>
      </m:oMath>
      <w:r w:rsidRPr="001745D2">
        <w:rPr>
          <w:rFonts w:ascii="LM Roman 10" w:hAnsi="LM Roman 10"/>
          <w:noProof/>
          <w:lang w:val="en-US"/>
        </w:rPr>
        <w:t>; similarly</w:t>
      </w:r>
    </w:p>
    <w:p w14:paraId="655ED289" w14:textId="77777777" w:rsidR="00DE7C05" w:rsidRDefault="001359B7" w:rsidP="00DE7C05">
      <w:pPr>
        <w:spacing w:after="200" w:line="312" w:lineRule="auto"/>
        <w:rPr>
          <w:rFonts w:ascii="LM Roman 10" w:hAnsi="LM Roman 10"/>
          <w:noProof/>
          <w:lang w:val="en-US"/>
        </w:rPr>
      </w:pPr>
      <w:r w:rsidRPr="001745D2">
        <w:rPr>
          <w:rFonts w:ascii="LM Roman 10" w:hAnsi="LM Roman 10"/>
          <w:noProof/>
          <w:lang w:val="en-US"/>
        </w:rPr>
        <w:lastRenderedPageBreak/>
        <w:t xml:space="preserve">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Dt</m:t>
                </m:r>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pt</m:t>
                </m:r>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Dt</m:t>
                    </m:r>
                  </m:e>
                </m:d>
              </m:e>
              <m:e>
                <m:r>
                  <w:rPr>
                    <w:rFonts w:ascii="Cambria Math" w:hAnsi="Cambria Math"/>
                    <w:noProof/>
                    <w:lang w:val="es-ES"/>
                  </w:rPr>
                  <m:t>Xt</m:t>
                </m:r>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pt</m:t>
            </m:r>
          </m:e>
        </m:d>
        <m:r>
          <m:rPr>
            <m:sty m:val="p"/>
          </m:rPr>
          <w:rPr>
            <w:rFonts w:ascii="Cambria Math" w:hAnsi="Cambria Math"/>
            <w:noProof/>
            <w:lang w:val="en-US"/>
          </w:rPr>
          <m:t>=1</m:t>
        </m:r>
      </m:oMath>
      <w:r>
        <w:rPr>
          <w:rFonts w:ascii="LM Roman 10" w:hAnsi="LM Roman 10"/>
          <w:noProof/>
          <w:lang w:val="en-US"/>
        </w:rPr>
        <w:t xml:space="preserve"> </w:t>
      </w:r>
      <w:r w:rsidRPr="001359B7">
        <w:rPr>
          <w:rFonts w:ascii="LM Roman 10" w:hAnsi="LM Roman 10"/>
          <w:noProof/>
          <w:lang w:val="en-US"/>
        </w:rPr>
        <w:t>and hence it follows that in large samples expression (1</w:t>
      </w:r>
      <w:r>
        <w:rPr>
          <w:rFonts w:ascii="LM Roman 10" w:hAnsi="LM Roman 10"/>
          <w:noProof/>
          <w:lang w:val="en-US"/>
        </w:rPr>
        <w:t>1</w:t>
      </w:r>
      <w:r w:rsidRPr="001359B7">
        <w:rPr>
          <w:rFonts w:ascii="LM Roman 10" w:hAnsi="LM Roman 10"/>
          <w:noProof/>
          <w:lang w:val="en-US"/>
        </w:rPr>
        <w:t>) apply the same</w:t>
      </w:r>
      <w:r>
        <w:rPr>
          <w:rFonts w:ascii="LM Roman 10" w:hAnsi="LM Roman 10"/>
          <w:noProof/>
          <w:lang w:val="en-US"/>
        </w:rPr>
        <w:t xml:space="preserve"> </w:t>
      </w:r>
      <w:r w:rsidRPr="001359B7">
        <w:rPr>
          <w:rFonts w:ascii="LM Roman 10" w:hAnsi="LM Roman 10"/>
          <w:noProof/>
          <w:lang w:val="en-US"/>
        </w:rPr>
        <w:t xml:space="preserve">weighting, since  </w:t>
      </w:r>
      <m:oMath>
        <m:r>
          <w:rPr>
            <w:rFonts w:ascii="Cambria Math" w:hAnsi="Cambria Math"/>
            <w:noProof/>
            <w:lang w:val="en-US"/>
          </w:rPr>
          <m:t>E(</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)=E(</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)=n</m:t>
        </m:r>
      </m:oMath>
      <w:r w:rsidRPr="001359B7">
        <w:rPr>
          <w:rFonts w:ascii="LM Roman 10" w:hAnsi="LM Roman 10"/>
          <w:noProof/>
          <w:lang w:val="en-US"/>
        </w:rPr>
        <w:t>. These expressions are natural analogs of the Group</w:t>
      </w:r>
      <w:r>
        <w:rPr>
          <w:rFonts w:ascii="LM Roman 10" w:hAnsi="LM Roman 10"/>
          <w:noProof/>
          <w:lang w:val="en-US"/>
        </w:rPr>
        <w:t xml:space="preserve"> </w:t>
      </w:r>
      <w:r w:rsidRPr="001359B7">
        <w:rPr>
          <w:rFonts w:ascii="LM Roman 10" w:hAnsi="LM Roman 10"/>
          <w:noProof/>
          <w:lang w:val="en-US"/>
        </w:rPr>
        <w:t>Mean estimator in (</w:t>
      </w:r>
      <w:r w:rsidR="00DC3D19">
        <w:rPr>
          <w:rFonts w:ascii="LM Roman 10" w:hAnsi="LM Roman 10"/>
          <w:noProof/>
          <w:lang w:val="en-US"/>
        </w:rPr>
        <w:t>4</w:t>
      </w:r>
      <w:r w:rsidRPr="001359B7">
        <w:rPr>
          <w:rFonts w:ascii="LM Roman 10" w:hAnsi="LM Roman 10"/>
          <w:noProof/>
          <w:lang w:val="en-US"/>
        </w:rPr>
        <w:t>), with inverse propensity-score weighting to correct for allocation</w:t>
      </w:r>
      <w:r>
        <w:rPr>
          <w:rFonts w:ascii="LM Roman 10" w:hAnsi="LM Roman 10"/>
          <w:noProof/>
          <w:lang w:val="en-US"/>
        </w:rPr>
        <w:t xml:space="preserve"> </w:t>
      </w:r>
      <w:r w:rsidRPr="001359B7">
        <w:rPr>
          <w:rFonts w:ascii="LM Roman 10" w:hAnsi="LM Roman 10"/>
          <w:noProof/>
          <w:lang w:val="en-US"/>
        </w:rPr>
        <w:t>bias and to achieve a quasi-random distribution of treatment and control observations</w:t>
      </w:r>
      <w:r>
        <w:rPr>
          <w:rFonts w:ascii="LM Roman 10" w:hAnsi="LM Roman 10"/>
          <w:noProof/>
          <w:lang w:val="en-US"/>
        </w:rPr>
        <w:t xml:space="preserve"> </w:t>
      </w:r>
      <w:r w:rsidRPr="001359B7">
        <w:rPr>
          <w:rFonts w:ascii="LM Roman 10" w:hAnsi="LM Roman 10"/>
          <w:noProof/>
          <w:lang w:val="en-US"/>
        </w:rPr>
        <w:t>via reweighting.</w:t>
      </w:r>
      <w:r w:rsidRPr="001359B7">
        <w:rPr>
          <w:rFonts w:ascii="LM Roman 10" w:hAnsi="LM Roman 10"/>
          <w:noProof/>
          <w:lang w:val="en-US"/>
        </w:rPr>
        <w:cr/>
      </w:r>
    </w:p>
    <w:p w14:paraId="349A2A1E" w14:textId="17B712F4" w:rsidR="001745D2" w:rsidRPr="00DE7C05" w:rsidRDefault="001745D2" w:rsidP="00DE7C05">
      <w:pPr>
        <w:spacing w:after="200" w:line="312" w:lineRule="auto"/>
        <w:rPr>
          <w:rFonts w:ascii="LM Roman 10" w:hAnsi="LM Roman 10"/>
          <w:b/>
          <w:bCs/>
          <w:noProof/>
          <w:lang w:val="en-US"/>
        </w:rPr>
      </w:pPr>
      <w:r w:rsidRPr="00DE7C05">
        <w:rPr>
          <w:rFonts w:ascii="LM Roman 10" w:hAnsi="LM Roman 10"/>
          <w:b/>
          <w:bCs/>
          <w:noProof/>
          <w:highlight w:val="yellow"/>
          <w:lang w:val="en-US"/>
        </w:rPr>
        <w:t>4.2. Regression adjustment (IPWRA) and Augmented IPW (AIPW)</w:t>
      </w:r>
      <w:r w:rsidRPr="00DE7C05">
        <w:rPr>
          <w:rFonts w:ascii="LM Roman 10" w:hAnsi="LM Roman 10"/>
          <w:b/>
          <w:bCs/>
          <w:noProof/>
          <w:lang w:val="en-US"/>
        </w:rPr>
        <w:t xml:space="preserve"> </w:t>
      </w:r>
    </w:p>
    <w:p w14:paraId="194E974B" w14:textId="787B332C" w:rsidR="001745D2" w:rsidRP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As a way to enhance robustness, researchers have derived estimators with a regression </w:t>
      </w:r>
      <w:r>
        <w:rPr>
          <w:rFonts w:ascii="LM Roman 10" w:hAnsi="LM Roman 10"/>
          <w:noProof/>
          <w:lang w:val="en-US"/>
        </w:rPr>
        <w:t>a</w:t>
      </w:r>
      <w:r w:rsidRPr="001745D2">
        <w:rPr>
          <w:rFonts w:ascii="LM Roman 10" w:hAnsi="LM Roman 10"/>
          <w:noProof/>
          <w:lang w:val="en-US"/>
        </w:rPr>
        <w:t>djustment component added to the standard IPW estimator presented above. To</w:t>
      </w:r>
      <w:r>
        <w:rPr>
          <w:rFonts w:ascii="LM Roman 10" w:hAnsi="LM Roman 10"/>
          <w:noProof/>
          <w:lang w:val="en-US"/>
        </w:rPr>
        <w:t xml:space="preserve"> </w:t>
      </w:r>
      <w:r w:rsidRPr="001745D2">
        <w:rPr>
          <w:rFonts w:ascii="LM Roman 10" w:hAnsi="LM Roman 10"/>
          <w:noProof/>
          <w:lang w:val="en-US"/>
        </w:rPr>
        <w:t>further enhance efficiency, the augmented IPW or AIPW estimator combines the IPW and IPWRA estimators in a manner to be discussed shortly.</w:t>
      </w:r>
    </w:p>
    <w:p w14:paraId="75BA3E73" w14:textId="066ACE59"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The inverse propensity-score weighted estimator with regression adjustment (IPWRA)</w:t>
      </w:r>
      <w:r>
        <w:rPr>
          <w:rFonts w:ascii="LM Roman 10" w:hAnsi="LM Roman 10"/>
          <w:noProof/>
          <w:lang w:val="en-US"/>
        </w:rPr>
        <w:t>.</w:t>
      </w:r>
    </w:p>
    <w:p w14:paraId="10424688" w14:textId="52BBA04A" w:rsidR="001745D2" w:rsidRDefault="007F0C7F"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IWRA</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sSubSup>
                      <m:sSubSupPr>
                        <m:ctrlPr>
                          <w:rPr>
                            <w:rFonts w:ascii="Cambria Math" w:hAnsi="Cambria Math"/>
                            <w:bCs/>
                          </w:rPr>
                        </m:ctrlPr>
                      </m:sSubSupPr>
                      <m:e>
                        <m:r>
                          <m:rPr>
                            <m:sty m:val="p"/>
                          </m:rPr>
                          <w:rPr>
                            <w:rFonts w:ascii="Cambria Math" w:hAnsi="Cambria Math"/>
                          </w:rPr>
                          <m:t>m</m:t>
                        </m:r>
                      </m:e>
                      <m:sub>
                        <m:r>
                          <w:rPr>
                            <w:rFonts w:ascii="Cambria Math" w:hAnsi="Cambria Math"/>
                            <w:lang w:val="en-US"/>
                          </w:rPr>
                          <m:t>1</m:t>
                        </m:r>
                      </m:sub>
                      <m:sup>
                        <m:r>
                          <w:rPr>
                            <w:rFonts w:ascii="Cambria Math" w:hAnsi="Cambria Math"/>
                          </w:rPr>
                          <m:t>h</m:t>
                        </m:r>
                      </m:sup>
                    </m:sSubSup>
                    <m:r>
                      <w:rPr>
                        <w:rFonts w:ascii="Cambria Math" w:hAnsi="Cambria Math"/>
                        <w:lang w:val="en-US"/>
                      </w:rPr>
                      <m:t xml:space="preserve"> (</m:t>
                    </m:r>
                    <m:sSubSup>
                      <m:sSubSupPr>
                        <m:ctrlPr>
                          <w:rPr>
                            <w:rFonts w:ascii="Cambria Math" w:hAnsi="Cambria Math"/>
                            <w:bCs/>
                          </w:rPr>
                        </m:ctrlPr>
                      </m:sSubSupPr>
                      <m:e>
                        <m:r>
                          <w:rPr>
                            <w:rFonts w:ascii="Cambria Math" w:hAnsi="Cambria Math"/>
                          </w:rPr>
                          <m:t>X</m:t>
                        </m:r>
                      </m:e>
                      <m:sub>
                        <m:r>
                          <w:rPr>
                            <w:rFonts w:ascii="Cambria Math" w:hAnsi="Cambria Math"/>
                            <w:lang w:val="en-US"/>
                          </w:rPr>
                          <m:t>t</m:t>
                        </m:r>
                      </m:sub>
                      <m:sup/>
                    </m:sSubSup>
                  </m:e>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sSub>
                  <m:sSubPr>
                    <m:ctrlPr>
                      <w:rPr>
                        <w:rFonts w:ascii="Cambria Math" w:hAnsi="Cambria Math"/>
                        <w:bCs/>
                        <w:i/>
                      </w:rPr>
                    </m:ctrlPr>
                  </m:sSubPr>
                  <m:e>
                    <m:sSubSup>
                      <m:sSubSupPr>
                        <m:ctrlPr>
                          <w:rPr>
                            <w:rFonts w:ascii="Cambria Math" w:hAnsi="Cambria Math"/>
                            <w:bCs/>
                          </w:rPr>
                        </m:ctrlPr>
                      </m:sSubSupPr>
                      <m:e>
                        <m:r>
                          <m:rPr>
                            <m:sty m:val="p"/>
                          </m:rPr>
                          <w:rPr>
                            <w:rFonts w:ascii="Cambria Math" w:hAnsi="Cambria Math"/>
                          </w:rPr>
                          <m:t>)m</m:t>
                        </m:r>
                      </m:e>
                      <m:sub>
                        <m:r>
                          <w:rPr>
                            <w:rFonts w:ascii="Cambria Math" w:hAnsi="Cambria Math"/>
                            <w:lang w:val="en-US"/>
                          </w:rPr>
                          <m:t>0</m:t>
                        </m:r>
                      </m:sub>
                      <m:sup>
                        <m:r>
                          <w:rPr>
                            <w:rFonts w:ascii="Cambria Math" w:hAnsi="Cambria Math"/>
                          </w:rPr>
                          <m:t>h</m:t>
                        </m:r>
                      </m:sup>
                    </m:sSubSup>
                    <m:r>
                      <w:rPr>
                        <w:rFonts w:ascii="Cambria Math" w:hAnsi="Cambria Math"/>
                        <w:lang w:val="en-US"/>
                      </w:rPr>
                      <m:t xml:space="preserve"> (</m:t>
                    </m:r>
                    <m:sSubSup>
                      <m:sSubSupPr>
                        <m:ctrlPr>
                          <w:rPr>
                            <w:rFonts w:ascii="Cambria Math" w:hAnsi="Cambria Math"/>
                            <w:bCs/>
                          </w:rPr>
                        </m:ctrlPr>
                      </m:sSubSupPr>
                      <m:e>
                        <m:r>
                          <w:rPr>
                            <w:rFonts w:ascii="Cambria Math" w:hAnsi="Cambria Math"/>
                          </w:rPr>
                          <m:t>X</m:t>
                        </m:r>
                      </m:e>
                      <m:sub>
                        <m:r>
                          <w:rPr>
                            <w:rFonts w:ascii="Cambria Math" w:hAnsi="Cambria Math"/>
                            <w:lang w:val="en-US"/>
                          </w:rPr>
                          <m:t>t</m:t>
                        </m:r>
                      </m:sub>
                      <m:sup/>
                    </m:sSubSup>
                  </m:e>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0</m:t>
                    </m:r>
                  </m:sub>
                  <m:sup>
                    <m:r>
                      <w:rPr>
                        <w:rFonts w:ascii="Cambria Math" w:hAnsi="Cambria Math"/>
                      </w:rPr>
                      <m:t>h</m:t>
                    </m:r>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1745D2">
        <w:rPr>
          <w:bCs/>
        </w:rPr>
        <w:t xml:space="preserve">  (1</w:t>
      </w:r>
      <w:r w:rsidR="000C357C">
        <w:rPr>
          <w:bCs/>
        </w:rPr>
        <w:t>2</w:t>
      </w:r>
      <w:r w:rsidR="001745D2">
        <w:rPr>
          <w:bCs/>
        </w:rPr>
        <w:t>)</w:t>
      </w:r>
    </w:p>
    <w:p w14:paraId="4A7AD804" w14:textId="435DD0FF"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where again</w:t>
      </w:r>
      <w:r>
        <w:rPr>
          <w:rFonts w:ascii="LM Roman 10" w:hAnsi="LM Roman 10"/>
          <w:noProof/>
          <w:lang w:val="en-US"/>
        </w:rPr>
        <w:t xml:space="preserv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Pr="000C357C">
        <w:rPr>
          <w:rFonts w:ascii="LM Roman 10" w:hAnsi="LM Roman 10"/>
          <w:noProof/>
          <w:lang w:val="en-US"/>
        </w:rPr>
        <w:t xml:space="preserve"> as in expression (8) in Section </w:t>
      </w:r>
      <w:r>
        <w:rPr>
          <w:rFonts w:ascii="LM Roman 10" w:hAnsi="LM Roman 10"/>
          <w:noProof/>
          <w:lang w:val="en-US"/>
        </w:rPr>
        <w:t>4</w:t>
      </w:r>
      <w:r w:rsidRPr="000C357C">
        <w:rPr>
          <w:rFonts w:ascii="LM Roman 10" w:hAnsi="LM Roman 10"/>
          <w:noProof/>
          <w:lang w:val="en-US"/>
        </w:rPr>
        <w:t>. 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as in expression (1</w:t>
      </w:r>
      <w:r>
        <w:rPr>
          <w:rFonts w:ascii="LM Roman 10" w:hAnsi="LM Roman 10"/>
          <w:noProof/>
          <w:lang w:val="en-US"/>
        </w:rPr>
        <w:t>1</w:t>
      </w:r>
      <w:r w:rsidRPr="000C357C">
        <w:rPr>
          <w:rFonts w:ascii="LM Roman 10" w:hAnsi="LM Roman 10"/>
          <w:noProof/>
          <w:lang w:val="en-US"/>
        </w:rPr>
        <w:t>). It is clear that equation (1</w:t>
      </w:r>
      <w:r>
        <w:rPr>
          <w:rFonts w:ascii="LM Roman 10" w:hAnsi="LM Roman 10"/>
          <w:noProof/>
          <w:lang w:val="en-US"/>
        </w:rPr>
        <w:t>2</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w:t>
      </w:r>
      <w:r>
        <w:rPr>
          <w:rFonts w:ascii="LM Roman 10" w:hAnsi="LM Roman 10"/>
          <w:noProof/>
          <w:lang w:val="en-US"/>
        </w:rPr>
        <w:t>4</w:t>
      </w:r>
      <w:r w:rsidRPr="000C357C">
        <w:rPr>
          <w:rFonts w:ascii="LM Roman 10" w:hAnsi="LM Roman 10"/>
          <w:noProof/>
          <w:lang w:val="en-US"/>
        </w:rPr>
        <w:t>), the RA (</w:t>
      </w:r>
      <w:r>
        <w:rPr>
          <w:rFonts w:ascii="LM Roman 10" w:hAnsi="LM Roman 10"/>
          <w:noProof/>
          <w:lang w:val="en-US"/>
        </w:rPr>
        <w:t>7</w:t>
      </w:r>
      <w:r w:rsidRPr="000C357C">
        <w:rPr>
          <w:rFonts w:ascii="LM Roman 10" w:hAnsi="LM Roman 10"/>
          <w:noProof/>
          <w:lang w:val="en-US"/>
        </w:rPr>
        <w:t>), and the IPW (1</w:t>
      </w:r>
      <w:r>
        <w:rPr>
          <w:rFonts w:ascii="LM Roman 10" w:hAnsi="LM Roman 10"/>
          <w:noProof/>
          <w:lang w:val="en-US"/>
        </w:rPr>
        <w:t>1</w:t>
      </w:r>
      <w:r w:rsidRPr="000C357C">
        <w:rPr>
          <w:rFonts w:ascii="LM Roman 10" w:hAnsi="LM Roman 10"/>
          <w:noProof/>
          <w:lang w:val="en-US"/>
        </w:rPr>
        <w:t>) as special cases.</w:t>
      </w:r>
    </w:p>
    <w:p w14:paraId="40E694CE" w14:textId="7A29A30E" w:rsidR="000C357C" w:rsidRDefault="000C357C" w:rsidP="00DE7C05">
      <w:pPr>
        <w:spacing w:after="200" w:line="312" w:lineRule="auto"/>
        <w:rPr>
          <w:rFonts w:ascii="LM Roman 10" w:hAnsi="LM Roman 10"/>
          <w:noProof/>
          <w:lang w:val="en-US"/>
        </w:rPr>
      </w:pPr>
      <w:r w:rsidRPr="000C357C">
        <w:rPr>
          <w:rFonts w:ascii="LM Roman 10" w:hAnsi="LM Roman 10"/>
          <w:noProof/>
          <w:lang w:val="en-US"/>
        </w:rPr>
        <w:t>The estimator in expression (1</w:t>
      </w:r>
      <w:r>
        <w:rPr>
          <w:rFonts w:ascii="LM Roman 10" w:hAnsi="LM Roman 10"/>
          <w:noProof/>
          <w:lang w:val="en-US"/>
        </w:rPr>
        <w:t>2</w:t>
      </w:r>
      <w:r w:rsidRPr="000C357C">
        <w:rPr>
          <w:rFonts w:ascii="LM Roman 10" w:hAnsi="LM Roman 10"/>
          <w:noProof/>
          <w:lang w:val="en-US"/>
        </w:rPr>
        <w:t>) falls into the class of doubly robust estimators (see, e.g.,</w:t>
      </w:r>
      <w:r>
        <w:rPr>
          <w:rFonts w:ascii="LM Roman 10" w:hAnsi="LM Roman 10"/>
          <w:noProof/>
          <w:lang w:val="en-US"/>
        </w:rPr>
        <w:t xml:space="preserve"> </w:t>
      </w:r>
      <w:r w:rsidRPr="000C357C">
        <w:rPr>
          <w:rFonts w:ascii="LM Roman 10" w:hAnsi="LM Roman 10"/>
          <w:noProof/>
          <w:lang w:val="en-US"/>
        </w:rPr>
        <w:t>Imbens 2004; Wooldridge 2007; Lunceford and Davidian 2004; and Kreif et al. 2011). The</w:t>
      </w:r>
      <w:r>
        <w:rPr>
          <w:rFonts w:ascii="LM Roman 10" w:hAnsi="LM Roman 10"/>
          <w:noProof/>
          <w:lang w:val="en-US"/>
        </w:rPr>
        <w:t xml:space="preserve"> </w:t>
      </w:r>
      <w:r w:rsidRPr="000C357C">
        <w:rPr>
          <w:rFonts w:ascii="LM Roman 10" w:hAnsi="LM Roman 10"/>
          <w:noProof/>
          <w:lang w:val="en-US"/>
        </w:rPr>
        <w:t>intuition behind the estimator is to use the regression model as a way to “predict” the</w:t>
      </w:r>
      <w:r>
        <w:rPr>
          <w:rFonts w:ascii="LM Roman 10" w:hAnsi="LM Roman 10"/>
          <w:noProof/>
          <w:lang w:val="en-US"/>
        </w:rPr>
        <w:t xml:space="preserve"> </w:t>
      </w:r>
      <w:r w:rsidRPr="000C357C">
        <w:rPr>
          <w:rFonts w:ascii="LM Roman 10" w:hAnsi="LM Roman 10"/>
          <w:noProof/>
          <w:lang w:val="en-US"/>
        </w:rPr>
        <w:t>unobserved potential outcomes.</w:t>
      </w:r>
      <w:r>
        <w:rPr>
          <w:rFonts w:ascii="LM Roman 10" w:hAnsi="LM Roman 10"/>
          <w:noProof/>
          <w:lang w:val="en-US"/>
        </w:rPr>
        <w:t xml:space="preserve"> </w:t>
      </w:r>
      <w:r w:rsidRPr="000C357C">
        <w:rPr>
          <w:rFonts w:ascii="LM Roman 10" w:hAnsi="LM Roman 10"/>
          <w:noProof/>
          <w:lang w:val="en-US"/>
        </w:rPr>
        <w:t>However, although (17) is one of a large class of unbiased IPWRA estimators of ATE,</w:t>
      </w:r>
      <w:r>
        <w:rPr>
          <w:rFonts w:ascii="LM Roman 10" w:hAnsi="LM Roman 10"/>
          <w:noProof/>
          <w:lang w:val="en-US"/>
        </w:rPr>
        <w:t xml:space="preserve"> </w:t>
      </w:r>
      <w:r w:rsidRPr="000C357C">
        <w:rPr>
          <w:rFonts w:ascii="LM Roman 10" w:hAnsi="LM Roman 10"/>
          <w:noProof/>
          <w:lang w:val="en-US"/>
        </w:rPr>
        <w:t>it is not the most efficient in this class.</w:t>
      </w:r>
      <w:r>
        <w:rPr>
          <w:rFonts w:ascii="LM Roman 10" w:hAnsi="LM Roman 10"/>
          <w:noProof/>
          <w:lang w:val="en-US"/>
        </w:rPr>
        <w:t xml:space="preserve"> More </w:t>
      </w:r>
      <w:r w:rsidRPr="000C357C">
        <w:rPr>
          <w:rFonts w:ascii="LM Roman 10" w:hAnsi="LM Roman 10"/>
          <w:noProof/>
          <w:lang w:val="en-US"/>
        </w:rPr>
        <w:t>recently, Lunceford and Davidian (2004), the estimator within the doublyrobust class having the smallest asymptotic variance, is the (locally) semi-parametric</w:t>
      </w:r>
      <w:r>
        <w:rPr>
          <w:rFonts w:ascii="LM Roman 10" w:hAnsi="LM Roman 10"/>
          <w:noProof/>
          <w:lang w:val="en-US"/>
        </w:rPr>
        <w:t xml:space="preserve"> </w:t>
      </w:r>
      <w:r w:rsidRPr="000C357C">
        <w:rPr>
          <w:rFonts w:ascii="LM Roman 10" w:hAnsi="LM Roman 10"/>
          <w:noProof/>
          <w:lang w:val="en-US"/>
        </w:rPr>
        <w:t>efficient estimator</w:t>
      </w:r>
      <w:r>
        <w:rPr>
          <w:rFonts w:ascii="LM Roman 10" w:hAnsi="LM Roman 10"/>
          <w:noProof/>
          <w:lang w:val="en-US"/>
        </w:rPr>
        <w:t>.</w:t>
      </w:r>
    </w:p>
    <w:p w14:paraId="03E2B909" w14:textId="486DD15C" w:rsidR="00101FF7" w:rsidRPr="0006603D" w:rsidRDefault="007F0C7F" w:rsidP="00DE7C05">
      <w:pPr>
        <w:spacing w:after="200" w:line="312" w:lineRule="auto"/>
        <w:jc w:val="center"/>
        <w:rPr>
          <w:bCs/>
          <w:sz w:val="20"/>
          <w:szCs w:val="20"/>
          <w:lang w:val="en-US"/>
        </w:rPr>
      </w:pPr>
      <m:oMath>
        <m:sSubSup>
          <m:sSubSupPr>
            <m:ctrlPr>
              <w:rPr>
                <w:rFonts w:ascii="Cambria Math" w:hAnsi="Cambria Math"/>
                <w:bCs/>
                <w:sz w:val="20"/>
                <w:szCs w:val="20"/>
              </w:rPr>
            </m:ctrlPr>
          </m:sSubSupPr>
          <m:e>
            <m:acc>
              <m:accPr>
                <m:ctrlPr>
                  <w:rPr>
                    <w:rFonts w:ascii="Cambria Math" w:hAnsi="Cambria Math"/>
                    <w:bCs/>
                    <w:sz w:val="20"/>
                    <w:szCs w:val="20"/>
                  </w:rPr>
                </m:ctrlPr>
              </m:accPr>
              <m:e>
                <m:r>
                  <m:rPr>
                    <m:sty m:val="p"/>
                  </m:rPr>
                  <w:rPr>
                    <w:rFonts w:ascii="Cambria Math" w:hAnsi="Cambria Math"/>
                    <w:sz w:val="20"/>
                    <w:szCs w:val="20"/>
                  </w:rPr>
                  <m:t>Λ</m:t>
                </m:r>
              </m:e>
            </m:acc>
          </m:e>
          <m:sub>
            <m:r>
              <w:rPr>
                <w:rFonts w:ascii="Cambria Math" w:hAnsi="Cambria Math"/>
                <w:sz w:val="20"/>
                <w:szCs w:val="20"/>
                <w:lang w:val="en-US"/>
              </w:rPr>
              <m:t>AIPW</m:t>
            </m:r>
          </m:sub>
          <m:sup>
            <m:r>
              <w:rPr>
                <w:rFonts w:ascii="Cambria Math" w:hAnsi="Cambria Math"/>
                <w:sz w:val="20"/>
                <w:szCs w:val="20"/>
              </w:rPr>
              <m:t>h</m:t>
            </m:r>
          </m:sup>
        </m:sSubSup>
        <m:r>
          <w:rPr>
            <w:rFonts w:ascii="Cambria Math" w:hAnsi="Cambria Math"/>
            <w:sz w:val="20"/>
            <w:szCs w:val="20"/>
            <w:lang w:val="en-US"/>
          </w:rPr>
          <m:t xml:space="preserve">= </m:t>
        </m:r>
        <m:f>
          <m:fPr>
            <m:ctrlPr>
              <w:rPr>
                <w:rFonts w:ascii="Cambria Math" w:hAnsi="Cambria Math"/>
                <w:bCs/>
                <w:i/>
                <w:sz w:val="20"/>
                <w:szCs w:val="20"/>
              </w:rPr>
            </m:ctrlPr>
          </m:fPr>
          <m:num>
            <m:r>
              <w:rPr>
                <w:rFonts w:ascii="Cambria Math" w:hAnsi="Cambria Math"/>
                <w:sz w:val="20"/>
                <w:szCs w:val="20"/>
                <w:lang w:val="en-US"/>
              </w:rPr>
              <m:t>1</m:t>
            </m:r>
          </m:num>
          <m:den>
            <m:sSub>
              <m:sSubPr>
                <m:ctrlPr>
                  <w:rPr>
                    <w:rFonts w:ascii="Cambria Math" w:hAnsi="Cambria Math"/>
                    <w:bCs/>
                    <w:i/>
                    <w:sz w:val="20"/>
                    <w:szCs w:val="20"/>
                  </w:rPr>
                </m:ctrlPr>
              </m:sSubPr>
              <m:e>
                <m:r>
                  <w:rPr>
                    <w:rFonts w:ascii="Cambria Math" w:hAnsi="Cambria Math"/>
                    <w:sz w:val="20"/>
                    <w:szCs w:val="20"/>
                    <w:lang w:val="en-US"/>
                  </w:rPr>
                  <m:t>n</m:t>
                </m:r>
              </m:e>
              <m:sub/>
            </m:sSub>
          </m:den>
        </m:f>
        <m:nary>
          <m:naryPr>
            <m:chr m:val="∑"/>
            <m:limLoc m:val="undOvr"/>
            <m:ctrlPr>
              <w:rPr>
                <w:rFonts w:ascii="Cambria Math" w:hAnsi="Cambria Math"/>
                <w:bCs/>
                <w:i/>
                <w:sz w:val="20"/>
                <w:szCs w:val="20"/>
              </w:rPr>
            </m:ctrlPr>
          </m:naryPr>
          <m:sub>
            <m:r>
              <w:rPr>
                <w:rFonts w:ascii="Cambria Math" w:hAnsi="Cambria Math"/>
                <w:sz w:val="20"/>
                <w:szCs w:val="20"/>
              </w:rPr>
              <m:t>t</m:t>
            </m:r>
          </m:sub>
          <m:sup/>
          <m:e>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lang w:val="en-US"/>
                      </w:rPr>
                      <m:t>D</m:t>
                    </m:r>
                  </m:e>
                  <m:sub>
                    <m:r>
                      <w:rPr>
                        <w:rFonts w:ascii="Cambria Math" w:hAnsi="Cambria Math"/>
                        <w:sz w:val="20"/>
                        <w:szCs w:val="20"/>
                        <w:lang w:val="en-US"/>
                      </w:rPr>
                      <m:t>t</m:t>
                    </m:r>
                  </m:sub>
                </m:sSub>
                <m:sSub>
                  <m:sSubPr>
                    <m:ctrlPr>
                      <w:rPr>
                        <w:rFonts w:ascii="Cambria Math" w:hAnsi="Cambria Math"/>
                        <w:bCs/>
                        <w:i/>
                        <w:sz w:val="20"/>
                        <w:szCs w:val="20"/>
                      </w:rPr>
                    </m:ctrlPr>
                  </m:sSubPr>
                  <m:e>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t+h</m:t>
                        </m:r>
                      </m:sub>
                      <m:sup/>
                    </m:sSubSup>
                  </m:e>
                  <m:sub/>
                </m:sSub>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m:t>
                    </m:r>
                  </m:sub>
                  <m:sup/>
                </m:sSubSup>
                <m:r>
                  <w:rPr>
                    <w:rFonts w:ascii="Cambria Math" w:hAnsi="Cambria Math"/>
                    <w:sz w:val="20"/>
                    <w:szCs w:val="20"/>
                    <w:lang w:val="en-US"/>
                  </w:rPr>
                  <m:t xml:space="preserve"> )</m:t>
                </m:r>
              </m:num>
              <m:den>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bCs/>
                    <w:i/>
                    <w:sz w:val="20"/>
                    <w:szCs w:val="20"/>
                  </w:rPr>
                </m:ctrlPr>
              </m:sSubPr>
              <m:e>
                <m:r>
                  <w:rPr>
                    <w:rFonts w:ascii="Cambria Math" w:hAnsi="Cambria Math"/>
                    <w:sz w:val="20"/>
                    <w:szCs w:val="20"/>
                    <w:lang w:val="en-US"/>
                  </w:rPr>
                  <m:t>(1-D</m:t>
                </m:r>
              </m:e>
              <m:sub>
                <m:r>
                  <w:rPr>
                    <w:rFonts w:ascii="Cambria Math" w:hAnsi="Cambria Math"/>
                    <w:sz w:val="20"/>
                    <w:szCs w:val="20"/>
                    <w:lang w:val="en-US"/>
                  </w:rPr>
                  <m:t>t</m:t>
                </m:r>
              </m:sub>
            </m:sSub>
            <m:sSub>
              <m:sSubPr>
                <m:ctrlPr>
                  <w:rPr>
                    <w:rFonts w:ascii="Cambria Math" w:hAnsi="Cambria Math"/>
                    <w:bCs/>
                    <w:i/>
                    <w:sz w:val="20"/>
                    <w:szCs w:val="20"/>
                  </w:rPr>
                </m:ctrlPr>
              </m:sSubPr>
              <m:e>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t+h</m:t>
                    </m:r>
                  </m:sub>
                  <m:sup/>
                </m:sSubSup>
              </m:e>
              <m:sub/>
            </m:sSub>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m:t>
                </m:r>
              </m:sub>
              <m:sup/>
            </m:sSubSup>
            <m:r>
              <w:rPr>
                <w:rFonts w:ascii="Cambria Math" w:hAnsi="Cambria Math"/>
                <w:sz w:val="20"/>
                <w:szCs w:val="20"/>
                <w:lang w:val="en-US"/>
              </w:rPr>
              <m:t xml:space="preserve"> )</m:t>
            </m:r>
          </m:num>
          <m:den>
            <m:r>
              <w:rPr>
                <w:rFonts w:ascii="Cambria Math" w:hAnsi="Cambria Math"/>
                <w:sz w:val="20"/>
                <w:szCs w:val="20"/>
                <w:lang w:val="en-US"/>
              </w:rPr>
              <m:t>(1-</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r>
              <w:rPr>
                <w:rFonts w:ascii="Cambria Math" w:hAnsi="Cambria Math"/>
                <w:noProof/>
                <w:sz w:val="20"/>
                <w:szCs w:val="20"/>
                <w:lang w:val="en-US"/>
              </w:rPr>
              <m:t>Dt</m:t>
            </m:r>
            <m:r>
              <w:rPr>
                <w:rFonts w:ascii="Cambria Math" w:hAnsi="Cambria Math"/>
                <w:sz w:val="20"/>
                <w:szCs w:val="20"/>
                <w:lang w:val="en-US"/>
              </w:rPr>
              <m:t>-</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r>
              <w:rPr>
                <w:rFonts w:ascii="Cambria Math" w:hAnsi="Cambria Math"/>
                <w:sz w:val="20"/>
                <w:szCs w:val="20"/>
                <w:lang w:val="en-US"/>
              </w:rPr>
              <m:t>)</m:t>
            </m:r>
          </m:num>
          <m:den>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t(1-</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r>
          <w:rPr>
            <w:rFonts w:ascii="Cambria Math" w:hAnsi="Cambria Math"/>
            <w:sz w:val="20"/>
            <w:szCs w:val="20"/>
            <w:lang w:val="en-US"/>
          </w:rPr>
          <m:t>[(1-</m:t>
        </m:r>
        <m:sSub>
          <m:sSubPr>
            <m:ctrlPr>
              <w:rPr>
                <w:rFonts w:ascii="Cambria Math" w:hAnsi="Cambria Math"/>
                <w:i/>
                <w:noProof/>
                <w:sz w:val="20"/>
                <w:szCs w:val="20"/>
                <w:lang w:val="en-US"/>
              </w:rPr>
            </m:ctrlPr>
          </m:sSubPr>
          <m:e>
            <m:acc>
              <m:accPr>
                <m:ctrlPr>
                  <w:rPr>
                    <w:rFonts w:ascii="Cambria Math" w:hAnsi="Cambria Math"/>
                    <w:bCs/>
                    <w:i/>
                    <w:noProof/>
                    <w:sz w:val="20"/>
                    <w:szCs w:val="20"/>
                    <w:lang w:val="en-US"/>
                  </w:rPr>
                </m:ctrlPr>
              </m:accPr>
              <m:e>
                <m:r>
                  <w:rPr>
                    <w:rFonts w:ascii="Cambria Math" w:hAnsi="Cambria Math"/>
                    <w:noProof/>
                    <w:sz w:val="20"/>
                    <w:szCs w:val="20"/>
                    <w:lang w:val="en-US"/>
                  </w:rPr>
                  <m:t>p</m:t>
                </m:r>
              </m:e>
            </m:acc>
          </m:e>
          <m:sub>
            <m:r>
              <w:rPr>
                <w:rFonts w:ascii="Cambria Math" w:hAnsi="Cambria Math"/>
                <w:noProof/>
                <w:sz w:val="20"/>
                <w:szCs w:val="20"/>
                <w:lang w:val="en-US"/>
              </w:rPr>
              <m:t>t</m:t>
            </m:r>
          </m:sub>
        </m:sSub>
        <m:r>
          <w:rPr>
            <w:rFonts w:ascii="Cambria Math" w:hAnsi="Cambria Math"/>
            <w:noProof/>
            <w:sz w:val="20"/>
            <w:szCs w:val="20"/>
            <w:lang w:val="en-US"/>
          </w:rPr>
          <m:t>)</m:t>
        </m:r>
        <m:sSubSup>
          <m:sSubSupPr>
            <m:ctrlPr>
              <w:rPr>
                <w:rFonts w:ascii="Cambria Math" w:hAnsi="Cambria Math"/>
                <w:i/>
                <w:noProof/>
                <w:sz w:val="20"/>
                <w:szCs w:val="20"/>
                <w:lang w:val="en-US"/>
              </w:rPr>
            </m:ctrlPr>
          </m:sSubSupPr>
          <m:e>
            <m:r>
              <w:rPr>
                <w:rFonts w:ascii="Cambria Math" w:hAnsi="Cambria Math"/>
                <w:noProof/>
                <w:sz w:val="20"/>
                <w:szCs w:val="20"/>
                <w:lang w:val="en-US"/>
              </w:rPr>
              <m:t>m</m:t>
            </m:r>
          </m:e>
          <m:sub>
            <m:r>
              <w:rPr>
                <w:rFonts w:ascii="Cambria Math" w:hAnsi="Cambria Math"/>
                <w:noProof/>
                <w:sz w:val="20"/>
                <w:szCs w:val="20"/>
                <w:lang w:val="en-US"/>
              </w:rPr>
              <m:t>1</m:t>
            </m:r>
          </m:sub>
          <m:sup>
            <m:r>
              <w:rPr>
                <w:rFonts w:ascii="Cambria Math" w:hAnsi="Cambria Math"/>
                <w:noProof/>
                <w:sz w:val="20"/>
                <w:szCs w:val="20"/>
                <w:lang w:val="en-US"/>
              </w:rPr>
              <m:t>h</m:t>
            </m:r>
          </m:sup>
        </m:sSubSup>
        <m:r>
          <w:rPr>
            <w:rFonts w:ascii="Cambria Math" w:hAnsi="Cambria Math"/>
            <w:noProof/>
            <w:sz w:val="20"/>
            <w:szCs w:val="20"/>
            <w:lang w:val="en-US"/>
          </w:rPr>
          <m:t>(</m:t>
        </m:r>
        <m:sSub>
          <m:sSubPr>
            <m:ctrlPr>
              <w:rPr>
                <w:rFonts w:ascii="Cambria Math" w:hAnsi="Cambria Math"/>
                <w:i/>
                <w:noProof/>
                <w:sz w:val="20"/>
                <w:szCs w:val="20"/>
                <w:lang w:val="en-US"/>
              </w:rPr>
            </m:ctrlPr>
          </m:sSubPr>
          <m:e>
            <m:r>
              <w:rPr>
                <w:rFonts w:ascii="Cambria Math" w:hAnsi="Cambria Math"/>
                <w:noProof/>
                <w:sz w:val="20"/>
                <w:szCs w:val="20"/>
                <w:lang w:val="en-US"/>
              </w:rPr>
              <m:t>X</m:t>
            </m:r>
          </m:e>
          <m:sub>
            <m:r>
              <w:rPr>
                <w:rFonts w:ascii="Cambria Math" w:hAnsi="Cambria Math"/>
                <w:noProof/>
                <w:sz w:val="20"/>
                <w:szCs w:val="20"/>
                <w:lang w:val="en-US"/>
              </w:rPr>
              <m:t>t</m:t>
            </m:r>
          </m:sub>
        </m:sSub>
        <m:r>
          <w:rPr>
            <w:rFonts w:ascii="Cambria Math" w:hAnsi="Cambria Math"/>
            <w:sz w:val="20"/>
            <w:szCs w:val="20"/>
            <w:lang w:val="en-US"/>
          </w:rPr>
          <m:t xml:space="preserve">, </m:t>
        </m:r>
        <m:sSubSup>
          <m:sSubSupPr>
            <m:ctrlPr>
              <w:rPr>
                <w:rFonts w:ascii="Cambria Math" w:hAnsi="Cambria Math"/>
                <w:bCs/>
                <w:sz w:val="20"/>
                <w:szCs w:val="20"/>
              </w:rPr>
            </m:ctrlPr>
          </m:sSubSupPr>
          <m:e>
            <m:acc>
              <m:accPr>
                <m:ctrlPr>
                  <w:rPr>
                    <w:rFonts w:ascii="Cambria Math" w:hAnsi="Cambria Math"/>
                    <w:sz w:val="20"/>
                    <w:szCs w:val="20"/>
                  </w:rPr>
                </m:ctrlPr>
              </m:accPr>
              <m:e>
                <m:r>
                  <w:rPr>
                    <w:rFonts w:ascii="Cambria Math" w:hAnsi="Cambria Math"/>
                    <w:sz w:val="20"/>
                    <w:szCs w:val="20"/>
                  </w:rPr>
                  <m:t>θ</m:t>
                </m:r>
              </m:e>
            </m:acc>
          </m:e>
          <m:sub>
            <m:r>
              <w:rPr>
                <w:rFonts w:ascii="Cambria Math" w:hAnsi="Cambria Math"/>
                <w:sz w:val="20"/>
                <w:szCs w:val="20"/>
                <w:lang w:val="en-US"/>
              </w:rPr>
              <m:t>1</m:t>
            </m:r>
          </m:sub>
          <m:sup>
            <m:r>
              <w:rPr>
                <w:rFonts w:ascii="Cambria Math" w:hAnsi="Cambria Math"/>
                <w:sz w:val="20"/>
                <w:szCs w:val="20"/>
              </w:rPr>
              <m:t>h</m:t>
            </m:r>
          </m:sup>
        </m:sSubSup>
        <m:r>
          <w:rPr>
            <w:rFonts w:ascii="Cambria Math" w:hAnsi="Cambria Math"/>
            <w:sz w:val="20"/>
            <w:szCs w:val="20"/>
            <w:lang w:val="en-US"/>
          </w:rPr>
          <m:t>)+</m:t>
        </m:r>
        <m:sSub>
          <m:sSubPr>
            <m:ctrlPr>
              <w:rPr>
                <w:rFonts w:ascii="Cambria Math" w:hAnsi="Cambria Math"/>
                <w:i/>
                <w:noProof/>
                <w:sz w:val="20"/>
                <w:szCs w:val="20"/>
                <w:lang w:val="en-US"/>
              </w:rPr>
            </m:ctrlPr>
          </m:sSubPr>
          <m:e>
            <m:acc>
              <m:accPr>
                <m:ctrlPr>
                  <w:rPr>
                    <w:rFonts w:ascii="Cambria Math" w:hAnsi="Cambria Math"/>
                    <w:bCs/>
                    <w:i/>
                    <w:noProof/>
                    <w:sz w:val="20"/>
                    <w:szCs w:val="20"/>
                    <w:lang w:val="en-US"/>
                  </w:rPr>
                </m:ctrlPr>
              </m:accPr>
              <m:e>
                <m:r>
                  <w:rPr>
                    <w:rFonts w:ascii="Cambria Math" w:hAnsi="Cambria Math"/>
                    <w:noProof/>
                    <w:sz w:val="20"/>
                    <w:szCs w:val="20"/>
                    <w:lang w:val="en-US"/>
                  </w:rPr>
                  <m:t>p</m:t>
                </m:r>
              </m:e>
            </m:acc>
          </m:e>
          <m:sub>
            <m:r>
              <w:rPr>
                <w:rFonts w:ascii="Cambria Math" w:hAnsi="Cambria Math"/>
                <w:noProof/>
                <w:sz w:val="20"/>
                <w:szCs w:val="20"/>
                <w:lang w:val="en-US"/>
              </w:rPr>
              <m:t>t</m:t>
            </m:r>
          </m:sub>
        </m:sSub>
        <m:sSubSup>
          <m:sSubSupPr>
            <m:ctrlPr>
              <w:rPr>
                <w:rFonts w:ascii="Cambria Math" w:hAnsi="Cambria Math"/>
                <w:i/>
                <w:noProof/>
                <w:sz w:val="20"/>
                <w:szCs w:val="20"/>
                <w:lang w:val="en-US"/>
              </w:rPr>
            </m:ctrlPr>
          </m:sSubSupPr>
          <m:e>
            <m:r>
              <w:rPr>
                <w:rFonts w:ascii="Cambria Math" w:hAnsi="Cambria Math"/>
                <w:noProof/>
                <w:sz w:val="20"/>
                <w:szCs w:val="20"/>
                <w:lang w:val="en-US"/>
              </w:rPr>
              <m:t>m</m:t>
            </m:r>
          </m:e>
          <m:sub>
            <m:r>
              <w:rPr>
                <w:rFonts w:ascii="Cambria Math" w:hAnsi="Cambria Math"/>
                <w:noProof/>
                <w:sz w:val="20"/>
                <w:szCs w:val="20"/>
                <w:lang w:val="en-US"/>
              </w:rPr>
              <m:t>0</m:t>
            </m:r>
          </m:sub>
          <m:sup>
            <m:r>
              <w:rPr>
                <w:rFonts w:ascii="Cambria Math" w:hAnsi="Cambria Math"/>
                <w:noProof/>
                <w:sz w:val="20"/>
                <w:szCs w:val="20"/>
                <w:lang w:val="en-US"/>
              </w:rPr>
              <m:t>h</m:t>
            </m:r>
          </m:sup>
        </m:sSubSup>
        <m:r>
          <w:rPr>
            <w:rFonts w:ascii="Cambria Math" w:hAnsi="Cambria Math"/>
            <w:noProof/>
            <w:sz w:val="20"/>
            <w:szCs w:val="20"/>
            <w:lang w:val="en-US"/>
          </w:rPr>
          <m:t>(</m:t>
        </m:r>
        <m:sSub>
          <m:sSubPr>
            <m:ctrlPr>
              <w:rPr>
                <w:rFonts w:ascii="Cambria Math" w:hAnsi="Cambria Math"/>
                <w:i/>
                <w:noProof/>
                <w:sz w:val="20"/>
                <w:szCs w:val="20"/>
                <w:lang w:val="en-US"/>
              </w:rPr>
            </m:ctrlPr>
          </m:sSubPr>
          <m:e>
            <m:r>
              <w:rPr>
                <w:rFonts w:ascii="Cambria Math" w:hAnsi="Cambria Math"/>
                <w:noProof/>
                <w:sz w:val="20"/>
                <w:szCs w:val="20"/>
                <w:lang w:val="en-US"/>
              </w:rPr>
              <m:t>X</m:t>
            </m:r>
          </m:e>
          <m:sub>
            <m:r>
              <w:rPr>
                <w:rFonts w:ascii="Cambria Math" w:hAnsi="Cambria Math"/>
                <w:noProof/>
                <w:sz w:val="20"/>
                <w:szCs w:val="20"/>
                <w:lang w:val="en-US"/>
              </w:rPr>
              <m:t>t</m:t>
            </m:r>
          </m:sub>
        </m:sSub>
        <m:r>
          <w:rPr>
            <w:rFonts w:ascii="Cambria Math" w:hAnsi="Cambria Math"/>
            <w:sz w:val="20"/>
            <w:szCs w:val="20"/>
            <w:lang w:val="en-US"/>
          </w:rPr>
          <m:t xml:space="preserve">, </m:t>
        </m:r>
        <m:sSubSup>
          <m:sSubSupPr>
            <m:ctrlPr>
              <w:rPr>
                <w:rFonts w:ascii="Cambria Math" w:hAnsi="Cambria Math"/>
                <w:bCs/>
                <w:sz w:val="20"/>
                <w:szCs w:val="20"/>
              </w:rPr>
            </m:ctrlPr>
          </m:sSubSupPr>
          <m:e>
            <m:acc>
              <m:accPr>
                <m:ctrlPr>
                  <w:rPr>
                    <w:rFonts w:ascii="Cambria Math" w:hAnsi="Cambria Math"/>
                    <w:sz w:val="20"/>
                    <w:szCs w:val="20"/>
                  </w:rPr>
                </m:ctrlPr>
              </m:accPr>
              <m:e>
                <m:r>
                  <w:rPr>
                    <w:rFonts w:ascii="Cambria Math" w:hAnsi="Cambria Math"/>
                    <w:sz w:val="20"/>
                    <w:szCs w:val="20"/>
                  </w:rPr>
                  <m:t>θ</m:t>
                </m:r>
              </m:e>
            </m:acc>
          </m:e>
          <m:sub>
            <m:r>
              <w:rPr>
                <w:rFonts w:ascii="Cambria Math" w:hAnsi="Cambria Math"/>
                <w:sz w:val="20"/>
                <w:szCs w:val="20"/>
                <w:lang w:val="en-US"/>
              </w:rPr>
              <m:t>1</m:t>
            </m:r>
          </m:sub>
          <m:sup>
            <m:r>
              <w:rPr>
                <w:rFonts w:ascii="Cambria Math" w:hAnsi="Cambria Math"/>
                <w:sz w:val="20"/>
                <w:szCs w:val="20"/>
              </w:rPr>
              <m:t>h</m:t>
            </m:r>
          </m:sup>
        </m:sSubSup>
        <m:r>
          <w:rPr>
            <w:rFonts w:ascii="Cambria Math" w:hAnsi="Cambria Math"/>
            <w:sz w:val="20"/>
            <w:szCs w:val="20"/>
            <w:lang w:val="en-US"/>
          </w:rPr>
          <m:t xml:space="preserve">)]} </m:t>
        </m:r>
      </m:oMath>
      <w:r w:rsidR="00101FF7" w:rsidRPr="0006603D">
        <w:rPr>
          <w:bCs/>
          <w:sz w:val="20"/>
          <w:szCs w:val="20"/>
        </w:rPr>
        <w:t xml:space="preserve"> (13)</w:t>
      </w:r>
    </w:p>
    <w:p w14:paraId="2A6140B4" w14:textId="01BFBEF2" w:rsidR="000C357C" w:rsidRDefault="001B22CE" w:rsidP="00DE7C05">
      <w:pPr>
        <w:spacing w:after="200" w:line="312" w:lineRule="auto"/>
        <w:rPr>
          <w:rFonts w:ascii="LM Roman 10" w:hAnsi="LM Roman 10"/>
          <w:bCs/>
          <w:noProof/>
          <w:sz w:val="22"/>
          <w:szCs w:val="22"/>
        </w:rPr>
      </w:pPr>
      <w:r w:rsidRPr="001B22CE">
        <w:rPr>
          <w:rFonts w:ascii="LM Roman 10" w:hAnsi="LM Roman 10"/>
          <w:noProof/>
          <w:lang w:val="en-US"/>
        </w:rPr>
        <w:t>Thus, the estimator in (18) can be seen as the basic IPW estimator plus an adjustment</w:t>
      </w:r>
      <w:r>
        <w:rPr>
          <w:rFonts w:ascii="LM Roman 10" w:hAnsi="LM Roman 10"/>
          <w:noProof/>
          <w:lang w:val="en-US"/>
        </w:rPr>
        <w:t xml:space="preserve"> </w:t>
      </w:r>
      <w:r w:rsidRPr="001B22CE">
        <w:rPr>
          <w:rFonts w:ascii="LM Roman 10" w:hAnsi="LM Roman 10"/>
          <w:noProof/>
          <w:lang w:val="en-US"/>
        </w:rPr>
        <w:t>consisting of the weighted average of the two regression estimators. The adjustment term</w:t>
      </w:r>
      <w:r>
        <w:rPr>
          <w:rFonts w:ascii="LM Roman 10" w:hAnsi="LM Roman 10"/>
          <w:noProof/>
          <w:lang w:val="en-US"/>
        </w:rPr>
        <w:t xml:space="preserve"> </w:t>
      </w:r>
      <w:r w:rsidRPr="001B22CE">
        <w:rPr>
          <w:rFonts w:ascii="LM Roman 10" w:hAnsi="LM Roman 10"/>
          <w:noProof/>
          <w:lang w:val="en-US"/>
        </w:rPr>
        <w:t>has expectation zero when the estimated propensity scores and regression models are</w:t>
      </w:r>
      <w:r>
        <w:rPr>
          <w:rFonts w:ascii="LM Roman 10" w:hAnsi="LM Roman 10"/>
          <w:noProof/>
          <w:lang w:val="en-US"/>
        </w:rPr>
        <w:t xml:space="preserve"> </w:t>
      </w:r>
      <w:r w:rsidRPr="001B22CE">
        <w:rPr>
          <w:rFonts w:ascii="LM Roman 10" w:hAnsi="LM Roman 10"/>
          <w:noProof/>
          <w:lang w:val="en-US"/>
        </w:rPr>
        <w:t>replaced by their population counterparts. Moreover, the adjustment term stabilizes the</w:t>
      </w:r>
      <w:r>
        <w:rPr>
          <w:rFonts w:ascii="LM Roman 10" w:hAnsi="LM Roman 10"/>
          <w:noProof/>
          <w:lang w:val="en-US"/>
        </w:rPr>
        <w:t xml:space="preserve"> </w:t>
      </w:r>
      <w:r w:rsidRPr="001B22CE">
        <w:rPr>
          <w:rFonts w:ascii="LM Roman 10" w:hAnsi="LM Roman 10"/>
          <w:noProof/>
          <w:lang w:val="en-US"/>
        </w:rPr>
        <w:t>estimator when the propensity scores get close to zero or one (Glynn and Quinn 2010),</w:t>
      </w:r>
      <w:r>
        <w:rPr>
          <w:rFonts w:ascii="LM Roman 10" w:hAnsi="LM Roman 10"/>
          <w:noProof/>
          <w:lang w:val="en-US"/>
        </w:rPr>
        <w:t xml:space="preserve"> </w:t>
      </w:r>
      <w:r w:rsidRPr="001B22CE">
        <w:rPr>
          <w:rFonts w:ascii="LM Roman 10" w:hAnsi="LM Roman 10"/>
          <w:noProof/>
          <w:lang w:val="en-US"/>
        </w:rPr>
        <w:t>and this alleviates with the need to truncate the propensity score weights as suggested</w:t>
      </w:r>
      <w:r>
        <w:rPr>
          <w:rFonts w:ascii="LM Roman 10" w:hAnsi="LM Roman 10"/>
          <w:noProof/>
          <w:lang w:val="en-US"/>
        </w:rPr>
        <w:t xml:space="preserve"> </w:t>
      </w:r>
      <w:r w:rsidRPr="001B22CE">
        <w:rPr>
          <w:rFonts w:ascii="LM Roman 10" w:hAnsi="LM Roman 10"/>
          <w:noProof/>
          <w:lang w:val="en-US"/>
        </w:rPr>
        <w:t>in Imbens (2004). Another way to interpret the AIPW estimator is to realize that</w:t>
      </w:r>
      <w:r>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Pr>
          <w:rFonts w:ascii="LM Roman 10" w:hAnsi="LM Roman 10"/>
          <w:bCs/>
          <w:noProof/>
          <w:sz w:val="22"/>
          <w:szCs w:val="22"/>
        </w:rPr>
        <w:t>.</w:t>
      </w:r>
    </w:p>
    <w:p w14:paraId="340CEFFB" w14:textId="77777777" w:rsidR="00DE7C05" w:rsidRDefault="00DE7C05" w:rsidP="00DE7C05">
      <w:pPr>
        <w:spacing w:after="200" w:line="312" w:lineRule="auto"/>
        <w:rPr>
          <w:rFonts w:ascii="LM Roman 10" w:hAnsi="LM Roman 10"/>
          <w:noProof/>
          <w:lang w:val="en-US"/>
        </w:rPr>
      </w:pPr>
    </w:p>
    <w:p w14:paraId="37ECBC08" w14:textId="1565F7B2" w:rsidR="00101FF7" w:rsidRPr="00DE7C05" w:rsidRDefault="001B22CE" w:rsidP="00DE7C05">
      <w:pPr>
        <w:spacing w:after="200" w:line="312" w:lineRule="auto"/>
        <w:rPr>
          <w:rFonts w:ascii="LM Roman 10" w:hAnsi="LM Roman 10"/>
          <w:b/>
          <w:bCs/>
          <w:noProof/>
          <w:lang w:val="en-US"/>
        </w:rPr>
      </w:pPr>
      <w:r w:rsidRPr="00DE7C05">
        <w:rPr>
          <w:rFonts w:ascii="LM Roman 10" w:hAnsi="LM Roman 10"/>
          <w:b/>
          <w:bCs/>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commentRangeStart w:id="10"/>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commentRangeEnd w:id="10"/>
      <w:r w:rsidR="00E87C18">
        <w:rPr>
          <w:rStyle w:val="CommentReference"/>
        </w:rPr>
        <w:commentReference w:id="10"/>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w:t>
      </w:r>
      <w:r>
        <w:rPr>
          <w:szCs w:val="22"/>
        </w:rPr>
        <w:lastRenderedPageBreak/>
        <w:t xml:space="preserve">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20E36C31" w14:textId="77777777" w:rsidR="00DE7C05" w:rsidRDefault="00DE7C05" w:rsidP="00DE7C05">
      <w:pPr>
        <w:spacing w:after="200" w:line="312" w:lineRule="auto"/>
        <w:jc w:val="both"/>
        <w:rPr>
          <w:szCs w:val="22"/>
        </w:rPr>
      </w:pP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1" w:name="_Toc507749052"/>
      <w:r w:rsidRPr="00DE7C05">
        <w:rPr>
          <w:rFonts w:ascii="Times New Roman" w:hAnsi="Times New Roman"/>
          <w:b/>
          <w:sz w:val="24"/>
          <w:szCs w:val="24"/>
          <w:lang w:val="en-GB"/>
        </w:rPr>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1"/>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2"/>
      <w:commentRangeStart w:id="13"/>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2"/>
      <w:r w:rsidR="00E0559D" w:rsidRPr="00F617CD">
        <w:rPr>
          <w:rFonts w:ascii="LM Roman 10" w:hAnsi="LM Roman 10"/>
          <w:noProof/>
          <w:lang w:val="en-US"/>
        </w:rPr>
        <w:commentReference w:id="12"/>
      </w:r>
      <w:commentRangeEnd w:id="13"/>
      <w:r w:rsidR="00E0559D" w:rsidRPr="00F617CD">
        <w:rPr>
          <w:rFonts w:ascii="LM Roman 10" w:hAnsi="LM Roman 10"/>
          <w:noProof/>
          <w:lang w:val="en-US"/>
        </w:rPr>
        <w:commentReference w:id="13"/>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w:t>
      </w:r>
      <w:r w:rsidRPr="00F617CD">
        <w:rPr>
          <w:rFonts w:ascii="LM Roman 10" w:hAnsi="LM Roman 10"/>
          <w:noProof/>
          <w:lang w:val="en-US"/>
        </w:rPr>
        <w:lastRenderedPageBreak/>
        <w:t xml:space="preserve">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proofErr w:type="gramStart"/>
      <w:r w:rsidRPr="0006603D">
        <w:rPr>
          <w:highlight w:val="yellow"/>
        </w:rPr>
        <w:t>%</w:t>
      </w:r>
      <w:r>
        <w:t>,.</w:t>
      </w:r>
      <w:proofErr w:type="gramEnd"/>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rsidP="00DE7C05">
      <w:pPr>
        <w:spacing w:after="200" w:line="312" w:lineRule="auto"/>
        <w:rPr>
          <w:rFonts w:eastAsia="Arial"/>
          <w:b/>
          <w:spacing w:val="-1"/>
          <w:sz w:val="28"/>
          <w:szCs w:val="28"/>
          <w:lang w:val="en-US" w:eastAsia="en-US"/>
        </w:rPr>
      </w:pPr>
    </w:p>
    <w:p w14:paraId="389085E3" w14:textId="77777777" w:rsidR="00215E0B" w:rsidRDefault="00720711" w:rsidP="00DE7C05">
      <w:pPr>
        <w:spacing w:after="200" w:line="312" w:lineRule="auto"/>
        <w:ind w:right="150"/>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3"/>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4"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4"/>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lastRenderedPageBreak/>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2A764901" w14:textId="4AD59E0C" w:rsidR="0006603D" w:rsidRPr="0006603D" w:rsidRDefault="00720711" w:rsidP="0006603D">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Excel.Sheet.12 "E:\\GitRepo\\Inequality\\final IARPW.xlsx" "Table 8!R88C1:R103C7" \a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06603D" w:rsidRPr="0006603D" w14:paraId="789E7812" w14:textId="77777777" w:rsidTr="0006603D">
        <w:trPr>
          <w:trHeight w:val="227"/>
          <w:jc w:val="center"/>
        </w:trPr>
        <w:tc>
          <w:tcPr>
            <w:tcW w:w="2127" w:type="dxa"/>
            <w:tcBorders>
              <w:top w:val="double" w:sz="4" w:space="0" w:color="auto"/>
              <w:left w:val="nil"/>
              <w:right w:val="nil"/>
            </w:tcBorders>
            <w:shd w:val="clear" w:color="auto" w:fill="auto"/>
            <w:noWrap/>
            <w:vAlign w:val="center"/>
            <w:hideMark/>
          </w:tcPr>
          <w:p w14:paraId="105F1F13" w14:textId="2A661D14" w:rsidR="0006603D" w:rsidRPr="0006603D" w:rsidRDefault="0006603D" w:rsidP="0006603D">
            <w:pPr>
              <w:jc w:val="center"/>
              <w:rPr>
                <w:b/>
                <w:bCs/>
                <w:lang w:val="en-US" w:eastAsia="es-ES"/>
              </w:rPr>
            </w:pPr>
          </w:p>
        </w:tc>
        <w:tc>
          <w:tcPr>
            <w:tcW w:w="974" w:type="dxa"/>
            <w:tcBorders>
              <w:top w:val="double" w:sz="4" w:space="0" w:color="auto"/>
              <w:left w:val="nil"/>
              <w:right w:val="nil"/>
            </w:tcBorders>
            <w:shd w:val="clear" w:color="auto" w:fill="auto"/>
            <w:noWrap/>
            <w:vAlign w:val="center"/>
            <w:hideMark/>
          </w:tcPr>
          <w:p w14:paraId="2C37DE97"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center"/>
            <w:hideMark/>
          </w:tcPr>
          <w:p w14:paraId="766313A7"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center"/>
            <w:hideMark/>
          </w:tcPr>
          <w:p w14:paraId="51F5F4D6"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center"/>
            <w:hideMark/>
          </w:tcPr>
          <w:p w14:paraId="63BEA9A8"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center"/>
            <w:hideMark/>
          </w:tcPr>
          <w:p w14:paraId="247F6BCC"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center"/>
            <w:hideMark/>
          </w:tcPr>
          <w:p w14:paraId="47573BD0"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(6)</w:t>
            </w:r>
          </w:p>
        </w:tc>
      </w:tr>
      <w:tr w:rsidR="0006603D" w:rsidRPr="0006603D" w14:paraId="3D2B6B61" w14:textId="77777777" w:rsidTr="0006603D">
        <w:trPr>
          <w:trHeight w:val="227"/>
          <w:jc w:val="center"/>
        </w:trPr>
        <w:tc>
          <w:tcPr>
            <w:tcW w:w="2127" w:type="dxa"/>
            <w:tcBorders>
              <w:top w:val="nil"/>
              <w:left w:val="nil"/>
              <w:bottom w:val="single" w:sz="4" w:space="0" w:color="auto"/>
              <w:right w:val="nil"/>
            </w:tcBorders>
            <w:shd w:val="clear" w:color="auto" w:fill="auto"/>
            <w:noWrap/>
            <w:vAlign w:val="center"/>
            <w:hideMark/>
          </w:tcPr>
          <w:p w14:paraId="72713EC0" w14:textId="77777777" w:rsidR="0006603D" w:rsidRPr="0006603D" w:rsidRDefault="0006603D" w:rsidP="0006603D">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center"/>
            <w:hideMark/>
          </w:tcPr>
          <w:p w14:paraId="7D814175"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1</w:t>
            </w:r>
          </w:p>
        </w:tc>
        <w:tc>
          <w:tcPr>
            <w:tcW w:w="1040" w:type="dxa"/>
            <w:tcBorders>
              <w:top w:val="nil"/>
              <w:left w:val="nil"/>
              <w:bottom w:val="single" w:sz="4" w:space="0" w:color="auto"/>
              <w:right w:val="nil"/>
            </w:tcBorders>
            <w:shd w:val="clear" w:color="auto" w:fill="auto"/>
            <w:noWrap/>
            <w:vAlign w:val="center"/>
            <w:hideMark/>
          </w:tcPr>
          <w:p w14:paraId="62B9337E"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2</w:t>
            </w:r>
          </w:p>
        </w:tc>
        <w:tc>
          <w:tcPr>
            <w:tcW w:w="974" w:type="dxa"/>
            <w:tcBorders>
              <w:top w:val="nil"/>
              <w:left w:val="nil"/>
              <w:bottom w:val="single" w:sz="4" w:space="0" w:color="auto"/>
              <w:right w:val="nil"/>
            </w:tcBorders>
            <w:shd w:val="clear" w:color="auto" w:fill="auto"/>
            <w:noWrap/>
            <w:vAlign w:val="center"/>
            <w:hideMark/>
          </w:tcPr>
          <w:p w14:paraId="75F94AB4"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3</w:t>
            </w:r>
          </w:p>
        </w:tc>
        <w:tc>
          <w:tcPr>
            <w:tcW w:w="976" w:type="dxa"/>
            <w:tcBorders>
              <w:top w:val="nil"/>
              <w:left w:val="nil"/>
              <w:bottom w:val="single" w:sz="4" w:space="0" w:color="auto"/>
              <w:right w:val="nil"/>
            </w:tcBorders>
            <w:shd w:val="clear" w:color="auto" w:fill="auto"/>
            <w:noWrap/>
            <w:vAlign w:val="center"/>
            <w:hideMark/>
          </w:tcPr>
          <w:p w14:paraId="77B3C4BD"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4</w:t>
            </w:r>
          </w:p>
        </w:tc>
        <w:tc>
          <w:tcPr>
            <w:tcW w:w="978" w:type="dxa"/>
            <w:tcBorders>
              <w:top w:val="nil"/>
              <w:left w:val="nil"/>
              <w:bottom w:val="single" w:sz="4" w:space="0" w:color="auto"/>
              <w:right w:val="nil"/>
            </w:tcBorders>
            <w:shd w:val="clear" w:color="auto" w:fill="auto"/>
            <w:noWrap/>
            <w:vAlign w:val="center"/>
            <w:hideMark/>
          </w:tcPr>
          <w:p w14:paraId="468F6F7C"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5</w:t>
            </w:r>
          </w:p>
        </w:tc>
        <w:tc>
          <w:tcPr>
            <w:tcW w:w="974" w:type="dxa"/>
            <w:tcBorders>
              <w:top w:val="nil"/>
              <w:left w:val="nil"/>
              <w:bottom w:val="single" w:sz="4" w:space="0" w:color="auto"/>
              <w:right w:val="nil"/>
            </w:tcBorders>
            <w:shd w:val="clear" w:color="auto" w:fill="auto"/>
            <w:noWrap/>
            <w:vAlign w:val="center"/>
            <w:hideMark/>
          </w:tcPr>
          <w:p w14:paraId="07B4C663" w14:textId="77777777" w:rsidR="0006603D" w:rsidRPr="0006603D" w:rsidRDefault="0006603D" w:rsidP="0006603D">
            <w:pPr>
              <w:jc w:val="center"/>
              <w:rPr>
                <w:rFonts w:asciiTheme="minorHAnsi" w:hAnsiTheme="minorHAnsi" w:cstheme="minorHAnsi"/>
                <w:b/>
                <w:bCs/>
                <w:color w:val="000000"/>
                <w:sz w:val="20"/>
                <w:szCs w:val="20"/>
                <w:lang w:val="es-ES" w:eastAsia="es-ES"/>
              </w:rPr>
            </w:pPr>
          </w:p>
        </w:tc>
      </w:tr>
      <w:tr w:rsidR="0006603D" w:rsidRPr="0006603D" w14:paraId="7CA58C68" w14:textId="77777777" w:rsidTr="0006603D">
        <w:trPr>
          <w:trHeight w:val="227"/>
          <w:jc w:val="center"/>
        </w:trPr>
        <w:tc>
          <w:tcPr>
            <w:tcW w:w="2127" w:type="dxa"/>
            <w:tcBorders>
              <w:top w:val="single" w:sz="4" w:space="0" w:color="auto"/>
              <w:left w:val="nil"/>
              <w:bottom w:val="nil"/>
              <w:right w:val="nil"/>
            </w:tcBorders>
            <w:shd w:val="clear" w:color="auto" w:fill="auto"/>
            <w:noWrap/>
            <w:vAlign w:val="center"/>
            <w:hideMark/>
          </w:tcPr>
          <w:p w14:paraId="45C3308B" w14:textId="77777777" w:rsidR="0006603D" w:rsidRPr="0006603D" w:rsidRDefault="0006603D" w:rsidP="000E4A42">
            <w:pPr>
              <w:spacing w:before="120"/>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Education</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expenditure</w:t>
            </w:r>
            <w:proofErr w:type="spellEnd"/>
          </w:p>
        </w:tc>
        <w:tc>
          <w:tcPr>
            <w:tcW w:w="974" w:type="dxa"/>
            <w:tcBorders>
              <w:top w:val="single" w:sz="4" w:space="0" w:color="auto"/>
              <w:left w:val="nil"/>
              <w:bottom w:val="nil"/>
              <w:right w:val="nil"/>
            </w:tcBorders>
            <w:shd w:val="clear" w:color="auto" w:fill="auto"/>
            <w:noWrap/>
            <w:vAlign w:val="center"/>
            <w:hideMark/>
          </w:tcPr>
          <w:p w14:paraId="6C2A2933"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center"/>
            <w:hideMark/>
          </w:tcPr>
          <w:p w14:paraId="287B682A"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center"/>
            <w:hideMark/>
          </w:tcPr>
          <w:p w14:paraId="2157D69F"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center"/>
            <w:hideMark/>
          </w:tcPr>
          <w:p w14:paraId="41D1508D"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center"/>
            <w:hideMark/>
          </w:tcPr>
          <w:p w14:paraId="160C134F"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center"/>
            <w:hideMark/>
          </w:tcPr>
          <w:p w14:paraId="684D6842"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-0.01526*</w:t>
            </w:r>
          </w:p>
        </w:tc>
      </w:tr>
      <w:tr w:rsidR="0006603D" w:rsidRPr="0006603D" w14:paraId="6E34064A"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76086937"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3BB9518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center"/>
            <w:hideMark/>
          </w:tcPr>
          <w:p w14:paraId="4F787257"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center"/>
            <w:hideMark/>
          </w:tcPr>
          <w:p w14:paraId="5AC7617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center"/>
            <w:hideMark/>
          </w:tcPr>
          <w:p w14:paraId="2DF25D8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center"/>
            <w:hideMark/>
          </w:tcPr>
          <w:p w14:paraId="45FBF63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center"/>
            <w:hideMark/>
          </w:tcPr>
          <w:p w14:paraId="6E2074F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0.0080</w:t>
            </w:r>
          </w:p>
        </w:tc>
      </w:tr>
      <w:tr w:rsidR="0006603D" w:rsidRPr="0006603D" w14:paraId="78739772"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5CE227B6"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Health</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expenditure</w:t>
            </w:r>
            <w:proofErr w:type="spellEnd"/>
          </w:p>
        </w:tc>
        <w:tc>
          <w:tcPr>
            <w:tcW w:w="974" w:type="dxa"/>
            <w:tcBorders>
              <w:top w:val="nil"/>
              <w:left w:val="nil"/>
              <w:bottom w:val="nil"/>
              <w:right w:val="nil"/>
            </w:tcBorders>
            <w:shd w:val="clear" w:color="auto" w:fill="auto"/>
            <w:noWrap/>
            <w:vAlign w:val="center"/>
            <w:hideMark/>
          </w:tcPr>
          <w:p w14:paraId="6B1A616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center"/>
            <w:hideMark/>
          </w:tcPr>
          <w:p w14:paraId="6E18C3E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center"/>
            <w:hideMark/>
          </w:tcPr>
          <w:p w14:paraId="471F5F9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center"/>
            <w:hideMark/>
          </w:tcPr>
          <w:p w14:paraId="19A2D70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center"/>
            <w:hideMark/>
          </w:tcPr>
          <w:p w14:paraId="17202A1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center"/>
            <w:hideMark/>
          </w:tcPr>
          <w:p w14:paraId="47FAB80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-0.000974</w:t>
            </w:r>
          </w:p>
        </w:tc>
      </w:tr>
      <w:tr w:rsidR="0006603D" w:rsidRPr="0006603D" w14:paraId="48841B42"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0585F09F"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7E6CAF24"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center"/>
            <w:hideMark/>
          </w:tcPr>
          <w:p w14:paraId="2A87FEC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center"/>
            <w:hideMark/>
          </w:tcPr>
          <w:p w14:paraId="3E46C8B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center"/>
            <w:hideMark/>
          </w:tcPr>
          <w:p w14:paraId="3C8F61A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center"/>
            <w:hideMark/>
          </w:tcPr>
          <w:p w14:paraId="63A16A6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center"/>
            <w:hideMark/>
          </w:tcPr>
          <w:p w14:paraId="427CCAF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0.0045</w:t>
            </w:r>
          </w:p>
        </w:tc>
      </w:tr>
      <w:tr w:rsidR="0006603D" w:rsidRPr="0006603D" w14:paraId="727FAA68"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0F169A88"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In-cash</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center"/>
            <w:hideMark/>
          </w:tcPr>
          <w:p w14:paraId="713307EE"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center"/>
            <w:hideMark/>
          </w:tcPr>
          <w:p w14:paraId="4DC41BF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center"/>
            <w:hideMark/>
          </w:tcPr>
          <w:p w14:paraId="777198C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center"/>
            <w:hideMark/>
          </w:tcPr>
          <w:p w14:paraId="5BFF50D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center"/>
            <w:hideMark/>
          </w:tcPr>
          <w:p w14:paraId="6CCDA285"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center"/>
            <w:hideMark/>
          </w:tcPr>
          <w:p w14:paraId="27E0B4A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0.0066</w:t>
            </w:r>
          </w:p>
        </w:tc>
      </w:tr>
      <w:tr w:rsidR="0006603D" w:rsidRPr="0006603D" w14:paraId="44C2D78A"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26B95104"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2E65DC6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center"/>
            <w:hideMark/>
          </w:tcPr>
          <w:p w14:paraId="14C4F5A5"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center"/>
            <w:hideMark/>
          </w:tcPr>
          <w:p w14:paraId="6310847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center"/>
            <w:hideMark/>
          </w:tcPr>
          <w:p w14:paraId="0BB5EA8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center"/>
            <w:hideMark/>
          </w:tcPr>
          <w:p w14:paraId="5CF2D9B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center"/>
            <w:hideMark/>
          </w:tcPr>
          <w:p w14:paraId="6B98174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0.0044</w:t>
            </w:r>
          </w:p>
        </w:tc>
      </w:tr>
      <w:tr w:rsidR="0006603D" w:rsidRPr="0006603D" w14:paraId="298671BA"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01D398A3"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In-kind</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center"/>
            <w:hideMark/>
          </w:tcPr>
          <w:p w14:paraId="2D934DF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center"/>
            <w:hideMark/>
          </w:tcPr>
          <w:p w14:paraId="0723427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center"/>
            <w:hideMark/>
          </w:tcPr>
          <w:p w14:paraId="6EB9CD7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center"/>
            <w:hideMark/>
          </w:tcPr>
          <w:p w14:paraId="690CEA5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center"/>
            <w:hideMark/>
          </w:tcPr>
          <w:p w14:paraId="2F879CD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center"/>
            <w:hideMark/>
          </w:tcPr>
          <w:p w14:paraId="0099DB8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r>
      <w:tr w:rsidR="0006603D" w:rsidRPr="0006603D" w14:paraId="48686346"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25C5B734"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2D12019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center"/>
            <w:hideMark/>
          </w:tcPr>
          <w:p w14:paraId="26D31EA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center"/>
            <w:hideMark/>
          </w:tcPr>
          <w:p w14:paraId="0C4C08B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center"/>
            <w:hideMark/>
          </w:tcPr>
          <w:p w14:paraId="5BF6D8A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center"/>
            <w:hideMark/>
          </w:tcPr>
          <w:p w14:paraId="27E1D55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center"/>
            <w:hideMark/>
          </w:tcPr>
          <w:p w14:paraId="1DC2775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r>
      <w:tr w:rsidR="0006603D" w:rsidRPr="0006603D" w14:paraId="52FEC725"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67B55024"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Property</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center"/>
            <w:hideMark/>
          </w:tcPr>
          <w:p w14:paraId="31D05B8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center"/>
            <w:hideMark/>
          </w:tcPr>
          <w:p w14:paraId="2153495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center"/>
            <w:hideMark/>
          </w:tcPr>
          <w:p w14:paraId="13308005"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center"/>
            <w:hideMark/>
          </w:tcPr>
          <w:p w14:paraId="46AC0041"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center"/>
            <w:hideMark/>
          </w:tcPr>
          <w:p w14:paraId="4F929F8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center"/>
            <w:hideMark/>
          </w:tcPr>
          <w:p w14:paraId="46FF80D8"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0.00136**</w:t>
            </w:r>
          </w:p>
        </w:tc>
      </w:tr>
      <w:tr w:rsidR="0006603D" w:rsidRPr="0006603D" w14:paraId="08101215"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132AA6C5"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664C7C4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center"/>
            <w:hideMark/>
          </w:tcPr>
          <w:p w14:paraId="1F47954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center"/>
            <w:hideMark/>
          </w:tcPr>
          <w:p w14:paraId="1837234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center"/>
            <w:hideMark/>
          </w:tcPr>
          <w:p w14:paraId="1650599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center"/>
            <w:hideMark/>
          </w:tcPr>
          <w:p w14:paraId="238AD68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center"/>
            <w:hideMark/>
          </w:tcPr>
          <w:p w14:paraId="20556BA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r>
      <w:tr w:rsidR="0006603D" w:rsidRPr="0006603D" w14:paraId="38E46798"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6B926161"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Indirect</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center"/>
            <w:hideMark/>
          </w:tcPr>
          <w:p w14:paraId="69AEB774"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center"/>
            <w:hideMark/>
          </w:tcPr>
          <w:p w14:paraId="6EC0C8A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center"/>
            <w:hideMark/>
          </w:tcPr>
          <w:p w14:paraId="74DEEE55"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center"/>
            <w:hideMark/>
          </w:tcPr>
          <w:p w14:paraId="276A254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center"/>
            <w:hideMark/>
          </w:tcPr>
          <w:p w14:paraId="2E25962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center"/>
            <w:hideMark/>
          </w:tcPr>
          <w:p w14:paraId="72FEED5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w:t>
            </w:r>
          </w:p>
        </w:tc>
      </w:tr>
      <w:tr w:rsidR="0006603D" w:rsidRPr="0006603D" w14:paraId="060A07F1"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2D66FA3A"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629A4BE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center"/>
            <w:hideMark/>
          </w:tcPr>
          <w:p w14:paraId="545EA5A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center"/>
            <w:hideMark/>
          </w:tcPr>
          <w:p w14:paraId="4E069FA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center"/>
            <w:hideMark/>
          </w:tcPr>
          <w:p w14:paraId="6F26F61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center"/>
            <w:hideMark/>
          </w:tcPr>
          <w:p w14:paraId="44BCEF2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center"/>
            <w:hideMark/>
          </w:tcPr>
          <w:p w14:paraId="1F2FC0F4"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0.0062</w:t>
            </w:r>
          </w:p>
        </w:tc>
      </w:tr>
      <w:tr w:rsidR="0006603D" w:rsidRPr="0006603D" w14:paraId="18C0730F" w14:textId="77777777" w:rsidTr="0006603D">
        <w:trPr>
          <w:trHeight w:val="227"/>
          <w:jc w:val="center"/>
        </w:trPr>
        <w:tc>
          <w:tcPr>
            <w:tcW w:w="2127" w:type="dxa"/>
            <w:tcBorders>
              <w:top w:val="nil"/>
              <w:left w:val="nil"/>
              <w:right w:val="nil"/>
            </w:tcBorders>
            <w:shd w:val="clear" w:color="auto" w:fill="auto"/>
            <w:noWrap/>
            <w:vAlign w:val="center"/>
            <w:hideMark/>
          </w:tcPr>
          <w:p w14:paraId="49DF5DF9"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Income</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tax</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progresivity</w:t>
            </w:r>
            <w:proofErr w:type="spellEnd"/>
          </w:p>
        </w:tc>
        <w:tc>
          <w:tcPr>
            <w:tcW w:w="974" w:type="dxa"/>
            <w:tcBorders>
              <w:top w:val="nil"/>
              <w:left w:val="nil"/>
              <w:right w:val="nil"/>
            </w:tcBorders>
            <w:shd w:val="clear" w:color="auto" w:fill="auto"/>
            <w:noWrap/>
            <w:vAlign w:val="center"/>
            <w:hideMark/>
          </w:tcPr>
          <w:p w14:paraId="192506D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center"/>
            <w:hideMark/>
          </w:tcPr>
          <w:p w14:paraId="3C84BA87"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center"/>
            <w:hideMark/>
          </w:tcPr>
          <w:p w14:paraId="4AF4A50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center"/>
            <w:hideMark/>
          </w:tcPr>
          <w:p w14:paraId="266B210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center"/>
            <w:hideMark/>
          </w:tcPr>
          <w:p w14:paraId="76DE170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center"/>
            <w:hideMark/>
          </w:tcPr>
          <w:p w14:paraId="412738F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-0.0411**</w:t>
            </w:r>
          </w:p>
        </w:tc>
      </w:tr>
      <w:tr w:rsidR="0006603D" w:rsidRPr="0006603D" w14:paraId="447B39F4" w14:textId="77777777" w:rsidTr="0006603D">
        <w:trPr>
          <w:trHeight w:val="227"/>
          <w:jc w:val="center"/>
        </w:trPr>
        <w:tc>
          <w:tcPr>
            <w:tcW w:w="2127" w:type="dxa"/>
            <w:tcBorders>
              <w:top w:val="nil"/>
              <w:left w:val="nil"/>
              <w:bottom w:val="double" w:sz="4" w:space="0" w:color="auto"/>
              <w:right w:val="nil"/>
            </w:tcBorders>
            <w:shd w:val="clear" w:color="auto" w:fill="auto"/>
            <w:noWrap/>
            <w:vAlign w:val="center"/>
            <w:hideMark/>
          </w:tcPr>
          <w:p w14:paraId="2A0AC371"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center"/>
            <w:hideMark/>
          </w:tcPr>
          <w:p w14:paraId="79F89A58"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center"/>
            <w:hideMark/>
          </w:tcPr>
          <w:p w14:paraId="5146091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center"/>
            <w:hideMark/>
          </w:tcPr>
          <w:p w14:paraId="06D6CEF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center"/>
            <w:hideMark/>
          </w:tcPr>
          <w:p w14:paraId="79CF4C0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center"/>
            <w:hideMark/>
          </w:tcPr>
          <w:p w14:paraId="20A5528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center"/>
            <w:hideMark/>
          </w:tcPr>
          <w:p w14:paraId="015C141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5"/>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proofErr w:type="spellStart"/>
      <w:proofErr w:type="gramStart"/>
      <w:r w:rsidR="002140E4" w:rsidRPr="004E1E49">
        <w:rPr>
          <w:rFonts w:eastAsia="Calibri"/>
          <w:sz w:val="18"/>
          <w:szCs w:val="22"/>
          <w:lang w:val="en-US" w:eastAsia="en-US"/>
        </w:rPr>
        <w:t>d.CAPB</w:t>
      </w:r>
      <w:proofErr w:type="spellEnd"/>
      <w:proofErr w:type="gramEnd"/>
      <w:r w:rsidR="002140E4" w:rsidRPr="004E1E49">
        <w:rPr>
          <w:rFonts w:eastAsia="Calibri"/>
          <w:sz w:val="18"/>
          <w:szCs w:val="22"/>
          <w:lang w:val="en-US" w:eastAsia="en-US"/>
        </w:rPr>
        <w:t xml:space="preserve"> instrumented by IMF fiscal action variable in binary 0-1 form (Treatment) in the top panel. First stage F-statistic reports the </w:t>
      </w:r>
      <w:proofErr w:type="spellStart"/>
      <w:r w:rsidR="002140E4" w:rsidRPr="004E1E49">
        <w:rPr>
          <w:rFonts w:eastAsia="Calibri"/>
          <w:sz w:val="18"/>
          <w:szCs w:val="22"/>
          <w:lang w:val="en-US" w:eastAsia="en-US"/>
        </w:rPr>
        <w:t>Kleibergen-Paap</w:t>
      </w:r>
      <w:proofErr w:type="spellEnd"/>
      <w:r w:rsidR="002140E4" w:rsidRPr="004E1E49">
        <w:rPr>
          <w:rFonts w:eastAsia="Calibri"/>
          <w:sz w:val="18"/>
          <w:szCs w:val="22"/>
          <w:lang w:val="en-US" w:eastAsia="en-US"/>
        </w:rPr>
        <w:t xml:space="preserve"> weak identification Wald test statistic</w:t>
      </w:r>
      <w:r w:rsidR="002140E4" w:rsidRPr="004E1E49">
        <w:rPr>
          <w:rFonts w:eastAsia="Calibri"/>
          <w:sz w:val="20"/>
          <w:lang w:val="en-US" w:eastAsia="en-US"/>
        </w:rPr>
        <w:t>.</w:t>
      </w:r>
      <w:commentRangeEnd w:id="15"/>
      <w:r w:rsidR="00105279">
        <w:rPr>
          <w:rStyle w:val="CommentReference"/>
        </w:rPr>
        <w:commentReference w:id="15"/>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6"/>
      <w:r w:rsidRPr="00DE7C05">
        <w:rPr>
          <w:b/>
          <w:szCs w:val="22"/>
        </w:rPr>
        <w:t>Heterogeneous dynamics</w:t>
      </w:r>
      <w:commentRangeEnd w:id="16"/>
      <w:r w:rsidRPr="00DE7C05">
        <w:rPr>
          <w:sz w:val="22"/>
          <w:szCs w:val="22"/>
        </w:rPr>
        <w:commentReference w:id="16"/>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the overall sample estimation. Regarding the fiscal variables, our results suggest 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 xml:space="preserve">Alternatively, we illustrate in Table 4 the effects when we consider economies in recession (average real GDP growth during 2008-2013 is negative). Analysing the </w:t>
      </w:r>
      <w:r w:rsidRPr="00F617CD">
        <w:rPr>
          <w:rFonts w:ascii="LM Roman 10" w:hAnsi="LM Roman 10"/>
          <w:noProof/>
          <w:lang w:val="en-US"/>
        </w:rPr>
        <w:lastRenderedPageBreak/>
        <w:t>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45A2B739" w14:textId="77777777" w:rsidR="00F617CD" w:rsidRPr="00DE7C05" w:rsidRDefault="00F617CD" w:rsidP="00DE7C05">
      <w:pPr>
        <w:pStyle w:val="BodyText"/>
        <w:spacing w:after="200" w:line="312" w:lineRule="auto"/>
        <w:ind w:right="150"/>
        <w:jc w:val="both"/>
        <w:rPr>
          <w:sz w:val="22"/>
          <w:szCs w:val="22"/>
        </w:rPr>
      </w:pPr>
    </w:p>
    <w:p w14:paraId="25869011" w14:textId="65B7736C" w:rsidR="008323D5" w:rsidRPr="00B23BAD" w:rsidRDefault="00F617CD" w:rsidP="00B23BAD">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Excel.Sheet.12 "E:\\GitRepo\\Inequality\\final IARPW.xlsx" "boom &amp; bust!R77C1:R97C6" \a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8323D5" w:rsidRPr="008323D5" w14:paraId="142B215B"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8D00DC9" w14:textId="52085A8C" w:rsidR="008323D5" w:rsidRPr="008323D5" w:rsidRDefault="008323D5" w:rsidP="008323D5">
            <w:pPr>
              <w:rPr>
                <w:rFonts w:asciiTheme="minorHAnsi" w:hAnsiTheme="minorHAnsi" w:cstheme="minorHAnsi"/>
                <w:sz w:val="18"/>
                <w:szCs w:val="18"/>
                <w:lang w:val="es-ES" w:eastAsia="es-ES"/>
              </w:rPr>
            </w:pPr>
          </w:p>
        </w:tc>
        <w:tc>
          <w:tcPr>
            <w:tcW w:w="960" w:type="dxa"/>
            <w:tcBorders>
              <w:top w:val="nil"/>
              <w:left w:val="nil"/>
              <w:bottom w:val="nil"/>
              <w:right w:val="nil"/>
            </w:tcBorders>
            <w:shd w:val="clear" w:color="auto" w:fill="auto"/>
            <w:noWrap/>
            <w:vAlign w:val="bottom"/>
            <w:hideMark/>
          </w:tcPr>
          <w:p w14:paraId="40ADC557"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657874F8"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592C2A2E"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0E5B099F"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558CC33F"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(5)</w:t>
            </w:r>
          </w:p>
        </w:tc>
      </w:tr>
      <w:tr w:rsidR="008323D5" w:rsidRPr="008323D5" w14:paraId="0093F70D" w14:textId="77777777" w:rsidTr="008323D5">
        <w:trPr>
          <w:divId w:val="63139023"/>
          <w:trHeight w:val="227"/>
          <w:jc w:val="center"/>
        </w:trPr>
        <w:tc>
          <w:tcPr>
            <w:tcW w:w="2127" w:type="dxa"/>
            <w:tcBorders>
              <w:top w:val="nil"/>
              <w:left w:val="nil"/>
              <w:bottom w:val="single" w:sz="4" w:space="0" w:color="auto"/>
              <w:right w:val="nil"/>
            </w:tcBorders>
            <w:shd w:val="clear" w:color="auto" w:fill="auto"/>
            <w:noWrap/>
            <w:vAlign w:val="bottom"/>
            <w:hideMark/>
          </w:tcPr>
          <w:p w14:paraId="55AB4EE3"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27FE4876"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1</w:t>
            </w:r>
          </w:p>
        </w:tc>
        <w:tc>
          <w:tcPr>
            <w:tcW w:w="960" w:type="dxa"/>
            <w:tcBorders>
              <w:top w:val="nil"/>
              <w:left w:val="nil"/>
              <w:bottom w:val="single" w:sz="4" w:space="0" w:color="auto"/>
              <w:right w:val="nil"/>
            </w:tcBorders>
            <w:shd w:val="clear" w:color="auto" w:fill="auto"/>
            <w:noWrap/>
            <w:vAlign w:val="bottom"/>
            <w:hideMark/>
          </w:tcPr>
          <w:p w14:paraId="612EA338"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2</w:t>
            </w:r>
          </w:p>
        </w:tc>
        <w:tc>
          <w:tcPr>
            <w:tcW w:w="960" w:type="dxa"/>
            <w:tcBorders>
              <w:top w:val="nil"/>
              <w:left w:val="nil"/>
              <w:bottom w:val="single" w:sz="4" w:space="0" w:color="auto"/>
              <w:right w:val="nil"/>
            </w:tcBorders>
            <w:shd w:val="clear" w:color="auto" w:fill="auto"/>
            <w:noWrap/>
            <w:vAlign w:val="bottom"/>
            <w:hideMark/>
          </w:tcPr>
          <w:p w14:paraId="553878B4"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3</w:t>
            </w:r>
          </w:p>
        </w:tc>
        <w:tc>
          <w:tcPr>
            <w:tcW w:w="960" w:type="dxa"/>
            <w:tcBorders>
              <w:top w:val="nil"/>
              <w:left w:val="nil"/>
              <w:bottom w:val="single" w:sz="4" w:space="0" w:color="auto"/>
              <w:right w:val="nil"/>
            </w:tcBorders>
            <w:shd w:val="clear" w:color="auto" w:fill="auto"/>
            <w:noWrap/>
            <w:vAlign w:val="bottom"/>
            <w:hideMark/>
          </w:tcPr>
          <w:p w14:paraId="727B77AA"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4</w:t>
            </w:r>
          </w:p>
        </w:tc>
        <w:tc>
          <w:tcPr>
            <w:tcW w:w="960" w:type="dxa"/>
            <w:tcBorders>
              <w:top w:val="nil"/>
              <w:left w:val="nil"/>
              <w:bottom w:val="single" w:sz="4" w:space="0" w:color="auto"/>
              <w:right w:val="nil"/>
            </w:tcBorders>
            <w:shd w:val="clear" w:color="auto" w:fill="auto"/>
            <w:noWrap/>
            <w:vAlign w:val="bottom"/>
            <w:hideMark/>
          </w:tcPr>
          <w:p w14:paraId="05AAB2A4"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5</w:t>
            </w:r>
          </w:p>
        </w:tc>
      </w:tr>
      <w:tr w:rsidR="008323D5" w:rsidRPr="008323D5" w14:paraId="4BC6FC8F" w14:textId="77777777" w:rsidTr="008323D5">
        <w:trPr>
          <w:divId w:val="63139023"/>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47796D69" w14:textId="77777777" w:rsidR="008323D5" w:rsidRPr="008323D5" w:rsidRDefault="008323D5" w:rsidP="008323D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18673E1F" w14:textId="77777777" w:rsidR="008323D5" w:rsidRPr="008323D5" w:rsidRDefault="008323D5" w:rsidP="008323D5">
            <w:pPr>
              <w:spacing w:before="120"/>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Boom</w:t>
            </w:r>
          </w:p>
        </w:tc>
      </w:tr>
      <w:tr w:rsidR="008323D5" w:rsidRPr="008323D5" w14:paraId="4C743DB6" w14:textId="77777777" w:rsidTr="008323D5">
        <w:trPr>
          <w:divId w:val="63139023"/>
          <w:trHeight w:val="227"/>
          <w:jc w:val="center"/>
        </w:trPr>
        <w:tc>
          <w:tcPr>
            <w:tcW w:w="2127" w:type="dxa"/>
            <w:tcBorders>
              <w:top w:val="single" w:sz="4" w:space="0" w:color="auto"/>
              <w:left w:val="nil"/>
              <w:bottom w:val="nil"/>
              <w:right w:val="nil"/>
            </w:tcBorders>
            <w:shd w:val="clear" w:color="auto" w:fill="auto"/>
            <w:noWrap/>
            <w:vAlign w:val="bottom"/>
            <w:hideMark/>
          </w:tcPr>
          <w:p w14:paraId="2BD3D6DD" w14:textId="77777777" w:rsidR="008323D5" w:rsidRPr="008323D5" w:rsidRDefault="008323D5" w:rsidP="008323D5">
            <w:pPr>
              <w:spacing w:before="120"/>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Education</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78E698C0"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417EEDFE"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D7D0702"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082BA7C"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3238E9F6"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-0.322***</w:t>
            </w:r>
          </w:p>
        </w:tc>
      </w:tr>
      <w:tr w:rsidR="008323D5" w:rsidRPr="008323D5" w14:paraId="3AA88637"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22704F11"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4995F62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911DC4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5D3BCDD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5A552A6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1048246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0.0628</w:t>
            </w:r>
          </w:p>
        </w:tc>
      </w:tr>
      <w:tr w:rsidR="008323D5" w:rsidRPr="008323D5" w14:paraId="258067E2"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6E31B1D0"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In-cash</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037F5D7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48327806"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5333626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7554178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3616D89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-0.171***</w:t>
            </w:r>
          </w:p>
        </w:tc>
      </w:tr>
      <w:tr w:rsidR="008323D5" w:rsidRPr="008323D5" w14:paraId="7750F5F5"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4A1E1E12"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7471A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E38063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1652D52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02C728F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2D7B895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0.0425</w:t>
            </w:r>
          </w:p>
        </w:tc>
      </w:tr>
      <w:tr w:rsidR="008323D5" w:rsidRPr="008323D5" w14:paraId="5A17DDF2"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77F8B04C"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Property</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1A90589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2EA41C0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68D4440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3243D588"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6F63935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w:t>
            </w:r>
          </w:p>
        </w:tc>
      </w:tr>
      <w:tr w:rsidR="008323D5" w:rsidRPr="008323D5" w14:paraId="22521E43"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60AA846C"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A7189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0D66841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30E715A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C36FF6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54F050A1"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0.0026</w:t>
            </w:r>
          </w:p>
        </w:tc>
      </w:tr>
      <w:tr w:rsidR="008323D5" w:rsidRPr="008323D5" w14:paraId="066B09BD"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435FA7C9"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Income</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progresivity</w:t>
            </w:r>
            <w:proofErr w:type="spellEnd"/>
          </w:p>
        </w:tc>
        <w:tc>
          <w:tcPr>
            <w:tcW w:w="960" w:type="dxa"/>
            <w:tcBorders>
              <w:top w:val="nil"/>
              <w:left w:val="nil"/>
              <w:bottom w:val="nil"/>
              <w:right w:val="nil"/>
            </w:tcBorders>
            <w:shd w:val="clear" w:color="auto" w:fill="auto"/>
            <w:noWrap/>
            <w:vAlign w:val="bottom"/>
            <w:hideMark/>
          </w:tcPr>
          <w:p w14:paraId="47B4B3B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60652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5F16516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3EB9F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5F70D36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-0.021**</w:t>
            </w:r>
          </w:p>
        </w:tc>
      </w:tr>
      <w:tr w:rsidR="008323D5" w:rsidRPr="008323D5" w14:paraId="481E06FF"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36139AD"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3EE8D8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1B801D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0B2B0C0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0D79B64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11536A3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0.0076</w:t>
            </w:r>
          </w:p>
        </w:tc>
      </w:tr>
      <w:tr w:rsidR="008323D5" w:rsidRPr="008323D5" w14:paraId="6E896355" w14:textId="77777777" w:rsidTr="008323D5">
        <w:trPr>
          <w:divId w:val="63139023"/>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458E20BA" w14:textId="77777777" w:rsidR="008323D5" w:rsidRPr="008323D5" w:rsidRDefault="008323D5" w:rsidP="008323D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788A591B" w14:textId="77777777" w:rsidR="008323D5" w:rsidRPr="008323D5" w:rsidRDefault="008323D5" w:rsidP="008323D5">
            <w:pPr>
              <w:spacing w:before="120"/>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Bust</w:t>
            </w:r>
            <w:proofErr w:type="spellEnd"/>
          </w:p>
        </w:tc>
      </w:tr>
      <w:tr w:rsidR="008323D5" w:rsidRPr="008323D5" w14:paraId="221AC37C" w14:textId="77777777" w:rsidTr="008323D5">
        <w:trPr>
          <w:divId w:val="63139023"/>
          <w:trHeight w:val="227"/>
          <w:jc w:val="center"/>
        </w:trPr>
        <w:tc>
          <w:tcPr>
            <w:tcW w:w="2127" w:type="dxa"/>
            <w:tcBorders>
              <w:top w:val="single" w:sz="4" w:space="0" w:color="auto"/>
              <w:left w:val="nil"/>
              <w:bottom w:val="nil"/>
              <w:right w:val="nil"/>
            </w:tcBorders>
            <w:shd w:val="clear" w:color="auto" w:fill="auto"/>
            <w:noWrap/>
            <w:vAlign w:val="bottom"/>
            <w:hideMark/>
          </w:tcPr>
          <w:p w14:paraId="27B49DE7" w14:textId="77777777" w:rsidR="008323D5" w:rsidRPr="008323D5" w:rsidRDefault="008323D5" w:rsidP="008323D5">
            <w:pPr>
              <w:spacing w:before="120"/>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Education</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571A81A8"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2EECE299"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50BDD5E2"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1DC311D3"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5F8F9382"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-0.102*</w:t>
            </w:r>
          </w:p>
        </w:tc>
      </w:tr>
      <w:tr w:rsidR="008323D5" w:rsidRPr="008323D5" w14:paraId="0B4A6CD8"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77CA3D0B"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2494B666"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78263401"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6CA5F91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36526CA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131E450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0.0622</w:t>
            </w:r>
          </w:p>
        </w:tc>
      </w:tr>
      <w:tr w:rsidR="008323D5" w:rsidRPr="008323D5" w14:paraId="28389F93"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413E4B66"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lastRenderedPageBreak/>
              <w:t>In-cash</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0DDF52F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4B7F599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6F9D2A6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7B71B4B8"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542EF34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-0.031</w:t>
            </w:r>
          </w:p>
        </w:tc>
      </w:tr>
      <w:tr w:rsidR="008323D5" w:rsidRPr="008323D5" w14:paraId="4E6377E5"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1F4E92A3"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245C2E9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7F74133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2313412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34B7A3A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40EFF4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0.0407</w:t>
            </w:r>
          </w:p>
        </w:tc>
      </w:tr>
      <w:tr w:rsidR="008323D5" w:rsidRPr="008323D5" w14:paraId="2353A9DE"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8FB5BC4"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Property</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3DFC444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11D4E62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2F8D8DF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648C91A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7FBD7C3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0.0036</w:t>
            </w:r>
          </w:p>
        </w:tc>
      </w:tr>
      <w:tr w:rsidR="008323D5" w:rsidRPr="008323D5" w14:paraId="7F5B5B10"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BA87998"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694DB52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652B797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4FDF1A4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CFFE60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4028FC1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0.0036</w:t>
            </w:r>
          </w:p>
        </w:tc>
      </w:tr>
      <w:tr w:rsidR="008323D5" w:rsidRPr="008323D5" w14:paraId="1D8F214C" w14:textId="77777777" w:rsidTr="008323D5">
        <w:trPr>
          <w:divId w:val="63139023"/>
          <w:trHeight w:val="227"/>
          <w:jc w:val="center"/>
        </w:trPr>
        <w:tc>
          <w:tcPr>
            <w:tcW w:w="2127" w:type="dxa"/>
            <w:tcBorders>
              <w:top w:val="nil"/>
              <w:left w:val="nil"/>
              <w:right w:val="nil"/>
            </w:tcBorders>
            <w:shd w:val="clear" w:color="auto" w:fill="auto"/>
            <w:noWrap/>
            <w:vAlign w:val="bottom"/>
            <w:hideMark/>
          </w:tcPr>
          <w:p w14:paraId="6EC15FCF"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Income</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progresivity</w:t>
            </w:r>
            <w:proofErr w:type="spellEnd"/>
          </w:p>
        </w:tc>
        <w:tc>
          <w:tcPr>
            <w:tcW w:w="960" w:type="dxa"/>
            <w:tcBorders>
              <w:top w:val="nil"/>
              <w:left w:val="nil"/>
              <w:right w:val="nil"/>
            </w:tcBorders>
            <w:shd w:val="clear" w:color="auto" w:fill="auto"/>
            <w:noWrap/>
            <w:vAlign w:val="bottom"/>
            <w:hideMark/>
          </w:tcPr>
          <w:p w14:paraId="0B8570B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1942520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2051DB2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7F51C76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7F5C936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-0.024**</w:t>
            </w:r>
          </w:p>
        </w:tc>
      </w:tr>
      <w:tr w:rsidR="008323D5" w:rsidRPr="008323D5" w14:paraId="5B5DEFB1" w14:textId="77777777" w:rsidTr="008323D5">
        <w:trPr>
          <w:divId w:val="63139023"/>
          <w:trHeight w:val="227"/>
          <w:jc w:val="center"/>
        </w:trPr>
        <w:tc>
          <w:tcPr>
            <w:tcW w:w="2127" w:type="dxa"/>
            <w:tcBorders>
              <w:top w:val="nil"/>
              <w:left w:val="nil"/>
              <w:bottom w:val="single" w:sz="4" w:space="0" w:color="auto"/>
              <w:right w:val="nil"/>
            </w:tcBorders>
            <w:shd w:val="clear" w:color="auto" w:fill="auto"/>
            <w:noWrap/>
            <w:vAlign w:val="bottom"/>
            <w:hideMark/>
          </w:tcPr>
          <w:p w14:paraId="16FD1C7B"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073A532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6395E3E6"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0854E6B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C24C7F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6A18FAE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0.0117</w:t>
            </w: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 xml:space="preserve">change in y, country fixed effects. </w:t>
      </w:r>
      <w:r w:rsidRPr="00B23BAD">
        <w:rPr>
          <w:sz w:val="18"/>
          <w:szCs w:val="18"/>
        </w:rPr>
        <w:t>Y</w:t>
      </w:r>
      <w:r w:rsidRPr="00B23BAD">
        <w:rPr>
          <w:sz w:val="18"/>
          <w:szCs w:val="18"/>
        </w:rPr>
        <w:t>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 xml:space="preserve">model. Propensity score based on the saturated </w:t>
      </w:r>
      <w:proofErr w:type="spellStart"/>
      <w:r w:rsidRPr="00B23BAD">
        <w:rPr>
          <w:sz w:val="18"/>
          <w:szCs w:val="18"/>
        </w:rPr>
        <w:t>probit</w:t>
      </w:r>
      <w:proofErr w:type="spellEnd"/>
      <w:r w:rsidRPr="00B23BAD">
        <w:rPr>
          <w:sz w:val="18"/>
          <w:szCs w:val="18"/>
        </w:rPr>
        <w:t xml:space="preserve">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 xml:space="preserve">cyclical component </w:t>
      </w:r>
      <w:proofErr w:type="spellStart"/>
      <w:r w:rsidRPr="00B23BAD">
        <w:rPr>
          <w:sz w:val="18"/>
          <w:szCs w:val="18"/>
        </w:rPr>
        <w:t>yC</w:t>
      </w:r>
      <w:proofErr w:type="spellEnd"/>
      <w:r w:rsidRPr="00B23BAD">
        <w:rPr>
          <w:sz w:val="18"/>
          <w:szCs w:val="18"/>
        </w:rPr>
        <w:t xml:space="preserve">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6C1536EA" w14:textId="77777777" w:rsidR="006148EE" w:rsidRDefault="006148EE" w:rsidP="00DE7C05">
      <w:pPr>
        <w:pStyle w:val="BodyText"/>
        <w:spacing w:after="200" w:line="312" w:lineRule="auto"/>
        <w:ind w:right="150"/>
        <w:jc w:val="both"/>
      </w:pP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 xml:space="preserve">negative and lasts for about four years, this is the representation for all samples. Indeed, the results for the highly indebted countries show that the estimated impact is actually lower but last the same time. Conversely, the results for the transfers </w:t>
      </w:r>
      <w:r w:rsidRPr="00F617CD">
        <w:rPr>
          <w:rFonts w:ascii="LM Roman 10" w:hAnsi="LM Roman 10"/>
          <w:noProof/>
          <w:lang w:val="en-US"/>
        </w:rPr>
        <w:lastRenderedPageBreak/>
        <w:t>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7" w:name="_bookmark12"/>
      <w:bookmarkEnd w:id="17"/>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w:t>
      </w:r>
      <w:r>
        <w:lastRenderedPageBreak/>
        <w:t xml:space="preserve">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2C07C892" w14:textId="77777777" w:rsidR="006148EE" w:rsidRPr="00DE7C05" w:rsidRDefault="00720711">
      <w:pPr>
        <w:spacing w:after="360" w:line="312" w:lineRule="auto"/>
        <w:rPr>
          <w:b/>
        </w:rPr>
      </w:pPr>
      <w:r w:rsidRPr="00DE7C05">
        <w:rPr>
          <w:b/>
          <w:lang w:val="en-US"/>
        </w:rPr>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Aghion P., Caroli, E. and C. García-</w:t>
      </w:r>
      <w:proofErr w:type="spellStart"/>
      <w:r w:rsidRPr="00096373">
        <w:rPr>
          <w:sz w:val="22"/>
          <w:szCs w:val="22"/>
        </w:rPr>
        <w:t>Peñalosa</w:t>
      </w:r>
      <w:proofErr w:type="spellEnd"/>
      <w:r w:rsidRPr="00096373">
        <w:rPr>
          <w:sz w:val="22"/>
          <w:szCs w:val="22"/>
        </w:rPr>
        <w:t xml:space="preserve">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proofErr w:type="spellStart"/>
      <w:r w:rsidRPr="00096373">
        <w:rPr>
          <w:sz w:val="22"/>
          <w:szCs w:val="22"/>
        </w:rPr>
        <w:t>Agnello</w:t>
      </w:r>
      <w:proofErr w:type="spellEnd"/>
      <w:r w:rsidRPr="00096373">
        <w:rPr>
          <w:sz w:val="22"/>
          <w:szCs w:val="22"/>
        </w:rPr>
        <w:t xml:space="preserve">,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and R. </w:t>
      </w:r>
      <w:proofErr w:type="spellStart"/>
      <w:r w:rsidRPr="00096373">
        <w:rPr>
          <w:sz w:val="22"/>
          <w:szCs w:val="22"/>
        </w:rPr>
        <w:t>Perotti</w:t>
      </w:r>
      <w:proofErr w:type="spellEnd"/>
      <w:r w:rsidRPr="00096373">
        <w:rPr>
          <w:sz w:val="22"/>
          <w:szCs w:val="22"/>
        </w:rPr>
        <w:t xml:space="preserve">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S. </w:t>
      </w:r>
      <w:proofErr w:type="spellStart"/>
      <w:r w:rsidRPr="00096373">
        <w:rPr>
          <w:sz w:val="22"/>
          <w:szCs w:val="22"/>
        </w:rPr>
        <w:t>Ardagna</w:t>
      </w:r>
      <w:proofErr w:type="spellEnd"/>
      <w:r w:rsidRPr="00096373">
        <w:rPr>
          <w:sz w:val="22"/>
          <w:szCs w:val="22"/>
        </w:rPr>
        <w:t xml:space="preserve">, R. </w:t>
      </w:r>
      <w:proofErr w:type="spellStart"/>
      <w:r w:rsidRPr="00096373">
        <w:rPr>
          <w:sz w:val="22"/>
          <w:szCs w:val="22"/>
        </w:rPr>
        <w:t>Perotti</w:t>
      </w:r>
      <w:proofErr w:type="spellEnd"/>
      <w:r w:rsidRPr="00096373">
        <w:rPr>
          <w:sz w:val="22"/>
          <w:szCs w:val="22"/>
        </w:rPr>
        <w:t xml:space="preserve"> and F. </w:t>
      </w:r>
      <w:proofErr w:type="spellStart"/>
      <w:r w:rsidRPr="00096373">
        <w:rPr>
          <w:sz w:val="22"/>
          <w:szCs w:val="22"/>
        </w:rPr>
        <w:t>Schiantarelli</w:t>
      </w:r>
      <w:proofErr w:type="spellEnd"/>
      <w:r w:rsidRPr="00096373">
        <w:rPr>
          <w:sz w:val="22"/>
          <w:szCs w:val="22"/>
        </w:rPr>
        <w:t xml:space="preserve">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06C3A5C9" w:rsidR="00E31A3D" w:rsidRPr="00096373" w:rsidRDefault="00E31A3D" w:rsidP="00E31A3D">
      <w:pPr>
        <w:jc w:val="both"/>
        <w:rPr>
          <w:sz w:val="22"/>
          <w:szCs w:val="22"/>
        </w:rPr>
      </w:pPr>
      <w:proofErr w:type="spellStart"/>
      <w:r w:rsidRPr="00096373">
        <w:rPr>
          <w:sz w:val="22"/>
          <w:szCs w:val="22"/>
        </w:rPr>
        <w:t>Ardagna</w:t>
      </w:r>
      <w:proofErr w:type="spellEnd"/>
      <w:r w:rsidRPr="00096373">
        <w:rPr>
          <w:sz w:val="22"/>
          <w:szCs w:val="22"/>
        </w:rPr>
        <w:t xml:space="preserve"> S., “Financial Markets’ </w:t>
      </w:r>
      <w:proofErr w:type="spellStart"/>
      <w:r w:rsidRPr="00096373">
        <w:rPr>
          <w:sz w:val="22"/>
          <w:szCs w:val="22"/>
        </w:rPr>
        <w:t>Behavior</w:t>
      </w:r>
      <w:proofErr w:type="spellEnd"/>
      <w:r w:rsidRPr="00096373">
        <w:rPr>
          <w:sz w:val="22"/>
          <w:szCs w:val="22"/>
        </w:rPr>
        <w:t xml:space="preserve"> around Episodes of Large Changes in the Fiscal Stance” (2004), European Central Bank working paper.</w:t>
      </w:r>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w:t>
      </w:r>
      <w:proofErr w:type="spellStart"/>
      <w:r w:rsidRPr="00096373">
        <w:rPr>
          <w:sz w:val="22"/>
          <w:szCs w:val="22"/>
        </w:rPr>
        <w:t>Figari</w:t>
      </w:r>
      <w:proofErr w:type="spellEnd"/>
      <w:r w:rsidRPr="00096373">
        <w:rPr>
          <w:sz w:val="22"/>
          <w:szCs w:val="22"/>
        </w:rPr>
        <w:t xml:space="preserve">, F., </w:t>
      </w:r>
      <w:proofErr w:type="spellStart"/>
      <w:r w:rsidRPr="00096373">
        <w:rPr>
          <w:sz w:val="22"/>
          <w:szCs w:val="22"/>
        </w:rPr>
        <w:t>Leventi</w:t>
      </w:r>
      <w:proofErr w:type="spellEnd"/>
      <w:r w:rsidRPr="00096373">
        <w:rPr>
          <w:sz w:val="22"/>
          <w:szCs w:val="22"/>
        </w:rPr>
        <w:t xml:space="preserve">, C., Levy, H., </w:t>
      </w:r>
      <w:proofErr w:type="spellStart"/>
      <w:r w:rsidRPr="00096373">
        <w:rPr>
          <w:sz w:val="22"/>
          <w:szCs w:val="22"/>
        </w:rPr>
        <w:t>Navicke</w:t>
      </w:r>
      <w:proofErr w:type="spellEnd"/>
      <w:r w:rsidRPr="00096373">
        <w:rPr>
          <w:sz w:val="22"/>
          <w:szCs w:val="22"/>
        </w:rPr>
        <w:t xml:space="preserve">, J., and </w:t>
      </w:r>
      <w:proofErr w:type="spellStart"/>
      <w:r w:rsidRPr="00096373">
        <w:rPr>
          <w:sz w:val="22"/>
          <w:szCs w:val="22"/>
        </w:rPr>
        <w:t>Matsaganis</w:t>
      </w:r>
      <w:proofErr w:type="spellEnd"/>
      <w:r w:rsidRPr="00096373">
        <w:rPr>
          <w:sz w:val="22"/>
          <w:szCs w:val="22"/>
        </w:rPr>
        <w:t xml:space="preserve">, M. </w:t>
      </w:r>
      <w:proofErr w:type="spellStart"/>
      <w:r w:rsidRPr="00096373">
        <w:rPr>
          <w:sz w:val="22"/>
          <w:szCs w:val="22"/>
        </w:rPr>
        <w:t>Militaru</w:t>
      </w:r>
      <w:proofErr w:type="spellEnd"/>
      <w:r w:rsidRPr="00096373">
        <w:rPr>
          <w:sz w:val="22"/>
          <w:szCs w:val="22"/>
        </w:rPr>
        <w:t xml:space="preserve"> E., Paulus A., </w:t>
      </w:r>
      <w:proofErr w:type="spellStart"/>
      <w:r w:rsidRPr="00096373">
        <w:rPr>
          <w:sz w:val="22"/>
          <w:szCs w:val="22"/>
        </w:rPr>
        <w:t>Rastrigina</w:t>
      </w:r>
      <w:proofErr w:type="spellEnd"/>
      <w:r w:rsidRPr="00096373">
        <w:rPr>
          <w:sz w:val="22"/>
          <w:szCs w:val="22"/>
        </w:rPr>
        <w:t xml:space="preserve">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lastRenderedPageBreak/>
        <w:t xml:space="preserve">Barbieri, P. and G. </w:t>
      </w:r>
      <w:proofErr w:type="spellStart"/>
      <w:r w:rsidRPr="00096373">
        <w:rPr>
          <w:sz w:val="22"/>
          <w:szCs w:val="22"/>
          <w:shd w:val="clear" w:color="auto" w:fill="FFFFFF"/>
          <w:lang w:val="en-US"/>
        </w:rPr>
        <w:t>Cutuli</w:t>
      </w:r>
      <w:proofErr w:type="spellEnd"/>
      <w:r w:rsidRPr="00096373">
        <w:rPr>
          <w:sz w:val="22"/>
          <w:szCs w:val="22"/>
          <w:shd w:val="clear" w:color="auto" w:fill="FFFFFF"/>
          <w:lang w:val="en-US"/>
        </w:rPr>
        <w:t xml:space="preserve"> (2016), “Employment Protection Legislation, </w:t>
      </w:r>
      <w:proofErr w:type="spellStart"/>
      <w:r w:rsidRPr="00096373">
        <w:rPr>
          <w:sz w:val="22"/>
          <w:szCs w:val="22"/>
          <w:shd w:val="clear" w:color="auto" w:fill="FFFFFF"/>
          <w:lang w:val="en-US"/>
        </w:rPr>
        <w:t>Labour</w:t>
      </w:r>
      <w:proofErr w:type="spellEnd"/>
      <w:r w:rsidRPr="00096373">
        <w:rPr>
          <w:sz w:val="22"/>
          <w:szCs w:val="22"/>
          <w:shd w:val="clear" w:color="auto" w:fill="FFFFFF"/>
          <w:lang w:val="en-US"/>
        </w:rPr>
        <w:t xml:space="preserve"> Market Dualism, and Inequality in Europe”, </w:t>
      </w:r>
      <w:r w:rsidRPr="00096373">
        <w:rPr>
          <w:rStyle w:val="Emphasis"/>
          <w:sz w:val="22"/>
          <w:szCs w:val="22"/>
          <w:shd w:val="clear" w:color="auto" w:fill="FFFFFF"/>
          <w:lang w:val="en-US"/>
        </w:rPr>
        <w:t>European Sociological Review</w:t>
      </w:r>
      <w:r w:rsidRPr="00096373">
        <w:rPr>
          <w:sz w:val="22"/>
          <w:szCs w:val="22"/>
          <w:shd w:val="clear" w:color="auto" w:fill="FFFFFF"/>
          <w:lang w:val="en-US"/>
        </w:rPr>
        <w:t xml:space="preserve"> 32(4), pp. 501-516, doi.org/10.1093/</w:t>
      </w:r>
      <w:proofErr w:type="spellStart"/>
      <w:r w:rsidRPr="00096373">
        <w:rPr>
          <w:sz w:val="22"/>
          <w:szCs w:val="22"/>
          <w:shd w:val="clear" w:color="auto" w:fill="FFFFFF"/>
          <w:lang w:val="en-US"/>
        </w:rPr>
        <w:t>esr</w:t>
      </w:r>
      <w:proofErr w:type="spellEnd"/>
      <w:r w:rsidRPr="00096373">
        <w:rPr>
          <w:sz w:val="22"/>
          <w:szCs w:val="22"/>
          <w:shd w:val="clear" w:color="auto" w:fill="FFFFFF"/>
          <w:lang w:val="en-US"/>
        </w:rPr>
        <w:t>/jcv058.</w:t>
      </w:r>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w:t>
      </w:r>
      <w:proofErr w:type="spellStart"/>
      <w:r w:rsidRPr="00096373">
        <w:rPr>
          <w:sz w:val="22"/>
          <w:szCs w:val="22"/>
          <w:shd w:val="clear" w:color="auto" w:fill="FFFFFF"/>
          <w:lang w:val="en-US"/>
        </w:rPr>
        <w:t>Dooerley</w:t>
      </w:r>
      <w:proofErr w:type="spellEnd"/>
      <w:r w:rsidRPr="00096373">
        <w:rPr>
          <w:sz w:val="22"/>
          <w:szCs w:val="22"/>
          <w:shd w:val="clear" w:color="auto" w:fill="FFFFFF"/>
          <w:lang w:val="en-US"/>
        </w:rPr>
        <w:t xml:space="preserve">,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proofErr w:type="spellStart"/>
      <w:r w:rsidRPr="00096373">
        <w:rPr>
          <w:sz w:val="22"/>
          <w:szCs w:val="22"/>
        </w:rPr>
        <w:t>Bénabou</w:t>
      </w:r>
      <w:proofErr w:type="spellEnd"/>
      <w:r w:rsidRPr="00096373">
        <w:rPr>
          <w:sz w:val="22"/>
          <w:szCs w:val="22"/>
        </w:rPr>
        <w:t xml:space="preserve">,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77777777" w:rsidR="006148EE" w:rsidRPr="00096373" w:rsidRDefault="00720711">
      <w:pPr>
        <w:jc w:val="both"/>
        <w:rPr>
          <w:sz w:val="22"/>
          <w:szCs w:val="22"/>
        </w:rPr>
      </w:pPr>
      <w:r w:rsidRPr="00096373">
        <w:rPr>
          <w:sz w:val="22"/>
          <w:szCs w:val="22"/>
        </w:rPr>
        <w:t xml:space="preserve">Birdsall, N., Ross, D. and R. Sabot (1995), "Inequality and Growth Reconsidered", </w:t>
      </w:r>
      <w:r w:rsidRPr="00096373">
        <w:rPr>
          <w:i/>
          <w:sz w:val="22"/>
          <w:szCs w:val="22"/>
        </w:rPr>
        <w:t>World Bank Economic Review</w:t>
      </w:r>
      <w:r w:rsidRPr="00096373">
        <w:rPr>
          <w:sz w:val="22"/>
          <w:szCs w:val="22"/>
        </w:rPr>
        <w:t>, 9, pp. 477-508.</w:t>
      </w:r>
    </w:p>
    <w:p w14:paraId="11E067E7" w14:textId="77777777" w:rsidR="006148EE" w:rsidRPr="00096373" w:rsidRDefault="00720711">
      <w:pPr>
        <w:jc w:val="both"/>
        <w:rPr>
          <w:sz w:val="22"/>
          <w:szCs w:val="22"/>
        </w:rPr>
      </w:pPr>
      <w:r w:rsidRPr="00096373">
        <w:rPr>
          <w:sz w:val="22"/>
          <w:szCs w:val="22"/>
        </w:rPr>
        <w:t xml:space="preserve"> </w:t>
      </w:r>
    </w:p>
    <w:p w14:paraId="68FED5DE" w14:textId="77777777" w:rsidR="006148EE" w:rsidRPr="00096373" w:rsidRDefault="00720711">
      <w:pPr>
        <w:jc w:val="both"/>
        <w:rPr>
          <w:sz w:val="22"/>
          <w:szCs w:val="22"/>
        </w:rPr>
      </w:pPr>
      <w:r w:rsidRPr="00096373">
        <w:rPr>
          <w:sz w:val="22"/>
          <w:szCs w:val="22"/>
        </w:rPr>
        <w:t xml:space="preserve">Calderon, C. and L. Lin (2003), “The direction of causality between financial development and economic growth”, </w:t>
      </w:r>
      <w:r w:rsidRPr="00096373">
        <w:rPr>
          <w:i/>
          <w:sz w:val="22"/>
          <w:szCs w:val="22"/>
        </w:rPr>
        <w:t>Journal of Development Economics</w:t>
      </w:r>
      <w:r w:rsidRPr="00096373">
        <w:rPr>
          <w:sz w:val="22"/>
          <w:szCs w:val="22"/>
        </w:rPr>
        <w:t>, 72 (1), pp. 321-334.</w:t>
      </w:r>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 xml:space="preserve">Callan T., C. </w:t>
      </w:r>
      <w:proofErr w:type="spellStart"/>
      <w:r w:rsidRPr="00096373">
        <w:rPr>
          <w:sz w:val="22"/>
          <w:szCs w:val="22"/>
        </w:rPr>
        <w:t>Leventi</w:t>
      </w:r>
      <w:proofErr w:type="spellEnd"/>
      <w:r w:rsidRPr="00096373">
        <w:rPr>
          <w:sz w:val="22"/>
          <w:szCs w:val="22"/>
        </w:rPr>
        <w:t xml:space="preserve">, H. Levy, M. </w:t>
      </w:r>
      <w:proofErr w:type="spellStart"/>
      <w:r w:rsidRPr="00096373">
        <w:rPr>
          <w:sz w:val="22"/>
          <w:szCs w:val="22"/>
        </w:rPr>
        <w:t>Matsaganis</w:t>
      </w:r>
      <w:proofErr w:type="spellEnd"/>
      <w:r w:rsidRPr="00096373">
        <w:rPr>
          <w:sz w:val="22"/>
          <w:szCs w:val="22"/>
        </w:rP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w:t>
      </w:r>
      <w:proofErr w:type="spellStart"/>
      <w:r w:rsidRPr="00096373">
        <w:rPr>
          <w:sz w:val="22"/>
          <w:szCs w:val="22"/>
        </w:rPr>
        <w:t>Serres</w:t>
      </w:r>
      <w:proofErr w:type="spellEnd"/>
      <w:r w:rsidRPr="00096373">
        <w:rPr>
          <w:sz w:val="22"/>
          <w:szCs w:val="22"/>
        </w:rPr>
        <w:t xml:space="preserve">,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proofErr w:type="spellStart"/>
      <w:r w:rsidRPr="00096373">
        <w:rPr>
          <w:sz w:val="22"/>
          <w:szCs w:val="22"/>
        </w:rPr>
        <w:t>Cingano</w:t>
      </w:r>
      <w:proofErr w:type="spellEnd"/>
      <w:r w:rsidRPr="00096373">
        <w:rPr>
          <w:sz w:val="22"/>
          <w:szCs w:val="22"/>
        </w:rPr>
        <w:t xml:space="preserve">,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Dabla</w:t>
      </w:r>
      <w:proofErr w:type="spellEnd"/>
      <w:r w:rsidRPr="00096373">
        <w:rPr>
          <w:sz w:val="22"/>
          <w:szCs w:val="22"/>
        </w:rPr>
        <w:t xml:space="preserve">-Norris, E., Yan Ji, R. T. and D.F. </w:t>
      </w:r>
      <w:proofErr w:type="spellStart"/>
      <w:r w:rsidRPr="00096373">
        <w:rPr>
          <w:sz w:val="22"/>
          <w:szCs w:val="22"/>
        </w:rPr>
        <w:t>Unsal</w:t>
      </w:r>
      <w:proofErr w:type="spellEnd"/>
      <w:r w:rsidRPr="00096373">
        <w:rPr>
          <w:sz w:val="22"/>
          <w:szCs w:val="22"/>
        </w:rPr>
        <w:t xml:space="preserve">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proofErr w:type="spellStart"/>
      <w:r w:rsidRPr="00096373">
        <w:rPr>
          <w:sz w:val="22"/>
          <w:szCs w:val="22"/>
        </w:rPr>
        <w:t>Doerrenberg</w:t>
      </w:r>
      <w:proofErr w:type="spellEnd"/>
      <w:r w:rsidRPr="00096373">
        <w:rPr>
          <w:sz w:val="22"/>
          <w:szCs w:val="22"/>
        </w:rPr>
        <w:t xml:space="preserve">, P. and A. </w:t>
      </w:r>
      <w:proofErr w:type="spellStart"/>
      <w:r w:rsidRPr="00096373">
        <w:rPr>
          <w:sz w:val="22"/>
          <w:szCs w:val="22"/>
        </w:rPr>
        <w:t>Peichl</w:t>
      </w:r>
      <w:proofErr w:type="spellEnd"/>
      <w:r w:rsidRPr="00096373">
        <w:rPr>
          <w:sz w:val="22"/>
          <w:szCs w:val="22"/>
        </w:rPr>
        <w:t xml:space="preserve">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77777777" w:rsidR="006148EE" w:rsidRPr="00096373" w:rsidRDefault="00720711">
      <w:pPr>
        <w:jc w:val="both"/>
        <w:rPr>
          <w:sz w:val="22"/>
          <w:szCs w:val="22"/>
        </w:rPr>
      </w:pPr>
      <w:r w:rsidRPr="00096373">
        <w:rPr>
          <w:sz w:val="22"/>
          <w:szCs w:val="22"/>
        </w:rPr>
        <w:t xml:space="preserve">Easterly, W. (2007), "Inequality does cause underdevelopment: Insights from a new instrument", </w:t>
      </w:r>
      <w:r w:rsidRPr="00096373">
        <w:rPr>
          <w:i/>
          <w:sz w:val="22"/>
          <w:szCs w:val="22"/>
        </w:rPr>
        <w:t>Journal of Development Economics</w:t>
      </w:r>
      <w:r w:rsidRPr="00096373">
        <w:rPr>
          <w:sz w:val="22"/>
          <w:szCs w:val="22"/>
        </w:rPr>
        <w:t>, 84(2), pp. 755- 776.</w:t>
      </w:r>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ECB (2019), “Social spending: a euro area cross-country comparison”, </w:t>
      </w:r>
      <w:r w:rsidRPr="0006603D">
        <w:rPr>
          <w:sz w:val="22"/>
          <w:szCs w:val="22"/>
          <w:highlight w:val="yellow"/>
        </w:rPr>
        <w:t>forthcoming.</w:t>
      </w:r>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European System of Accounts (ESA 2010), Eurostat.</w:t>
      </w:r>
    </w:p>
    <w:p w14:paraId="5BE162B1" w14:textId="77777777" w:rsidR="006148EE" w:rsidRPr="00096373" w:rsidRDefault="006148EE">
      <w:pPr>
        <w:jc w:val="both"/>
        <w:rPr>
          <w:sz w:val="22"/>
          <w:szCs w:val="22"/>
        </w:rPr>
      </w:pPr>
    </w:p>
    <w:p w14:paraId="709412B7" w14:textId="77777777" w:rsidR="006148EE" w:rsidRPr="00096373" w:rsidRDefault="00720711">
      <w:pPr>
        <w:jc w:val="both"/>
        <w:rPr>
          <w:sz w:val="22"/>
          <w:szCs w:val="22"/>
        </w:rPr>
      </w:pPr>
      <w:r w:rsidRPr="00096373">
        <w:rPr>
          <w:sz w:val="22"/>
          <w:szCs w:val="22"/>
        </w:rPr>
        <w:t>Evans, P. (1998), “Using Panel Data to Evaluate Growth Theories”, International Economic Review, pp. 295-306.</w:t>
      </w:r>
    </w:p>
    <w:p w14:paraId="7B9EF555" w14:textId="77777777" w:rsidR="006148EE" w:rsidRPr="00096373" w:rsidRDefault="006148EE">
      <w:pPr>
        <w:jc w:val="both"/>
        <w:rPr>
          <w:sz w:val="22"/>
          <w:szCs w:val="22"/>
        </w:rPr>
      </w:pPr>
    </w:p>
    <w:p w14:paraId="1C36ABA7" w14:textId="77777777" w:rsidR="006148EE" w:rsidRPr="00096373" w:rsidRDefault="007F0C7F">
      <w:pPr>
        <w:jc w:val="both"/>
        <w:outlineLvl w:val="1"/>
        <w:rPr>
          <w:rFonts w:ascii="MuseoSlab-300" w:hAnsi="MuseoSlab-300"/>
          <w:noProof/>
          <w:sz w:val="22"/>
          <w:szCs w:val="22"/>
        </w:rPr>
      </w:pPr>
      <w:hyperlink r:id="rId18" w:history="1">
        <w:r w:rsidR="00720711" w:rsidRPr="00096373">
          <w:rPr>
            <w:rFonts w:ascii="MuseoSans-300" w:hAnsi="MuseoSans-300"/>
            <w:noProof/>
            <w:sz w:val="22"/>
            <w:szCs w:val="22"/>
          </w:rPr>
          <w:t>Furceri</w:t>
        </w:r>
      </w:hyperlink>
      <w:r w:rsidR="00720711" w:rsidRPr="00096373">
        <w:rPr>
          <w:rFonts w:ascii="MuseoSans-300" w:hAnsi="MuseoSans-300"/>
          <w:noProof/>
          <w:sz w:val="22"/>
          <w:szCs w:val="22"/>
        </w:rPr>
        <w:t xml:space="preserve">, D., G. </w:t>
      </w:r>
      <w:hyperlink r:id="rId19" w:history="1">
        <w:r w:rsidR="00720711" w:rsidRPr="00096373">
          <w:rPr>
            <w:rFonts w:ascii="MuseoSans-300" w:hAnsi="MuseoSans-300"/>
            <w:noProof/>
            <w:sz w:val="22"/>
            <w:szCs w:val="22"/>
          </w:rPr>
          <w:t xml:space="preserve">Jun, </w:t>
        </w:r>
      </w:hyperlink>
      <w:hyperlink r:id="rId20" w:history="1">
        <w:r w:rsidR="00720711" w:rsidRPr="00096373">
          <w:rPr>
            <w:rFonts w:ascii="MuseoSans-300" w:hAnsi="MuseoSans-300"/>
            <w:noProof/>
            <w:sz w:val="22"/>
            <w:szCs w:val="22"/>
          </w:rPr>
          <w:t>Loungani</w:t>
        </w:r>
      </w:hyperlink>
      <w:r w:rsidR="00720711" w:rsidRPr="00096373">
        <w:rPr>
          <w:rFonts w:ascii="MuseoSans-300" w:hAnsi="MuseoSans-300"/>
          <w:noProof/>
          <w:sz w:val="22"/>
          <w:szCs w:val="22"/>
        </w:rPr>
        <w:t>,</w:t>
      </w:r>
      <w:r w:rsidR="00720711" w:rsidRPr="00096373">
        <w:rPr>
          <w:noProof/>
          <w:sz w:val="22"/>
          <w:szCs w:val="22"/>
        </w:rPr>
        <w:t xml:space="preserve"> </w:t>
      </w:r>
      <w:r w:rsidR="00720711" w:rsidRPr="00096373">
        <w:rPr>
          <w:rFonts w:ascii="MuseoSans-300" w:hAnsi="MuseoSans-300"/>
          <w:noProof/>
          <w:sz w:val="22"/>
          <w:szCs w:val="22"/>
        </w:rPr>
        <w:t xml:space="preserve">P. and </w:t>
      </w:r>
      <w:hyperlink r:id="rId21" w:history="1">
        <w:r w:rsidR="00720711" w:rsidRPr="00096373">
          <w:rPr>
            <w:rFonts w:ascii="MuseoSans-300" w:hAnsi="MuseoSans-300"/>
            <w:noProof/>
            <w:sz w:val="22"/>
            <w:szCs w:val="22"/>
          </w:rPr>
          <w:t>G Melina</w:t>
        </w:r>
      </w:hyperlink>
      <w:r w:rsidR="00720711" w:rsidRPr="00096373">
        <w:rPr>
          <w:rFonts w:ascii="MuseoSans-300" w:hAnsi="MuseoSans-300"/>
          <w:noProof/>
          <w:sz w:val="22"/>
          <w:szCs w:val="22"/>
        </w:rPr>
        <w:t xml:space="preserve"> (2018), “</w:t>
      </w:r>
      <w:r w:rsidR="00720711" w:rsidRPr="00096373">
        <w:rPr>
          <w:rFonts w:ascii="MuseoSlab-300" w:hAnsi="MuseoSlab-300"/>
          <w:noProof/>
          <w:sz w:val="22"/>
          <w:szCs w:val="22"/>
        </w:rPr>
        <w:t xml:space="preserve">The Distributional Effects of Government Spending Shocks in Developing Economies”, </w:t>
      </w:r>
      <w:r w:rsidR="00720711" w:rsidRPr="00096373">
        <w:rPr>
          <w:rFonts w:ascii="MuseoSlab-300" w:hAnsi="MuseoSlab-300"/>
          <w:i/>
          <w:noProof/>
          <w:sz w:val="22"/>
          <w:szCs w:val="22"/>
        </w:rPr>
        <w:t>IMF Working Papers</w:t>
      </w:r>
      <w:r w:rsidR="00720711" w:rsidRPr="00096373">
        <w:rPr>
          <w:rFonts w:ascii="MuseoSlab-300" w:hAnsi="MuseoSlab-300"/>
          <w:noProof/>
          <w:sz w:val="22"/>
          <w:szCs w:val="22"/>
        </w:rPr>
        <w:t xml:space="preserve">, </w:t>
      </w:r>
      <w:r w:rsidR="00720711" w:rsidRPr="00096373">
        <w:rPr>
          <w:rFonts w:ascii="MuseoSans-300" w:hAnsi="MuseoSans-300"/>
          <w:noProof/>
          <w:sz w:val="22"/>
          <w:szCs w:val="22"/>
        </w:rPr>
        <w:t>18/57.</w:t>
      </w:r>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proofErr w:type="spellStart"/>
      <w:r w:rsidRPr="00096373">
        <w:rPr>
          <w:sz w:val="22"/>
          <w:szCs w:val="22"/>
        </w:rPr>
        <w:lastRenderedPageBreak/>
        <w:t>Galor</w:t>
      </w:r>
      <w:proofErr w:type="spellEnd"/>
      <w:r w:rsidRPr="00096373">
        <w:rPr>
          <w:sz w:val="22"/>
          <w:szCs w:val="22"/>
        </w:rPr>
        <w:t xml:space="preserve">, O. and O. </w:t>
      </w:r>
      <w:proofErr w:type="spellStart"/>
      <w:r w:rsidRPr="00096373">
        <w:rPr>
          <w:sz w:val="22"/>
          <w:szCs w:val="22"/>
        </w:rPr>
        <w:t>Moav</w:t>
      </w:r>
      <w:proofErr w:type="spellEnd"/>
      <w:r w:rsidRPr="00096373">
        <w:rPr>
          <w:sz w:val="22"/>
          <w:szCs w:val="22"/>
        </w:rPr>
        <w:t xml:space="preserve">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7777777" w:rsidR="006148EE" w:rsidRPr="00096373" w:rsidRDefault="00720711">
      <w:pPr>
        <w:jc w:val="both"/>
        <w:rPr>
          <w:sz w:val="22"/>
          <w:szCs w:val="22"/>
        </w:rPr>
      </w:pPr>
      <w:proofErr w:type="spellStart"/>
      <w:r w:rsidRPr="00096373">
        <w:rPr>
          <w:sz w:val="22"/>
          <w:szCs w:val="22"/>
        </w:rPr>
        <w:t>Góes</w:t>
      </w:r>
      <w:proofErr w:type="spellEnd"/>
      <w:r w:rsidRPr="00096373">
        <w:rPr>
          <w:sz w:val="22"/>
          <w:szCs w:val="22"/>
        </w:rPr>
        <w:t xml:space="preserve">, C. (2016). “Testing Piketty's Hypothesis on the Drivers of Income Inequality: Evidence from Panel VARs with Heterogeneous Dynamics”, </w:t>
      </w:r>
      <w:r w:rsidRPr="00096373">
        <w:rPr>
          <w:i/>
          <w:sz w:val="22"/>
          <w:szCs w:val="22"/>
        </w:rPr>
        <w:t>IMF Working Paper,</w:t>
      </w:r>
      <w:r w:rsidRPr="00096373">
        <w:rPr>
          <w:sz w:val="22"/>
          <w:szCs w:val="22"/>
        </w:rPr>
        <w:t xml:space="preserve"> 16/160.</w:t>
      </w:r>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proofErr w:type="spellStart"/>
      <w:r w:rsidRPr="00096373">
        <w:rPr>
          <w:sz w:val="22"/>
          <w:szCs w:val="22"/>
        </w:rPr>
        <w:t>Immervoll</w:t>
      </w:r>
      <w:proofErr w:type="spellEnd"/>
      <w:r w:rsidRPr="00096373">
        <w:rPr>
          <w:sz w:val="22"/>
          <w:szCs w:val="22"/>
        </w:rPr>
        <w:t xml:space="preserve">,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Imrohoroglu</w:t>
      </w:r>
      <w:proofErr w:type="spellEnd"/>
      <w:r w:rsidRPr="00096373">
        <w:rPr>
          <w:sz w:val="22"/>
          <w:szCs w:val="22"/>
        </w:rPr>
        <w:t xml:space="preserve">, A., S. </w:t>
      </w:r>
      <w:proofErr w:type="spellStart"/>
      <w:r w:rsidRPr="00096373">
        <w:rPr>
          <w:sz w:val="22"/>
          <w:szCs w:val="22"/>
        </w:rPr>
        <w:t>Imrohoroglu</w:t>
      </w:r>
      <w:proofErr w:type="spellEnd"/>
      <w:r w:rsidRPr="00096373">
        <w:rPr>
          <w:sz w:val="22"/>
          <w:szCs w:val="22"/>
        </w:rPr>
        <w:t xml:space="preserve"> and D. </w:t>
      </w:r>
      <w:proofErr w:type="spellStart"/>
      <w:r w:rsidRPr="00096373">
        <w:rPr>
          <w:sz w:val="22"/>
          <w:szCs w:val="22"/>
        </w:rPr>
        <w:t>Joines</w:t>
      </w:r>
      <w:proofErr w:type="spellEnd"/>
      <w:r w:rsidRPr="00096373">
        <w:rPr>
          <w:sz w:val="22"/>
          <w:szCs w:val="22"/>
        </w:rPr>
        <w:t xml:space="preserve"> (1995), "A Life Cycle Analysis of Social Security", </w:t>
      </w:r>
      <w:r w:rsidRPr="00096373">
        <w:rPr>
          <w:i/>
          <w:sz w:val="22"/>
          <w:szCs w:val="22"/>
        </w:rPr>
        <w:t>Economic Theory</w:t>
      </w:r>
      <w:r w:rsidRPr="00096373">
        <w:rPr>
          <w:sz w:val="22"/>
          <w:szCs w:val="22"/>
        </w:rPr>
        <w:t>, 6, pp. 83-114.</w:t>
      </w:r>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Köhler-</w:t>
      </w:r>
      <w:proofErr w:type="spellStart"/>
      <w:r w:rsidRPr="00096373">
        <w:rPr>
          <w:rFonts w:eastAsia="SimSun"/>
          <w:sz w:val="22"/>
          <w:szCs w:val="22"/>
          <w:lang w:val="en-US" w:eastAsia="es-ES"/>
        </w:rPr>
        <w:t>Ulbrich</w:t>
      </w:r>
      <w:proofErr w:type="spellEnd"/>
      <w:r w:rsidRPr="00096373">
        <w:rPr>
          <w:rFonts w:eastAsia="SimSun"/>
          <w:sz w:val="22"/>
          <w:szCs w:val="22"/>
          <w:lang w:val="en-US" w:eastAsia="es-ES"/>
        </w:rPr>
        <w:t xml:space="preserve">, P., </w:t>
      </w:r>
      <w:proofErr w:type="spellStart"/>
      <w:r w:rsidRPr="00096373">
        <w:rPr>
          <w:rFonts w:eastAsia="SimSun"/>
          <w:sz w:val="22"/>
          <w:szCs w:val="22"/>
          <w:lang w:val="en-US" w:eastAsia="es-ES"/>
        </w:rPr>
        <w:t>Asimakopoulos</w:t>
      </w:r>
      <w:proofErr w:type="spellEnd"/>
      <w:r w:rsidRPr="00096373">
        <w:rPr>
          <w:rFonts w:eastAsia="SimSun"/>
          <w:sz w:val="22"/>
          <w:szCs w:val="22"/>
          <w:lang w:val="en-US" w:eastAsia="es-ES"/>
        </w:rPr>
        <w:t xml:space="preserve">, Y., Doyle, N., </w:t>
      </w:r>
      <w:proofErr w:type="spellStart"/>
      <w:r w:rsidRPr="00096373">
        <w:rPr>
          <w:rFonts w:eastAsia="SimSun"/>
          <w:sz w:val="22"/>
          <w:szCs w:val="22"/>
          <w:lang w:val="en-US" w:eastAsia="es-ES"/>
        </w:rPr>
        <w:t>Magono</w:t>
      </w:r>
      <w:proofErr w:type="spellEnd"/>
      <w:r w:rsidRPr="00096373">
        <w:rPr>
          <w:rFonts w:eastAsia="SimSun"/>
          <w:sz w:val="22"/>
          <w:szCs w:val="22"/>
          <w:lang w:val="en-US" w:eastAsia="es-ES"/>
        </w:rPr>
        <w:t xml:space="preserve">, R., Zachary, M., </w:t>
      </w:r>
      <w:proofErr w:type="spellStart"/>
      <w:r w:rsidRPr="00096373">
        <w:rPr>
          <w:rFonts w:eastAsia="SimSun"/>
          <w:sz w:val="22"/>
          <w:szCs w:val="22"/>
          <w:lang w:val="en-US" w:eastAsia="es-ES"/>
        </w:rPr>
        <w:t>Walko</w:t>
      </w:r>
      <w:proofErr w:type="spellEnd"/>
      <w:r w:rsidRPr="00096373">
        <w:rPr>
          <w:rFonts w:eastAsia="SimSun"/>
          <w:sz w:val="22"/>
          <w:szCs w:val="22"/>
          <w:lang w:val="en-US" w:eastAsia="es-ES"/>
        </w:rPr>
        <w:t xml:space="preserve">, Z., </w:t>
      </w:r>
      <w:proofErr w:type="spellStart"/>
      <w:r w:rsidRPr="00096373">
        <w:rPr>
          <w:rFonts w:eastAsia="SimSun"/>
          <w:sz w:val="22"/>
          <w:szCs w:val="22"/>
          <w:lang w:val="en-US" w:eastAsia="es-ES"/>
        </w:rPr>
        <w:t>Stoess</w:t>
      </w:r>
      <w:proofErr w:type="spellEnd"/>
      <w:r w:rsidRPr="00096373">
        <w:rPr>
          <w:rFonts w:eastAsia="SimSun"/>
          <w:sz w:val="22"/>
          <w:szCs w:val="22"/>
          <w:lang w:val="en-US" w:eastAsia="es-ES"/>
        </w:rPr>
        <w:t xml:space="preserve">, E., </w:t>
      </w:r>
      <w:proofErr w:type="spellStart"/>
      <w:r w:rsidRPr="00096373">
        <w:rPr>
          <w:rFonts w:eastAsia="SimSun"/>
          <w:sz w:val="22"/>
          <w:szCs w:val="22"/>
          <w:lang w:val="en-US" w:eastAsia="es-ES"/>
        </w:rPr>
        <w:t>Kok</w:t>
      </w:r>
      <w:proofErr w:type="spellEnd"/>
      <w:r w:rsidRPr="00096373">
        <w:rPr>
          <w:rFonts w:eastAsia="SimSun"/>
          <w:sz w:val="22"/>
          <w:szCs w:val="22"/>
          <w:lang w:val="en-US" w:eastAsia="es-ES"/>
        </w:rPr>
        <w:t xml:space="preserve">, Ch., Wagner, K., </w:t>
      </w:r>
      <w:proofErr w:type="spellStart"/>
      <w:r w:rsidRPr="00096373">
        <w:rPr>
          <w:rFonts w:eastAsia="SimSun"/>
          <w:sz w:val="22"/>
          <w:szCs w:val="22"/>
          <w:lang w:val="en-US" w:eastAsia="es-ES"/>
        </w:rPr>
        <w:t>Valckx</w:t>
      </w:r>
      <w:proofErr w:type="spellEnd"/>
      <w:r w:rsidRPr="00096373">
        <w:rPr>
          <w:rFonts w:eastAsia="SimSun"/>
          <w:sz w:val="22"/>
          <w:szCs w:val="22"/>
          <w:lang w:val="en-US" w:eastAsia="es-ES"/>
        </w:rPr>
        <w:t xml:space="preserve">, N., and Martínez </w:t>
      </w:r>
      <w:proofErr w:type="spellStart"/>
      <w:r w:rsidRPr="00096373">
        <w:rPr>
          <w:rFonts w:eastAsia="SimSun"/>
          <w:sz w:val="22"/>
          <w:szCs w:val="22"/>
          <w:lang w:val="en-US" w:eastAsia="es-ES"/>
        </w:rPr>
        <w:t>Pagés</w:t>
      </w:r>
      <w:proofErr w:type="spellEnd"/>
      <w:r w:rsidRPr="00096373">
        <w:rPr>
          <w:rFonts w:eastAsia="SimSun"/>
          <w:sz w:val="22"/>
          <w:szCs w:val="22"/>
          <w:lang w:val="en-US" w:eastAsia="es-ES"/>
        </w:rPr>
        <w:t xml:space="preserve">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proofErr w:type="spellStart"/>
      <w:r w:rsidRPr="00096373">
        <w:rPr>
          <w:sz w:val="22"/>
          <w:szCs w:val="22"/>
        </w:rPr>
        <w:t>Kumhof</w:t>
      </w:r>
      <w:proofErr w:type="spellEnd"/>
      <w:r w:rsidRPr="00096373">
        <w:rPr>
          <w:sz w:val="22"/>
          <w:szCs w:val="22"/>
        </w:rPr>
        <w:t xml:space="preserve">, M. and R. </w:t>
      </w:r>
      <w:proofErr w:type="spellStart"/>
      <w:r w:rsidRPr="00096373">
        <w:rPr>
          <w:sz w:val="22"/>
          <w:szCs w:val="22"/>
        </w:rPr>
        <w:t>Rancière</w:t>
      </w:r>
      <w:proofErr w:type="spellEnd"/>
      <w:r w:rsidRPr="00096373">
        <w:rPr>
          <w:sz w:val="22"/>
          <w:szCs w:val="22"/>
        </w:rPr>
        <w:t xml:space="preserv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77777777" w:rsidR="006148EE" w:rsidRPr="00096373" w:rsidRDefault="00720711">
      <w:pPr>
        <w:jc w:val="both"/>
        <w:rPr>
          <w:sz w:val="22"/>
          <w:szCs w:val="22"/>
        </w:rPr>
      </w:pPr>
      <w:proofErr w:type="spellStart"/>
      <w:r w:rsidRPr="00096373">
        <w:rPr>
          <w:sz w:val="22"/>
          <w:szCs w:val="22"/>
        </w:rPr>
        <w:t>Lequiller</w:t>
      </w:r>
      <w:proofErr w:type="spellEnd"/>
      <w:r w:rsidRPr="00096373">
        <w:rPr>
          <w:sz w:val="22"/>
          <w:szCs w:val="22"/>
        </w:rPr>
        <w:t>, F. and D. Blades (2014), "Understanding National Accounts", OECD.</w:t>
      </w:r>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77777777" w:rsidR="006148EE" w:rsidRPr="00096373" w:rsidRDefault="00720711">
      <w:pPr>
        <w:jc w:val="both"/>
        <w:rPr>
          <w:sz w:val="22"/>
          <w:szCs w:val="22"/>
        </w:rPr>
      </w:pPr>
      <w:proofErr w:type="spellStart"/>
      <w:r w:rsidRPr="00096373">
        <w:rPr>
          <w:sz w:val="22"/>
          <w:szCs w:val="22"/>
        </w:rPr>
        <w:t>Pedroni</w:t>
      </w:r>
      <w:proofErr w:type="spellEnd"/>
      <w:r w:rsidRPr="00096373">
        <w:rPr>
          <w:sz w:val="22"/>
          <w:szCs w:val="22"/>
        </w:rPr>
        <w:t xml:space="preserve">, P. (2013). “Structural Panel VARs”, Econometrics 1, pp. 180:206. </w:t>
      </w:r>
      <w:proofErr w:type="spellStart"/>
      <w:r w:rsidRPr="00096373">
        <w:rPr>
          <w:sz w:val="22"/>
          <w:szCs w:val="22"/>
        </w:rPr>
        <w:t>doi</w:t>
      </w:r>
      <w:proofErr w:type="spellEnd"/>
      <w:r w:rsidRPr="00096373">
        <w:rPr>
          <w:sz w:val="22"/>
          <w:szCs w:val="22"/>
        </w:rPr>
        <w:t>: 10.3390/</w:t>
      </w:r>
    </w:p>
    <w:p w14:paraId="693391AF" w14:textId="77777777" w:rsidR="006148EE" w:rsidRPr="00096373" w:rsidRDefault="00720711">
      <w:pPr>
        <w:jc w:val="both"/>
        <w:rPr>
          <w:sz w:val="22"/>
          <w:szCs w:val="22"/>
        </w:rPr>
      </w:pPr>
      <w:r w:rsidRPr="00096373">
        <w:rPr>
          <w:sz w:val="22"/>
          <w:szCs w:val="22"/>
        </w:rPr>
        <w:t>econometrics1020180</w:t>
      </w:r>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proofErr w:type="spellStart"/>
      <w:r w:rsidRPr="00096373">
        <w:rPr>
          <w:sz w:val="22"/>
          <w:szCs w:val="22"/>
        </w:rPr>
        <w:t>Perotti</w:t>
      </w:r>
      <w:proofErr w:type="spellEnd"/>
      <w:r w:rsidRPr="00096373">
        <w:rPr>
          <w:sz w:val="22"/>
          <w:szCs w:val="22"/>
        </w:rPr>
        <w:t xml:space="preserve">,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proofErr w:type="spellStart"/>
      <w:r w:rsidRPr="00096373">
        <w:rPr>
          <w:sz w:val="22"/>
          <w:szCs w:val="22"/>
        </w:rPr>
        <w:t>Rajan</w:t>
      </w:r>
      <w:proofErr w:type="spellEnd"/>
      <w:r w:rsidRPr="00096373">
        <w:rPr>
          <w:sz w:val="22"/>
          <w:szCs w:val="22"/>
        </w:rPr>
        <w:t xml:space="preserve">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proofErr w:type="spellStart"/>
      <w:r w:rsidRPr="00096373">
        <w:rPr>
          <w:sz w:val="22"/>
          <w:szCs w:val="22"/>
        </w:rPr>
        <w:t>Raitano</w:t>
      </w:r>
      <w:proofErr w:type="spellEnd"/>
      <w:r w:rsidRPr="00096373">
        <w:rPr>
          <w:sz w:val="22"/>
          <w:szCs w:val="22"/>
        </w:rPr>
        <w:t xml:space="preserve">, M. (2016), “Income inequality in Europe since the crisis”, </w:t>
      </w:r>
      <w:proofErr w:type="spellStart"/>
      <w:r w:rsidRPr="00096373">
        <w:rPr>
          <w:i/>
          <w:sz w:val="22"/>
          <w:szCs w:val="22"/>
        </w:rPr>
        <w:t>Intereconomics</w:t>
      </w:r>
      <w:proofErr w:type="spellEnd"/>
      <w:r w:rsidRPr="00096373">
        <w:rPr>
          <w:i/>
          <w:sz w:val="22"/>
          <w:szCs w:val="22"/>
        </w:rPr>
        <w:t xml:space="preserve">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proofErr w:type="spellStart"/>
      <w:r w:rsidRPr="00096373">
        <w:rPr>
          <w:sz w:val="22"/>
          <w:szCs w:val="22"/>
        </w:rPr>
        <w:t>Ravallion</w:t>
      </w:r>
      <w:proofErr w:type="spellEnd"/>
      <w:r w:rsidRPr="00096373">
        <w:rPr>
          <w:sz w:val="22"/>
          <w:szCs w:val="22"/>
        </w:rPr>
        <w:t>,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proofErr w:type="spellStart"/>
      <w:r w:rsidRPr="00096373">
        <w:rPr>
          <w:sz w:val="22"/>
          <w:szCs w:val="22"/>
        </w:rPr>
        <w:t>Rawdanowicz</w:t>
      </w:r>
      <w:proofErr w:type="spellEnd"/>
      <w:r w:rsidRPr="00096373">
        <w:rPr>
          <w:sz w:val="22"/>
          <w:szCs w:val="22"/>
        </w:rPr>
        <w:t xml:space="preserve">,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proofErr w:type="spellStart"/>
      <w:r w:rsidRPr="00096373">
        <w:rPr>
          <w:sz w:val="22"/>
          <w:szCs w:val="22"/>
        </w:rPr>
        <w:t>Roine</w:t>
      </w:r>
      <w:proofErr w:type="spellEnd"/>
      <w:r w:rsidRPr="00096373">
        <w:rPr>
          <w:sz w:val="22"/>
          <w:szCs w:val="22"/>
        </w:rPr>
        <w:t xml:space="preserve">, J., Vlachos, J. and D. </w:t>
      </w:r>
      <w:proofErr w:type="spellStart"/>
      <w:r w:rsidRPr="00096373">
        <w:rPr>
          <w:sz w:val="22"/>
          <w:szCs w:val="22"/>
        </w:rPr>
        <w:t>Waldenström</w:t>
      </w:r>
      <w:proofErr w:type="spellEnd"/>
      <w:r w:rsidRPr="00096373">
        <w:rPr>
          <w:sz w:val="22"/>
          <w:szCs w:val="22"/>
        </w:rPr>
        <w:t xml:space="preserve">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proofErr w:type="spellStart"/>
      <w:r w:rsidRPr="00096373">
        <w:rPr>
          <w:sz w:val="22"/>
          <w:szCs w:val="22"/>
        </w:rPr>
        <w:t>Sabirianova</w:t>
      </w:r>
      <w:proofErr w:type="spellEnd"/>
      <w:r w:rsidRPr="00096373">
        <w:rPr>
          <w:sz w:val="22"/>
          <w:szCs w:val="22"/>
        </w:rPr>
        <w:t xml:space="preserve">-Peter, K., </w:t>
      </w:r>
      <w:proofErr w:type="spellStart"/>
      <w:r w:rsidRPr="00096373">
        <w:rPr>
          <w:sz w:val="22"/>
          <w:szCs w:val="22"/>
        </w:rPr>
        <w:t>Buttrick</w:t>
      </w:r>
      <w:proofErr w:type="spellEnd"/>
      <w:r w:rsidRPr="00096373">
        <w:rPr>
          <w:sz w:val="22"/>
          <w:szCs w:val="22"/>
        </w:rPr>
        <w:t xml:space="preserve">,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proofErr w:type="spellStart"/>
      <w:r w:rsidRPr="00096373">
        <w:rPr>
          <w:sz w:val="22"/>
          <w:szCs w:val="22"/>
        </w:rPr>
        <w:t>Schwabish</w:t>
      </w:r>
      <w:proofErr w:type="spellEnd"/>
      <w:r w:rsidRPr="00096373">
        <w:rPr>
          <w:sz w:val="22"/>
          <w:szCs w:val="22"/>
        </w:rPr>
        <w:t xml:space="preserve">, J., T. M. </w:t>
      </w:r>
      <w:proofErr w:type="spellStart"/>
      <w:r w:rsidRPr="00096373">
        <w:rPr>
          <w:sz w:val="22"/>
          <w:szCs w:val="22"/>
        </w:rPr>
        <w:t>Smeeding</w:t>
      </w:r>
      <w:proofErr w:type="spellEnd"/>
      <w:r w:rsidRPr="00096373">
        <w:rPr>
          <w:sz w:val="22"/>
          <w:szCs w:val="22"/>
        </w:rPr>
        <w:t xml:space="preserve"> and L. </w:t>
      </w:r>
      <w:proofErr w:type="spellStart"/>
      <w:r w:rsidRPr="00096373">
        <w:rPr>
          <w:sz w:val="22"/>
          <w:szCs w:val="22"/>
        </w:rPr>
        <w:t>Osberg</w:t>
      </w:r>
      <w:proofErr w:type="spellEnd"/>
      <w:r w:rsidRPr="00096373">
        <w:rPr>
          <w:sz w:val="22"/>
          <w:szCs w:val="22"/>
        </w:rPr>
        <w:t xml:space="preserve">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proofErr w:type="spellStart"/>
      <w:r w:rsidRPr="00096373">
        <w:rPr>
          <w:sz w:val="22"/>
          <w:szCs w:val="22"/>
        </w:rPr>
        <w:t>Solt</w:t>
      </w:r>
      <w:proofErr w:type="spellEnd"/>
      <w:r w:rsidRPr="00096373">
        <w:rPr>
          <w:sz w:val="22"/>
          <w:szCs w:val="22"/>
        </w:rPr>
        <w:t xml:space="preserve">,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proofErr w:type="spellStart"/>
      <w:r w:rsidRPr="00096373">
        <w:rPr>
          <w:i/>
          <w:sz w:val="22"/>
          <w:szCs w:val="22"/>
        </w:rPr>
        <w:t>Econometrica</w:t>
      </w:r>
      <w:proofErr w:type="spellEnd"/>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proofErr w:type="spellStart"/>
      <w:r w:rsidRPr="00096373">
        <w:rPr>
          <w:sz w:val="22"/>
          <w:szCs w:val="22"/>
        </w:rPr>
        <w:t>Zweimüller</w:t>
      </w:r>
      <w:proofErr w:type="spellEnd"/>
      <w:r w:rsidRPr="00096373">
        <w:rPr>
          <w:sz w:val="22"/>
          <w:szCs w:val="22"/>
        </w:rPr>
        <w:t xml:space="preserve">, J. and J. K. Brunner (2005), "Innovation and Growth with Rich and Poor consumers", </w:t>
      </w:r>
      <w:proofErr w:type="spellStart"/>
      <w:r w:rsidRPr="00096373">
        <w:rPr>
          <w:i/>
          <w:sz w:val="22"/>
          <w:szCs w:val="22"/>
        </w:rPr>
        <w:t>Metroeconomica</w:t>
      </w:r>
      <w:proofErr w:type="spellEnd"/>
      <w:r w:rsidRPr="00096373">
        <w:rPr>
          <w:sz w:val="22"/>
          <w:szCs w:val="22"/>
        </w:rPr>
        <w:t>, 56, pp. 233–262.</w:t>
      </w:r>
    </w:p>
    <w:p w14:paraId="432EC29C" w14:textId="77777777" w:rsidR="006148EE" w:rsidRPr="00096373" w:rsidRDefault="006148EE">
      <w:pPr>
        <w:jc w:val="both"/>
        <w:rPr>
          <w:sz w:val="22"/>
          <w:szCs w:val="22"/>
        </w:rPr>
      </w:pPr>
    </w:p>
    <w:p w14:paraId="73ECC119" w14:textId="77777777" w:rsidR="006148EE" w:rsidRDefault="006148EE">
      <w:pPr>
        <w:jc w:val="both"/>
      </w:pPr>
    </w:p>
    <w:p w14:paraId="221CB8D7" w14:textId="77777777" w:rsidR="00DA537B" w:rsidRDefault="00DA537B" w:rsidP="00407662"/>
    <w:p w14:paraId="6DABEF68" w14:textId="77777777" w:rsidR="00DA537B" w:rsidRDefault="00DA537B" w:rsidP="00407662"/>
    <w:p w14:paraId="0B056CAF" w14:textId="77777777" w:rsidR="00DA537B" w:rsidRDefault="00DA537B" w:rsidP="00407662"/>
    <w:p w14:paraId="7DC00DF9" w14:textId="4906E933" w:rsidR="00DA537B" w:rsidRDefault="00DA537B" w:rsidP="00407662"/>
    <w:p w14:paraId="292D1E20" w14:textId="42E967E0" w:rsidR="00407662" w:rsidRDefault="00407662" w:rsidP="00407662"/>
    <w:p w14:paraId="0F42C356" w14:textId="0F4C6E3F" w:rsidR="00407662" w:rsidRDefault="00407662" w:rsidP="00407662"/>
    <w:p w14:paraId="022E1C9D" w14:textId="3E0C6F94" w:rsidR="00407662" w:rsidRDefault="00407662" w:rsidP="00407662"/>
    <w:p w14:paraId="7E21519D" w14:textId="5F44E480" w:rsidR="00407662" w:rsidRDefault="00407662" w:rsidP="00407662"/>
    <w:p w14:paraId="70FEF510" w14:textId="000C5C9B" w:rsidR="00407662" w:rsidRDefault="00407662" w:rsidP="00407662"/>
    <w:p w14:paraId="75494819" w14:textId="175FE437" w:rsidR="00407662" w:rsidRDefault="00407662" w:rsidP="00407662"/>
    <w:p w14:paraId="54C2E048" w14:textId="5322FCE0" w:rsidR="00407662" w:rsidRDefault="00407662" w:rsidP="00407662"/>
    <w:p w14:paraId="004C0B99" w14:textId="0065A77B" w:rsidR="00407662" w:rsidRDefault="00407662" w:rsidP="00407662"/>
    <w:p w14:paraId="56D6C451" w14:textId="08364D34" w:rsidR="00407662" w:rsidRDefault="00407662" w:rsidP="00407662"/>
    <w:p w14:paraId="263C866E" w14:textId="7AFDE8D3" w:rsidR="00407662" w:rsidRDefault="00407662" w:rsidP="00407662"/>
    <w:p w14:paraId="79D9CFB3" w14:textId="77777777" w:rsidR="00407662" w:rsidRDefault="00407662" w:rsidP="00407662"/>
    <w:p w14:paraId="2DEC9BEB" w14:textId="77777777" w:rsidR="00DA537B" w:rsidRDefault="00DA537B" w:rsidP="00407662"/>
    <w:p w14:paraId="7C8E5418" w14:textId="77777777" w:rsidR="00DA537B" w:rsidRDefault="00DA537B" w:rsidP="00407662"/>
    <w:p w14:paraId="6FED99B0" w14:textId="77777777" w:rsidR="00DA537B" w:rsidRDefault="00DA537B" w:rsidP="00407662"/>
    <w:p w14:paraId="3F95E0B1" w14:textId="3D23C2FD" w:rsidR="00DA537B" w:rsidRDefault="00DA537B" w:rsidP="00DE1767"/>
    <w:p w14:paraId="1FFC42C6" w14:textId="77777777" w:rsidR="00DE1767" w:rsidRDefault="00DE1767" w:rsidP="00DE1767"/>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w:lastRenderedPageBreak/>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77777777"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w:t>
      </w:r>
      <w:r>
        <w:lastRenderedPageBreak/>
        <w:t xml:space="preserve">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 xml:space="preserve">Notes: The null hypothesis of the unit root tests is that all panels contain a unit root, </w:t>
      </w:r>
      <w:proofErr w:type="gramStart"/>
      <w:r>
        <w:rPr>
          <w:bCs/>
          <w:sz w:val="18"/>
        </w:rPr>
        <w:t>i.e.</w:t>
      </w:r>
      <w:proofErr w:type="gramEnd"/>
      <w:r>
        <w:rPr>
          <w:bCs/>
          <w:sz w:val="18"/>
        </w:rPr>
        <w:t xml:space="preserv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4"/>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 xml:space="preserve">This box </w:t>
      </w:r>
      <w:proofErr w:type="gramStart"/>
      <w:r>
        <w:rPr>
          <w:lang w:val="en-US"/>
        </w:rPr>
        <w:t>aim</w:t>
      </w:r>
      <w:proofErr w:type="gramEnd"/>
      <w:r>
        <w:rPr>
          <w:lang w:val="en-US"/>
        </w:rPr>
        <w:t xml:space="preserve"> at showing estimates on the wealth accumulation in euro area and to analyze wealth inequality, by using the survey data of the second wave of the ECB’s Household Finance and Consumption Survey (HFCS). We highlight </w:t>
      </w:r>
      <w:proofErr w:type="gramStart"/>
      <w:r>
        <w:rPr>
          <w:lang w:val="en-US"/>
        </w:rPr>
        <w:t>that cross-country differences</w:t>
      </w:r>
      <w:proofErr w:type="gramEnd"/>
      <w:r>
        <w:rPr>
          <w:lang w:val="en-US"/>
        </w:rPr>
        <w:t xml:space="preserve">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 xml:space="preserve">Zooming-in the components of wealth composition, Chart A shows that real estate wealth makes up the largest share of total gross assets owned by households (82.2% in the euro area on average). The remaining assets are financial (17.8% in the euro area). The household first residence is the </w:t>
      </w:r>
      <w:r>
        <w:rPr>
          <w:lang w:val="en-US"/>
        </w:rPr>
        <w:lastRenderedPageBreak/>
        <w:t>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w:t>
      </w:r>
      <w:proofErr w:type="gramStart"/>
      <w:r>
        <w:rPr>
          <w:sz w:val="18"/>
          <w:szCs w:val="18"/>
          <w:lang w:val="en-US"/>
        </w:rPr>
        <w:t>Authors’</w:t>
      </w:r>
      <w:proofErr w:type="gramEnd"/>
      <w:r>
        <w:rPr>
          <w:sz w:val="18"/>
          <w:szCs w:val="18"/>
          <w:lang w:val="en-US"/>
        </w:rPr>
        <w:t xml:space="preserve">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 xml:space="preserve">Ownership wealth inequality is higher for the bottom half. The average of the </w:t>
      </w:r>
      <w:proofErr w:type="gramStart"/>
      <w:r>
        <w:rPr>
          <w:lang w:val="en-US"/>
        </w:rPr>
        <w:t>GE(</w:t>
      </w:r>
      <w:proofErr w:type="gramEnd"/>
      <w:r>
        <w:rPr>
          <w:lang w:val="en-US"/>
        </w:rPr>
        <w:t>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5"/>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w:t>
      </w:r>
      <w:proofErr w:type="gramStart"/>
      <w:r>
        <w:rPr>
          <w:lang w:val="en-US"/>
        </w:rPr>
        <w:t>i.e.</w:t>
      </w:r>
      <w:proofErr w:type="gramEnd"/>
      <w:r>
        <w:rPr>
          <w:lang w:val="en-US"/>
        </w:rPr>
        <w:t xml:space="preserv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lastRenderedPageBreak/>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4"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2-09-18T11:20:00Z" w:initials="d">
    <w:p w14:paraId="32C7A1A7" w14:textId="7948F2CA" w:rsidR="000A2D31" w:rsidRDefault="000A2D31">
      <w:pPr>
        <w:pStyle w:val="CommentText"/>
      </w:pPr>
      <w:r>
        <w:rPr>
          <w:rStyle w:val="CommentReference"/>
        </w:rPr>
        <w:annotationRef/>
      </w:r>
      <w:r>
        <w:t xml:space="preserve">Mover </w:t>
      </w:r>
      <w:proofErr w:type="gramStart"/>
      <w:r>
        <w:t>a</w:t>
      </w:r>
      <w:proofErr w:type="gramEnd"/>
      <w:r>
        <w:t xml:space="preserve"> </w:t>
      </w:r>
      <w:proofErr w:type="spellStart"/>
      <w:r>
        <w:t>anexo</w:t>
      </w:r>
      <w:proofErr w:type="spellEnd"/>
    </w:p>
  </w:comment>
  <w:comment w:id="7"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w:t>
      </w:r>
      <w:proofErr w:type="spellStart"/>
      <w:r w:rsidRPr="001453DD">
        <w:rPr>
          <w:lang w:val="es-ES"/>
        </w:rPr>
        <w:t>first</w:t>
      </w:r>
      <w:proofErr w:type="spellEnd"/>
      <w:r w:rsidRPr="001453DD">
        <w:rPr>
          <w:lang w:val="es-ES"/>
        </w:rPr>
        <w:t xml:space="preserve">, </w:t>
      </w:r>
      <w:proofErr w:type="spellStart"/>
      <w:r w:rsidRPr="001453DD">
        <w:rPr>
          <w:lang w:val="es-ES"/>
        </w:rPr>
        <w:t>second</w:t>
      </w:r>
      <w:proofErr w:type="spellEnd"/>
      <w:r w:rsidRPr="001453DD">
        <w:rPr>
          <w:lang w:val="es-ES"/>
        </w:rPr>
        <w:t xml:space="preserve"> en </w:t>
      </w:r>
      <w:r>
        <w:rPr>
          <w:lang w:val="es-ES"/>
        </w:rPr>
        <w:t>párrafos anteriores</w:t>
      </w:r>
    </w:p>
  </w:comment>
  <w:comment w:id="8"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9" w:author="dani" w:date="2022-07-11T20:26:00Z" w:initials="d">
    <w:p w14:paraId="2C34310A" w14:textId="57A9A398" w:rsidR="00CD375B" w:rsidRPr="007D3BDA" w:rsidRDefault="00CD375B">
      <w:pPr>
        <w:pStyle w:val="CommentText"/>
        <w:rPr>
          <w:lang w:val="es-ES"/>
        </w:rPr>
      </w:pPr>
      <w:r>
        <w:rPr>
          <w:rStyle w:val="CommentReference"/>
        </w:rPr>
        <w:annotationRef/>
      </w:r>
      <w:proofErr w:type="spellStart"/>
      <w:r w:rsidRPr="007D3BDA">
        <w:rPr>
          <w:lang w:val="es-ES"/>
        </w:rPr>
        <w:t>result</w:t>
      </w:r>
      <w:proofErr w:type="spellEnd"/>
    </w:p>
  </w:comment>
  <w:comment w:id="10" w:author="dani" w:date="2022-08-19T17:31:00Z" w:initials="d">
    <w:p w14:paraId="23161820" w14:textId="7613D822" w:rsidR="00E87C18" w:rsidRPr="00DD53CB" w:rsidRDefault="00E87C18">
      <w:pPr>
        <w:pStyle w:val="CommentText"/>
        <w:rPr>
          <w:lang w:val="es-ES"/>
        </w:rPr>
      </w:pPr>
      <w:r>
        <w:rPr>
          <w:rStyle w:val="CommentReference"/>
        </w:rPr>
        <w:annotationRef/>
      </w:r>
      <w:proofErr w:type="spellStart"/>
      <w:r w:rsidRPr="00DD53CB">
        <w:rPr>
          <w:lang w:val="es-ES"/>
        </w:rPr>
        <w:t>check</w:t>
      </w:r>
      <w:proofErr w:type="spellEnd"/>
      <w:r w:rsidRPr="00DD53CB">
        <w:rPr>
          <w:lang w:val="es-ES"/>
        </w:rPr>
        <w:t xml:space="preserve"> </w:t>
      </w:r>
      <w:proofErr w:type="spellStart"/>
      <w:r w:rsidRPr="00DD53CB">
        <w:rPr>
          <w:lang w:val="es-ES"/>
        </w:rPr>
        <w:t>grammar</w:t>
      </w:r>
      <w:proofErr w:type="spellEnd"/>
      <w:r w:rsidRPr="00DD53CB">
        <w:rPr>
          <w:lang w:val="es-ES"/>
        </w:rPr>
        <w:t xml:space="preserve"> para no </w:t>
      </w:r>
      <w:proofErr w:type="spellStart"/>
      <w:r w:rsidRPr="00DD53CB">
        <w:rPr>
          <w:lang w:val="es-ES"/>
        </w:rPr>
        <w:t>plagiarmi</w:t>
      </w:r>
      <w:proofErr w:type="spellEnd"/>
      <w:r w:rsidRPr="00DD53CB">
        <w:rPr>
          <w:lang w:val="es-ES"/>
        </w:rPr>
        <w:t xml:space="preserve"> </w:t>
      </w:r>
    </w:p>
  </w:comment>
  <w:comment w:id="12" w:author="dani" w:date="2022-08-19T17:56:00Z" w:initials="d">
    <w:p w14:paraId="2DB4F7B8" w14:textId="12901CD2" w:rsidR="00E0559D" w:rsidRPr="00DD53CB" w:rsidRDefault="00E0559D">
      <w:pPr>
        <w:pStyle w:val="CommentText"/>
        <w:rPr>
          <w:lang w:val="es-ES"/>
        </w:rPr>
      </w:pPr>
      <w:r>
        <w:rPr>
          <w:rStyle w:val="CommentReference"/>
        </w:rPr>
        <w:annotationRef/>
      </w:r>
    </w:p>
  </w:comment>
  <w:comment w:id="13"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5" w:author="dani" w:date="2022-08-21T18:21:00Z" w:initials="d">
    <w:p w14:paraId="42D45E30" w14:textId="3E1364B8" w:rsidR="00105279" w:rsidRPr="00366905" w:rsidRDefault="00105279">
      <w:pPr>
        <w:pStyle w:val="CommentText"/>
        <w:rPr>
          <w:lang w:val="es-ES"/>
        </w:rPr>
      </w:pPr>
      <w:r>
        <w:rPr>
          <w:rStyle w:val="CommentReference"/>
        </w:rPr>
        <w:annotationRef/>
      </w:r>
      <w:proofErr w:type="spellStart"/>
      <w:r w:rsidRPr="00366905">
        <w:rPr>
          <w:lang w:val="es-ES"/>
        </w:rPr>
        <w:t>Review</w:t>
      </w:r>
      <w:proofErr w:type="spellEnd"/>
      <w:r w:rsidRPr="00366905">
        <w:rPr>
          <w:lang w:val="es-ES"/>
        </w:rPr>
        <w:t xml:space="preserve"> and </w:t>
      </w:r>
      <w:proofErr w:type="spellStart"/>
      <w:r w:rsidRPr="00366905">
        <w:rPr>
          <w:lang w:val="es-ES"/>
        </w:rPr>
        <w:t>change</w:t>
      </w:r>
      <w:proofErr w:type="spellEnd"/>
      <w:r w:rsidRPr="00366905">
        <w:rPr>
          <w:lang w:val="es-ES"/>
        </w:rPr>
        <w:t xml:space="preserve"> </w:t>
      </w:r>
      <w:proofErr w:type="spellStart"/>
      <w:r w:rsidRPr="00366905">
        <w:rPr>
          <w:lang w:val="es-ES"/>
        </w:rPr>
        <w:t>content</w:t>
      </w:r>
      <w:proofErr w:type="spellEnd"/>
    </w:p>
  </w:comment>
  <w:comment w:id="16"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32C7A1A7" w15:paraIdParent="31221FFE" w15:done="0"/>
  <w15:commentEx w15:paraId="56538CC2" w15:done="0"/>
  <w15:commentEx w15:paraId="726DA99D" w15:done="0"/>
  <w15:commentEx w15:paraId="2C34310A" w15:done="0"/>
  <w15:commentEx w15:paraId="23161820"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D7D" w16cex:dateUtc="2022-09-18T09:20:00Z"/>
  <w16cex:commentExtensible w16cex:durableId="267043DE" w16cex:dateUtc="2022-07-06T15:24:00Z"/>
  <w16cex:commentExtensible w16cex:durableId="2671A1BF" w16cex:dateUtc="2022-07-07T16:17:00Z"/>
  <w16cex:commentExtensible w16cex:durableId="267705E0" w16cex:dateUtc="2022-07-11T18:26:00Z"/>
  <w16cex:commentExtensible w16cex:durableId="26AA4788" w16cex:dateUtc="2022-08-19T15:31: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32C7A1A7" w16cid:durableId="26D17D7D"/>
  <w16cid:commentId w16cid:paraId="56538CC2" w16cid:durableId="267043DE"/>
  <w16cid:commentId w16cid:paraId="726DA99D" w16cid:durableId="2671A1BF"/>
  <w16cid:commentId w16cid:paraId="2C34310A" w16cid:durableId="267705E0"/>
  <w16cid:commentId w16cid:paraId="23161820" w16cid:durableId="26AA4788"/>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9577" w14:textId="77777777" w:rsidR="007F0C7F" w:rsidRDefault="007F0C7F">
      <w:r>
        <w:separator/>
      </w:r>
    </w:p>
  </w:endnote>
  <w:endnote w:type="continuationSeparator" w:id="0">
    <w:p w14:paraId="5F185572" w14:textId="77777777" w:rsidR="007F0C7F" w:rsidRDefault="007F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181A" w14:textId="77777777" w:rsidR="007F0C7F" w:rsidRDefault="007F0C7F">
      <w:r>
        <w:separator/>
      </w:r>
    </w:p>
  </w:footnote>
  <w:footnote w:type="continuationSeparator" w:id="0">
    <w:p w14:paraId="0ADCE644" w14:textId="77777777" w:rsidR="007F0C7F" w:rsidRDefault="007F0C7F">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23B8515D"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w:t>
      </w:r>
      <w:proofErr w:type="spellStart"/>
      <w:r>
        <w:t>Sabirianova</w:t>
      </w:r>
      <w:proofErr w:type="spellEnd"/>
      <w:r>
        <w:t>-Peter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1">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2">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3">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4">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5">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gFALoNNCUtAAAA"/>
  </w:docVars>
  <w:rsids>
    <w:rsidRoot w:val="006148EE"/>
    <w:rsid w:val="00017FEB"/>
    <w:rsid w:val="00026187"/>
    <w:rsid w:val="000509C3"/>
    <w:rsid w:val="000601E3"/>
    <w:rsid w:val="00065637"/>
    <w:rsid w:val="0006603D"/>
    <w:rsid w:val="00096373"/>
    <w:rsid w:val="000A2D31"/>
    <w:rsid w:val="000A4BA0"/>
    <w:rsid w:val="000C1699"/>
    <w:rsid w:val="000C357C"/>
    <w:rsid w:val="000E4A42"/>
    <w:rsid w:val="000F6E3E"/>
    <w:rsid w:val="00101FF7"/>
    <w:rsid w:val="00102A23"/>
    <w:rsid w:val="00105279"/>
    <w:rsid w:val="001169E2"/>
    <w:rsid w:val="00116A00"/>
    <w:rsid w:val="001359B7"/>
    <w:rsid w:val="001453DD"/>
    <w:rsid w:val="00162B15"/>
    <w:rsid w:val="001745D2"/>
    <w:rsid w:val="00175228"/>
    <w:rsid w:val="0017722D"/>
    <w:rsid w:val="001A1517"/>
    <w:rsid w:val="001A3A98"/>
    <w:rsid w:val="001B22CE"/>
    <w:rsid w:val="001C672D"/>
    <w:rsid w:val="002140E4"/>
    <w:rsid w:val="00215E0B"/>
    <w:rsid w:val="002330DF"/>
    <w:rsid w:val="00236035"/>
    <w:rsid w:val="002662E5"/>
    <w:rsid w:val="002766BB"/>
    <w:rsid w:val="002828F3"/>
    <w:rsid w:val="002849EA"/>
    <w:rsid w:val="00292C7B"/>
    <w:rsid w:val="002C458E"/>
    <w:rsid w:val="002D4EDB"/>
    <w:rsid w:val="002F33AF"/>
    <w:rsid w:val="00300287"/>
    <w:rsid w:val="003035DC"/>
    <w:rsid w:val="00310C3F"/>
    <w:rsid w:val="003257FE"/>
    <w:rsid w:val="00366905"/>
    <w:rsid w:val="00384507"/>
    <w:rsid w:val="00394BFC"/>
    <w:rsid w:val="003B1F01"/>
    <w:rsid w:val="003B1F81"/>
    <w:rsid w:val="003D3E79"/>
    <w:rsid w:val="003F77CF"/>
    <w:rsid w:val="00406A99"/>
    <w:rsid w:val="00407662"/>
    <w:rsid w:val="00412C2B"/>
    <w:rsid w:val="0042235D"/>
    <w:rsid w:val="00434981"/>
    <w:rsid w:val="0044385A"/>
    <w:rsid w:val="004565D7"/>
    <w:rsid w:val="004756E4"/>
    <w:rsid w:val="004D41CE"/>
    <w:rsid w:val="004E1E49"/>
    <w:rsid w:val="004F7911"/>
    <w:rsid w:val="00513B74"/>
    <w:rsid w:val="00520CEC"/>
    <w:rsid w:val="0055518B"/>
    <w:rsid w:val="00572941"/>
    <w:rsid w:val="00585240"/>
    <w:rsid w:val="005A45A7"/>
    <w:rsid w:val="005E1C5A"/>
    <w:rsid w:val="005E5A50"/>
    <w:rsid w:val="005E5C63"/>
    <w:rsid w:val="005F5127"/>
    <w:rsid w:val="00605382"/>
    <w:rsid w:val="00607F25"/>
    <w:rsid w:val="006148EE"/>
    <w:rsid w:val="00647981"/>
    <w:rsid w:val="00651064"/>
    <w:rsid w:val="00656295"/>
    <w:rsid w:val="00667E9F"/>
    <w:rsid w:val="0067272C"/>
    <w:rsid w:val="0068350A"/>
    <w:rsid w:val="0069369C"/>
    <w:rsid w:val="006D3CE6"/>
    <w:rsid w:val="006E2EF0"/>
    <w:rsid w:val="00720711"/>
    <w:rsid w:val="0072468A"/>
    <w:rsid w:val="007512A1"/>
    <w:rsid w:val="007818D4"/>
    <w:rsid w:val="00782347"/>
    <w:rsid w:val="00785483"/>
    <w:rsid w:val="007952E6"/>
    <w:rsid w:val="007C6B3C"/>
    <w:rsid w:val="007D3BDA"/>
    <w:rsid w:val="007F0C7F"/>
    <w:rsid w:val="00810944"/>
    <w:rsid w:val="008323D5"/>
    <w:rsid w:val="00864B90"/>
    <w:rsid w:val="008909A9"/>
    <w:rsid w:val="008E0C3F"/>
    <w:rsid w:val="008F01AE"/>
    <w:rsid w:val="009077F9"/>
    <w:rsid w:val="009117D7"/>
    <w:rsid w:val="009327EA"/>
    <w:rsid w:val="00941AB5"/>
    <w:rsid w:val="009502A0"/>
    <w:rsid w:val="00957812"/>
    <w:rsid w:val="00960F01"/>
    <w:rsid w:val="0099423F"/>
    <w:rsid w:val="009B635E"/>
    <w:rsid w:val="00A12D7A"/>
    <w:rsid w:val="00A15425"/>
    <w:rsid w:val="00AB684E"/>
    <w:rsid w:val="00AC78F4"/>
    <w:rsid w:val="00AE2474"/>
    <w:rsid w:val="00AF3370"/>
    <w:rsid w:val="00B104F7"/>
    <w:rsid w:val="00B2129B"/>
    <w:rsid w:val="00B23BAD"/>
    <w:rsid w:val="00B52E7B"/>
    <w:rsid w:val="00B66C0C"/>
    <w:rsid w:val="00B97AFC"/>
    <w:rsid w:val="00BC5D5E"/>
    <w:rsid w:val="00BE58CD"/>
    <w:rsid w:val="00BF5C12"/>
    <w:rsid w:val="00BF7005"/>
    <w:rsid w:val="00C12142"/>
    <w:rsid w:val="00C5420A"/>
    <w:rsid w:val="00C729B0"/>
    <w:rsid w:val="00C87740"/>
    <w:rsid w:val="00CC1165"/>
    <w:rsid w:val="00CD375B"/>
    <w:rsid w:val="00CE33B3"/>
    <w:rsid w:val="00CF21D5"/>
    <w:rsid w:val="00CF7118"/>
    <w:rsid w:val="00D2058B"/>
    <w:rsid w:val="00D31723"/>
    <w:rsid w:val="00D43674"/>
    <w:rsid w:val="00D559BB"/>
    <w:rsid w:val="00D63F33"/>
    <w:rsid w:val="00D83F9B"/>
    <w:rsid w:val="00D90A0D"/>
    <w:rsid w:val="00D93ABE"/>
    <w:rsid w:val="00DA537B"/>
    <w:rsid w:val="00DB19AA"/>
    <w:rsid w:val="00DC3D19"/>
    <w:rsid w:val="00DD53CB"/>
    <w:rsid w:val="00DE1767"/>
    <w:rsid w:val="00DE6DCE"/>
    <w:rsid w:val="00DE7C05"/>
    <w:rsid w:val="00DF00C1"/>
    <w:rsid w:val="00E0559D"/>
    <w:rsid w:val="00E132EA"/>
    <w:rsid w:val="00E20219"/>
    <w:rsid w:val="00E31A3D"/>
    <w:rsid w:val="00E66C90"/>
    <w:rsid w:val="00E67E2E"/>
    <w:rsid w:val="00E87C18"/>
    <w:rsid w:val="00E9731D"/>
    <w:rsid w:val="00EA1730"/>
    <w:rsid w:val="00EB04DA"/>
    <w:rsid w:val="00EB7E39"/>
    <w:rsid w:val="00F17549"/>
    <w:rsid w:val="00F512C4"/>
    <w:rsid w:val="00F55C92"/>
    <w:rsid w:val="00F617CD"/>
    <w:rsid w:val="00F81697"/>
    <w:rsid w:val="00F8193A"/>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40</Pages>
  <Words>13271</Words>
  <Characters>72991</Characters>
  <Application>Microsoft Office Word</Application>
  <DocSecurity>0</DocSecurity>
  <Lines>608</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30</cp:revision>
  <cp:lastPrinted>2019-05-28T12:31:00Z</cp:lastPrinted>
  <dcterms:created xsi:type="dcterms:W3CDTF">2022-01-23T17:02:00Z</dcterms:created>
  <dcterms:modified xsi:type="dcterms:W3CDTF">2022-09-18T09:58:00Z</dcterms:modified>
</cp:coreProperties>
</file>