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sidRPr="006324DA">
        <w:rPr>
          <w:szCs w:val="32"/>
        </w:rPr>
        <w:t>HOW can fiscal policies MiTIGATE</w:t>
      </w:r>
      <w:r>
        <w:rPr>
          <w:szCs w:val="32"/>
        </w:rPr>
        <w:t xml:space="preserv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sz w:val="36"/>
        </w:rPr>
      </w:pPr>
      <w:r>
        <w:rPr>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137BCB41" w14:textId="751378A1" w:rsidR="000A2D31" w:rsidRDefault="000A2D31" w:rsidP="000A2D31">
      <w:pPr>
        <w:pStyle w:val="Heading1"/>
        <w:ind w:left="720"/>
        <w:rPr>
          <w:rFonts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cs="Times New Roman"/>
          <w:sz w:val="28"/>
          <w:szCs w:val="28"/>
          <w:lang w:val="en-US"/>
        </w:rPr>
      </w:pPr>
      <w:r>
        <w:rPr>
          <w:rFonts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proofErr w:type="spellStart"/>
      <w:r>
        <w:t>Ro</w:t>
      </w:r>
      <w:r w:rsidRPr="000A2D31">
        <w:t>i</w:t>
      </w:r>
      <w:r>
        <w:t>ne</w:t>
      </w:r>
      <w:proofErr w:type="spellEnd"/>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w:t>
      </w:r>
      <w:proofErr w:type="spellStart"/>
      <w:r w:rsidRPr="000A2D31">
        <w:t>M</w:t>
      </w:r>
      <w:r>
        <w:t>u</w:t>
      </w:r>
      <w:r w:rsidRPr="000A2D31">
        <w:t>i</w:t>
      </w:r>
      <w:r>
        <w:t>ne</w:t>
      </w:r>
      <w:r w:rsidRPr="000A2D31">
        <w:t>lo</w:t>
      </w:r>
      <w:proofErr w:type="spellEnd"/>
      <w:r w:rsidRPr="000A2D31">
        <w:t>-G</w:t>
      </w:r>
      <w:r>
        <w:t>a</w:t>
      </w:r>
      <w:r w:rsidRPr="000A2D31">
        <w:t>l</w:t>
      </w:r>
      <w:r>
        <w:t>lo</w:t>
      </w:r>
      <w:r w:rsidRPr="000A2D31">
        <w:t xml:space="preserve"> </w:t>
      </w:r>
      <w:r>
        <w:t>and</w:t>
      </w:r>
      <w:r w:rsidRPr="000A2D31">
        <w:t xml:space="preserve"> </w:t>
      </w:r>
      <w:r>
        <w:t>Ro</w:t>
      </w:r>
      <w:r w:rsidRPr="000A2D31">
        <w:t>ca-</w:t>
      </w:r>
      <w:proofErr w:type="spellStart"/>
      <w:r>
        <w:t>Saga</w:t>
      </w:r>
      <w:r w:rsidRPr="000A2D31">
        <w:t>l</w:t>
      </w:r>
      <w:r>
        <w:t>és</w:t>
      </w:r>
      <w:proofErr w:type="spellEnd"/>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cs="Times New Roman"/>
          <w:sz w:val="28"/>
          <w:szCs w:val="28"/>
        </w:rPr>
      </w:pPr>
      <w:r>
        <w:rPr>
          <w:rFonts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 xml:space="preserve">Source: </w:t>
            </w:r>
            <w:proofErr w:type="gramStart"/>
            <w:r>
              <w:rPr>
                <w:rFonts w:eastAsia="Arial"/>
                <w:sz w:val="20"/>
                <w:szCs w:val="20"/>
              </w:rPr>
              <w:t>Authors’</w:t>
            </w:r>
            <w:proofErr w:type="gramEnd"/>
            <w:r>
              <w:rPr>
                <w:rFonts w:eastAsia="Arial"/>
                <w:sz w:val="20"/>
                <w:szCs w:val="20"/>
              </w:rPr>
              <w:t xml:space="preserve">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cs="Times New Roman"/>
          <w:sz w:val="28"/>
          <w:szCs w:val="28"/>
          <w:lang w:val="en-US"/>
        </w:rPr>
      </w:pPr>
      <w:r>
        <w:rPr>
          <w:rFonts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3AC09A5E" w:rsidR="006148EE" w:rsidRDefault="00720711" w:rsidP="000A2D31">
      <w:pPr>
        <w:spacing w:after="200" w:line="312" w:lineRule="auto"/>
        <w:jc w:val="both"/>
      </w:pPr>
      <w:r>
        <w:t>This paper investigates the effect of fiscal policies instruments on income inequality trends by using a local projection model</w:t>
      </w:r>
      <w:r w:rsidR="000A1C86">
        <w:t xml:space="preserve"> (LP)</w:t>
      </w:r>
      <w:r>
        <w:t xml:space="preserve">, </w:t>
      </w:r>
      <w:r w:rsidRPr="00BF5C12">
        <w:t xml:space="preserve">starting with </w:t>
      </w:r>
      <w:proofErr w:type="spellStart"/>
      <w:r w:rsidRPr="00AF2BAF">
        <w:rPr>
          <w:highlight w:val="yellow"/>
        </w:rPr>
        <w:t>Jordà</w:t>
      </w:r>
      <w:proofErr w:type="spellEnd"/>
      <w:r w:rsidRPr="00BF5C12">
        <w:t xml:space="preserve"> (2005</w:t>
      </w:r>
      <w:r w:rsidR="000A1C86" w:rsidRPr="00BF5C12">
        <w:t>)</w:t>
      </w:r>
      <w:r w:rsidR="000A1C86">
        <w:t xml:space="preserve"> </w:t>
      </w:r>
      <w:r w:rsidR="000A1C86" w:rsidRPr="00BF5C12">
        <w:t>LP</w:t>
      </w:r>
      <w:r w:rsidR="000A1C86">
        <w:t xml:space="preserve"> model that </w:t>
      </w:r>
      <w:r w:rsidRPr="00BF5C12">
        <w:t xml:space="preserve">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23966CAB" w:rsidR="006148EE" w:rsidRDefault="00720711" w:rsidP="000A2D31">
      <w:pPr>
        <w:spacing w:after="200" w:line="312" w:lineRule="auto"/>
        <w:jc w:val="both"/>
      </w:pPr>
      <w:r>
        <w:t xml:space="preserve">We look at the effect of three explanatory policy variables of interest – </w:t>
      </w:r>
      <w:r w:rsidR="000A1C86">
        <w:t xml:space="preserve">social payments, </w:t>
      </w:r>
      <w:r>
        <w:t>government expenditure</w:t>
      </w:r>
      <w:r w:rsidR="000A1C86">
        <w:t xml:space="preserve"> (education and health)</w:t>
      </w:r>
      <w:r>
        <w:t>, and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rsidP="000A1C86">
      <w:pPr>
        <w:pStyle w:val="Head2"/>
      </w:pPr>
      <w:r>
        <w:t>Data sources and variables</w:t>
      </w:r>
    </w:p>
    <w:p w14:paraId="3F00DC76" w14:textId="51CBE4FE" w:rsidR="006148EE" w:rsidRDefault="00720711" w:rsidP="000A2D31">
      <w:pPr>
        <w:spacing w:after="20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p>
    <w:p w14:paraId="1F167036" w14:textId="6D86524C" w:rsidR="006148EE" w:rsidRDefault="00720711" w:rsidP="000A2D31">
      <w:pPr>
        <w:spacing w:after="200" w:line="312" w:lineRule="auto"/>
        <w:jc w:val="both"/>
      </w:pPr>
      <w:r>
        <w:lastRenderedPageBreak/>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government current expenditure</w:t>
      </w:r>
      <w:r w:rsidR="00AF2BAF">
        <w:t xml:space="preserve"> among others</w:t>
      </w:r>
      <w:r>
        <w:t xml:space="preserve"> (e.g., </w:t>
      </w:r>
      <w:r w:rsidRPr="00AF2BAF">
        <w:rPr>
          <w:highlight w:val="yellow"/>
        </w:rPr>
        <w:t>Lundberg and Squire</w:t>
      </w:r>
      <w:r>
        <w:t>, 2003).</w:t>
      </w:r>
    </w:p>
    <w:p w14:paraId="3ADB9D30" w14:textId="4533F095"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w:t>
      </w:r>
      <w:r w:rsidR="00AF2BAF">
        <w:rPr>
          <w:shd w:val="clear" w:color="auto" w:fill="FFFFFF"/>
        </w:rPr>
        <w:t xml:space="preserve">government </w:t>
      </w:r>
      <w:r>
        <w:rPr>
          <w:shd w:val="clear" w:color="auto" w:fill="FFFFFF"/>
        </w:rPr>
        <w:t>expenditure and its in-cash and in-kind transfers, as contributors to redistribution policies. Second, we</w:t>
      </w:r>
      <w:r w:rsidR="00AF2BAF">
        <w:rPr>
          <w:shd w:val="clear" w:color="auto" w:fill="FFFFFF"/>
        </w:rPr>
        <w:t xml:space="preserve"> </w:t>
      </w:r>
      <w:r>
        <w:t xml:space="preserve">look at </w:t>
      </w:r>
      <w:r>
        <w:rPr>
          <w:shd w:val="clear" w:color="auto" w:fill="FFFFFF"/>
        </w:rPr>
        <w:t xml:space="preserve">education and health expenditure, the main in-kind transfers. </w:t>
      </w:r>
      <w:r w:rsidR="00AF2BAF">
        <w:rPr>
          <w:shd w:val="clear" w:color="auto" w:fill="FFFFFF"/>
        </w:rPr>
        <w:t>Finally</w:t>
      </w:r>
      <w:r>
        <w:rPr>
          <w:shd w:val="clear" w:color="auto" w:fill="FFFFFF"/>
        </w:rPr>
        <w:t>, we introduce a variable for the degree</w:t>
      </w:r>
      <w:r>
        <w:t xml:space="preserve"> of tax progressivity, as it is also important to analyse the degree of redistribution via the (progressive) direct income tax system, and </w:t>
      </w:r>
      <w:r w:rsidR="00AF2BAF">
        <w:t>existing</w:t>
      </w:r>
      <w:r>
        <w:t xml:space="preserve"> effects of direct and indirect taxation.</w:t>
      </w:r>
    </w:p>
    <w:p w14:paraId="1629FE8D" w14:textId="0C054B69"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w:t>
      </w:r>
      <w:r w:rsidR="00AF2BAF">
        <w:t>A</w:t>
      </w:r>
      <w:r>
        <w:t xml:space="preserve"> in the Appendix for definitions and sources).</w:t>
      </w:r>
    </w:p>
    <w:p w14:paraId="660BEF53" w14:textId="77777777" w:rsidR="006148EE" w:rsidRDefault="00720711">
      <w:pPr>
        <w:jc w:val="center"/>
      </w:pPr>
      <w:commentRangeStart w:id="5"/>
      <w:r>
        <w:rPr>
          <w:b/>
        </w:rPr>
        <w:t>Table 1. Descriptive statistics and model variables</w:t>
      </w:r>
      <w:commentRangeEnd w:id="5"/>
      <w:r>
        <w:commentReference w:id="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rsidP="00AF2BAF">
      <w:pPr>
        <w:pStyle w:val="Head2"/>
        <w:rPr>
          <w:sz w:val="22"/>
          <w:szCs w:val="22"/>
        </w:rPr>
      </w:pPr>
      <w:r>
        <w:lastRenderedPageBreak/>
        <w:t>The empirical specification of Local Projection</w:t>
      </w:r>
    </w:p>
    <w:p w14:paraId="22DC4E0A" w14:textId="77777777" w:rsidR="006148EE" w:rsidRDefault="006148EE">
      <w:pPr>
        <w:rPr>
          <w:b/>
          <w:sz w:val="22"/>
          <w:szCs w:val="22"/>
        </w:rPr>
      </w:pPr>
    </w:p>
    <w:p w14:paraId="3468D484" w14:textId="01D88FCA" w:rsidR="00EA44CB" w:rsidRDefault="00EA44CB" w:rsidP="002766BB">
      <w:pPr>
        <w:spacing w:after="200" w:line="312" w:lineRule="auto"/>
        <w:jc w:val="both"/>
      </w:pPr>
      <w:r w:rsidRPr="00EA44CB">
        <w:t>As highlighted in Section 1, analysing the relationship between income inequality and growth poses several challenges. Firstly, these two variables may be interconnected, with income inequality influencing growth and vice versa. Failure to address this endogeneity could lead to biased results. Additionally, endogeneity may stem from omitted variables that are correlated with either income inequality or growth. Following the Rubin Causal Model, we incorporate flexible semiparametric features to account for the functional form, enhancing control over observables. This approach provides an alternative when potential instrumental variables for policy interventions are potentially endogenous.</w:t>
      </w:r>
    </w:p>
    <w:p w14:paraId="4562BA6A" w14:textId="74440BF1" w:rsidR="006148EE" w:rsidRDefault="00AC0817" w:rsidP="002766BB">
      <w:pPr>
        <w:spacing w:after="200" w:line="312" w:lineRule="auto"/>
        <w:jc w:val="both"/>
      </w:pPr>
      <w:r w:rsidRPr="00AC0817">
        <w:t>We utilize an unbalanced panel dataset spanning 23 developed countries from 1990</w:t>
      </w:r>
      <w:r>
        <w:t>-</w:t>
      </w:r>
      <w:r w:rsidRPr="00AC0817">
        <w:t>2018 and apply a dynamic LP model. LPs serve as a convenient foundation for extending existing estimation methods. This unified framework facilitates comparison across various nested estimation strategies. LPs offer a flexible semi-parametric regression control approach for estimating dynamic multipliers. Traditional econometric methods like ordinary least squares (OLS) rely on mean parameter estimates, overlooking distribution characteristics and failing to properly capture the dynamic interaction between fiscal policies and inequality. In contrast, LPs are efficient to model misspecification, enabling a more accurate identification of the relationship between economic fiscal policies, growth, and inequality. Thus, our paper contributes to illuminating this relationship</w:t>
      </w:r>
      <w:r w:rsidR="00720711">
        <w:t xml:space="preserve">. </w:t>
      </w:r>
    </w:p>
    <w:p w14:paraId="2C8CEE79" w14:textId="79276407" w:rsidR="005F5127" w:rsidRDefault="00E32DDB" w:rsidP="002766BB">
      <w:pPr>
        <w:spacing w:after="200" w:line="312" w:lineRule="auto"/>
        <w:jc w:val="both"/>
      </w:pPr>
      <w:r>
        <w:t>T</w:t>
      </w:r>
      <w:r w:rsidRPr="00E32DDB">
        <w:t xml:space="preserve">o establish a benchmark estimating equation mirroring </w:t>
      </w:r>
      <w:r>
        <w:t>a</w:t>
      </w:r>
      <w:r w:rsidRPr="00E32DDB">
        <w:t xml:space="preserve"> standard regression, we present the LP impulse response function</w:t>
      </w:r>
      <w:r>
        <w:t xml:space="preserve"> </w:t>
      </w:r>
      <w:r w:rsidRPr="00E32DDB">
        <w:t xml:space="preserve">of </w:t>
      </w:r>
      <w:proofErr w:type="spellStart"/>
      <w:r w:rsidRPr="00E32DDB">
        <w:rPr>
          <w:i/>
          <w:iCs/>
        </w:rPr>
        <w:t>y</w:t>
      </w:r>
      <w:r w:rsidRPr="00E32DDB">
        <w:rPr>
          <w:i/>
          <w:iCs/>
          <w:vertAlign w:val="subscript"/>
        </w:rPr>
        <w:t>t</w:t>
      </w:r>
      <w:proofErr w:type="spellEnd"/>
      <w:r w:rsidRPr="00E32DDB">
        <w:t xml:space="preserve"> with respect to </w:t>
      </w:r>
      <w:r w:rsidRPr="00E32DDB">
        <w:rPr>
          <w:i/>
          <w:iCs/>
        </w:rPr>
        <w:t>D</w:t>
      </w:r>
      <w:r w:rsidRPr="00E32DDB">
        <w:rPr>
          <w:i/>
          <w:iCs/>
          <w:vertAlign w:val="subscript"/>
        </w:rPr>
        <w:t>i</w:t>
      </w:r>
      <w:r w:rsidRPr="00E32DDB">
        <w:t xml:space="preserve">, </w:t>
      </w:r>
      <w:proofErr w:type="spellStart"/>
      <w:r w:rsidRPr="00E32DDB">
        <w:rPr>
          <w:i/>
          <w:iCs/>
        </w:rPr>
        <w:t>x</w:t>
      </w:r>
      <w:r w:rsidRPr="00E32DDB">
        <w:rPr>
          <w:i/>
          <w:iCs/>
          <w:vertAlign w:val="subscript"/>
        </w:rPr>
        <w:t>t</w:t>
      </w:r>
      <w:proofErr w:type="spellEnd"/>
      <w:r w:rsidRPr="00E32DDB">
        <w:t xml:space="preserve"> are given by (β</w:t>
      </w:r>
      <w:r w:rsidRPr="00E32DDB">
        <w:rPr>
          <w:vertAlign w:val="subscript"/>
        </w:rPr>
        <w:t>h</w:t>
      </w:r>
      <w:r w:rsidRPr="00E32DDB">
        <w:t>)</w:t>
      </w:r>
      <w:r>
        <w:t xml:space="preserve"> </w:t>
      </w:r>
      <w:r w:rsidRPr="00E32DDB">
        <w:t>h≥0, and δ in Eq. (1)</w:t>
      </w:r>
      <w:r w:rsidR="005F5127">
        <w:t>:</w:t>
      </w:r>
    </w:p>
    <w:p w14:paraId="44CC0039" w14:textId="0BA5A084" w:rsidR="003F77CF" w:rsidRDefault="00B72023"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3CF11D80" w:rsidR="006148EE" w:rsidRDefault="00E67E2E" w:rsidP="002766BB">
      <w:pPr>
        <w:spacing w:after="200" w:line="312" w:lineRule="auto"/>
        <w:jc w:val="both"/>
      </w:pPr>
      <w:r>
        <w:t>for h = 1</w:t>
      </w:r>
      <w:r w:rsidR="00E32DDB">
        <w:t xml:space="preserve"> until</w:t>
      </w:r>
      <w:r>
        <w:t xml:space="preserve"> </w:t>
      </w:r>
      <w:r w:rsidR="00924D68">
        <w:t>4</w:t>
      </w:r>
      <w:r>
        <w:t xml:space="preserve">, and where </w:t>
      </w:r>
      <w:proofErr w:type="spellStart"/>
      <w:proofErr w:type="gramStart"/>
      <w:r w:rsidRPr="00E32DDB">
        <w:rPr>
          <w:i/>
          <w:iCs/>
        </w:rPr>
        <w:t>y</w:t>
      </w:r>
      <w:r w:rsidRPr="00E32DDB">
        <w:rPr>
          <w:i/>
          <w:iCs/>
          <w:vertAlign w:val="subscript"/>
        </w:rPr>
        <w:t>i,t</w:t>
      </w:r>
      <w:proofErr w:type="gramEnd"/>
      <w:r w:rsidRPr="00E32DDB">
        <w:rPr>
          <w:i/>
          <w:iCs/>
          <w:vertAlign w:val="subscript"/>
        </w:rPr>
        <w:t>+h</w:t>
      </w:r>
      <w:proofErr w:type="spellEnd"/>
      <w:r w:rsidRPr="00E32DDB">
        <w:rPr>
          <w:i/>
          <w:iCs/>
        </w:rPr>
        <w:t xml:space="preserve"> − </w:t>
      </w:r>
      <w:proofErr w:type="spellStart"/>
      <w:r w:rsidRPr="00E32DDB">
        <w:rPr>
          <w:i/>
          <w:iCs/>
        </w:rPr>
        <w:t>y</w:t>
      </w:r>
      <w:r w:rsidRPr="00E32DDB">
        <w:rPr>
          <w:i/>
          <w:iCs/>
          <w:vertAlign w:val="subscript"/>
        </w:rPr>
        <w:t>i,t</w:t>
      </w:r>
      <w:proofErr w:type="spellEnd"/>
      <w:r>
        <w:t xml:space="preserve"> denotes the cumulative change from time </w:t>
      </w:r>
      <w:r w:rsidRPr="00E32DDB">
        <w:rPr>
          <w:i/>
          <w:iCs/>
        </w:rPr>
        <w:t>t</w:t>
      </w:r>
      <w:r>
        <w:t xml:space="preserve"> to </w:t>
      </w:r>
      <w:r w:rsidRPr="00E32DDB">
        <w:rPr>
          <w:i/>
          <w:iCs/>
        </w:rPr>
        <w:t>t</w:t>
      </w:r>
      <w:r w:rsidR="00E32DDB" w:rsidRPr="00E32DDB">
        <w:rPr>
          <w:i/>
          <w:iCs/>
        </w:rPr>
        <w:t xml:space="preserve"> </w:t>
      </w:r>
      <w:r w:rsidRPr="00E32DDB">
        <w:rPr>
          <w:i/>
          <w:iCs/>
        </w:rPr>
        <w:t>+</w:t>
      </w:r>
      <w:r w:rsidR="00E32DDB" w:rsidRPr="00E32DDB">
        <w:rPr>
          <w:i/>
          <w:iCs/>
        </w:rPr>
        <w:t xml:space="preserve"> </w:t>
      </w:r>
      <w:r w:rsidRPr="00E32DDB">
        <w:rPr>
          <w:i/>
          <w:iCs/>
        </w:rPr>
        <w:t>h</w:t>
      </w:r>
      <w:r>
        <w:t xml:space="preserve"> in the log of </w:t>
      </w:r>
      <w:r w:rsidR="00E32DDB">
        <w:t>Gini net index</w:t>
      </w:r>
      <w:r>
        <w:t xml:space="preserve">, the </w:t>
      </w:r>
      <m:oMath>
        <m:sSubSup>
          <m:sSubSupPr>
            <m:ctrlPr>
              <w:rPr>
                <w:rFonts w:ascii="Cambria Math" w:hAnsi="Cambria Math"/>
                <w:iCs/>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w:t>
      </w:r>
      <w:proofErr w:type="spellStart"/>
      <w:r w:rsidRPr="00242543">
        <w:rPr>
          <w:i/>
          <w:iCs/>
        </w:rPr>
        <w:t>D</w:t>
      </w:r>
      <w:r w:rsidRPr="00242543">
        <w:rPr>
          <w:i/>
          <w:iCs/>
          <w:vertAlign w:val="subscript"/>
        </w:rPr>
        <w:t>i,t</w:t>
      </w:r>
      <w:proofErr w:type="spellEnd"/>
      <w:r>
        <w:t xml:space="preserve"> denotes the </w:t>
      </w:r>
      <w:r w:rsidR="002D4EDB">
        <w:t>differen</w:t>
      </w:r>
      <w:r w:rsidR="00242543">
        <w:t>t</w:t>
      </w:r>
      <w:r w:rsidR="002D4EDB">
        <w:t xml:space="preserve"> fiscal</w:t>
      </w:r>
      <w:r>
        <w:t xml:space="preserve"> policy variable</w:t>
      </w:r>
      <w:r w:rsidR="00242543">
        <w:t>s</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242543">
        <w:t xml:space="preserve">are real GDP </w:t>
      </w:r>
      <w:r w:rsidR="00E9731D">
        <w:t>growth</w:t>
      </w:r>
      <w:r w:rsidR="00242543">
        <w:t>,</w:t>
      </w:r>
      <w:r w:rsidR="00E9731D">
        <w:t xml:space="preserve"> government expenditure</w:t>
      </w:r>
      <w:r w:rsidR="00242543">
        <w:t>, among other variables</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 xml:space="preserve">Notice that we do not require </w:t>
      </w:r>
      <w:proofErr w:type="spellStart"/>
      <w:r w:rsidR="00310C3F" w:rsidRPr="00242543">
        <w:rPr>
          <w:i/>
          <w:iCs/>
        </w:rPr>
        <w:t>x</w:t>
      </w:r>
      <w:r w:rsidR="00310C3F" w:rsidRPr="00242543">
        <w:rPr>
          <w:i/>
          <w:iCs/>
          <w:vertAlign w:val="subscript"/>
        </w:rPr>
        <w:t>t</w:t>
      </w:r>
      <w:proofErr w:type="spellEnd"/>
      <w:r w:rsidR="00310C3F" w:rsidRPr="00310C3F">
        <w:t xml:space="preserve"> to be a predetermined “shock” variable</w:t>
      </w:r>
      <w:r w:rsidR="00310C3F">
        <w:t>.</w:t>
      </w:r>
      <w:r w:rsidR="00924D68">
        <w:t xml:space="preserve"> </w:t>
      </w:r>
      <w:r w:rsidR="00924D68" w:rsidRPr="00924D68">
        <w:t>Finally, to control for reversion to the potential output trend</w:t>
      </w:r>
      <w:r w:rsidR="00924D68">
        <w:t>,</w:t>
      </w:r>
      <w:r w:rsidR="00924D68" w:rsidRPr="00924D68">
        <w:t xml:space="preserve"> the output gap, denoting the cyclical component of GDP, estimated by deviations of log real GDP from an HP trend with a smoothing parameter of 100.</w:t>
      </w:r>
    </w:p>
    <w:p w14:paraId="47E98C0E" w14:textId="30073FE2" w:rsidR="009117D7" w:rsidRDefault="00242543" w:rsidP="002766BB">
      <w:pPr>
        <w:spacing w:after="200" w:line="312" w:lineRule="auto"/>
        <w:jc w:val="both"/>
      </w:pPr>
      <w:r w:rsidRPr="00242543">
        <w:t xml:space="preserve">Instead, we establish a temporal ordering on the variable set to estimate the function that transitions the current distribution into parameters defining the subsequent period distribution, given vector </w:t>
      </w:r>
      <w:proofErr w:type="spellStart"/>
      <w:r w:rsidRPr="00242543">
        <w:rPr>
          <w:i/>
          <w:iCs/>
        </w:rPr>
        <w:t>x</w:t>
      </w:r>
      <w:r w:rsidRPr="00242543">
        <w:rPr>
          <w:i/>
          <w:iCs/>
          <w:vertAlign w:val="subscript"/>
        </w:rPr>
        <w:t>t</w:t>
      </w:r>
      <w:r w:rsidRPr="00242543">
        <w:t>.</w:t>
      </w:r>
      <w:proofErr w:type="spellEnd"/>
      <w:r w:rsidRPr="00242543">
        <w:t xml:space="preserve"> For instance, consider the Gini net index, which remains unchanged within the period in </w:t>
      </w:r>
      <w:r w:rsidRPr="00242543">
        <w:lastRenderedPageBreak/>
        <w:t>response to shifts in fiscal policies and growth.</w:t>
      </w:r>
      <w:r w:rsidR="000C75B5">
        <w:t xml:space="preserve"> </w:t>
      </w:r>
      <w:r w:rsidR="009117D7" w:rsidRPr="000C75B5">
        <w:t>Intuitively</w:t>
      </w:r>
      <w:r w:rsidR="009117D7">
        <w:t xml:space="preserve">, this projection uncovers the linear combination of the data that best explains long-run movements in the </w:t>
      </w:r>
      <w:r w:rsidR="000C75B5">
        <w:t>income inequality</w:t>
      </w:r>
      <w:r w:rsidR="009117D7">
        <w:t xml:space="preserve"> index. </w:t>
      </w:r>
    </w:p>
    <w:p w14:paraId="644B5304" w14:textId="1716DA5B"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w:t>
      </w:r>
      <w:r w:rsidR="000C1452">
        <w:t>W</w:t>
      </w:r>
      <w:r>
        <w:t xml:space="preserve">e can infer dynamic </w:t>
      </w:r>
      <w:r w:rsidR="00667E9F">
        <w:t>properties</w:t>
      </w:r>
      <w:r>
        <w:t xml:space="preserve"> captur</w:t>
      </w:r>
      <w:r w:rsidR="000C1452">
        <w:t>ing</w:t>
      </w:r>
      <w:r>
        <w:t xml:space="preserve"> the effects of the changes of income and inequality over time influenced by growth and changes in the fiscal side. </w:t>
      </w:r>
      <w:r w:rsidR="000C1452">
        <w:t>Also</w:t>
      </w:r>
      <w:r>
        <w:t>, we can characterize the relationships between fiscal policies, growth and inequality via dynamic responses</w:t>
      </w:r>
      <w:r w:rsidR="000C1452">
        <w:t>.</w:t>
      </w:r>
      <w:r>
        <w:t xml:space="preserve"> </w:t>
      </w:r>
    </w:p>
    <w:p w14:paraId="38BCB232" w14:textId="62A3270F" w:rsidR="006148EE" w:rsidRDefault="00CF5BF8" w:rsidP="002766BB">
      <w:pPr>
        <w:spacing w:after="200" w:line="312" w:lineRule="auto"/>
        <w:jc w:val="both"/>
      </w:pPr>
      <w:r w:rsidRPr="00CF5BF8">
        <w:t>One of the objectives of our paper is to test extended specifications that examine the influence of additional fiscal instruments commonly discussed in the literature (</w:t>
      </w:r>
      <w:proofErr w:type="spellStart"/>
      <w:r w:rsidRPr="00CF5BF8">
        <w:t>Cingano</w:t>
      </w:r>
      <w:proofErr w:type="spellEnd"/>
      <w:r w:rsidRPr="00CF5BF8">
        <w:t xml:space="preserve">, 2014; </w:t>
      </w:r>
      <w:proofErr w:type="spellStart"/>
      <w:r w:rsidRPr="00CF5BF8">
        <w:t>Doerrenberg</w:t>
      </w:r>
      <w:proofErr w:type="spellEnd"/>
      <w:r w:rsidRPr="00CF5BF8">
        <w:t xml:space="preserve"> and </w:t>
      </w:r>
      <w:proofErr w:type="spellStart"/>
      <w:r w:rsidRPr="00CF5BF8">
        <w:t>Peichl</w:t>
      </w:r>
      <w:proofErr w:type="spellEnd"/>
      <w:r w:rsidRPr="00CF5BF8">
        <w:t xml:space="preserve">, 2014; </w:t>
      </w:r>
      <w:proofErr w:type="spellStart"/>
      <w:r w:rsidRPr="00CF5BF8">
        <w:t>Muinelo</w:t>
      </w:r>
      <w:proofErr w:type="spellEnd"/>
      <w:r w:rsidRPr="00CF5BF8">
        <w:t>-Gallo and Roca-</w:t>
      </w:r>
      <w:proofErr w:type="spellStart"/>
      <w:r w:rsidRPr="00CF5BF8">
        <w:t>Segalés</w:t>
      </w:r>
      <w:proofErr w:type="spellEnd"/>
      <w:r w:rsidRPr="00CF5BF8">
        <w:t>, 2013), such as government transfers and taxation. Specifically, we explore the impact of income tax progressivity, as well as the effects of both direct and indirect taxation. We hypothesize that the Gini net index is likely to contemporaneously respond to the group of fiscal policy variables.</w:t>
      </w:r>
    </w:p>
    <w:p w14:paraId="7F71750F" w14:textId="6C782703" w:rsidR="00F8193A" w:rsidRPr="0006603D" w:rsidRDefault="00A80391" w:rsidP="002766BB">
      <w:pPr>
        <w:spacing w:after="200" w:line="312" w:lineRule="auto"/>
        <w:jc w:val="both"/>
        <w:rPr>
          <w:highlight w:val="yellow"/>
        </w:rPr>
      </w:pPr>
      <w:r w:rsidRPr="00A80391">
        <w:t>Furthermore, a notable strength of our paper lies in the extensive time span covered by our dataset. We leverage the panel structure of the data, which isn't adequately captured in a conventional VAR estimation. Additionally, we focus our analysis on shocks, particularly changes in GDP growth, to examine "booms and busts" episodes. However, conditioning our analysis on the state of the economy, we observe that this outcome is primarily influenced by actions taken during economic booms. The positive impacts of fiscal consolidation diminish during economic downturns.</w:t>
      </w:r>
    </w:p>
    <w:p w14:paraId="1E8603E2" w14:textId="28162C33" w:rsidR="006148EE" w:rsidRDefault="004756E4" w:rsidP="00CA0D94">
      <w:pPr>
        <w:pStyle w:val="Head2"/>
      </w:pPr>
      <w:commentRangeStart w:id="6"/>
      <w:r w:rsidRPr="00CA0D94">
        <w:rPr>
          <w:highlight w:val="yellow"/>
        </w:rPr>
        <w:t xml:space="preserve">Fiscal policies and Inequality: </w:t>
      </w:r>
      <w:r w:rsidR="00CA0D94" w:rsidRPr="00CA0D94">
        <w:rPr>
          <w:highlight w:val="yellow"/>
        </w:rPr>
        <w:t xml:space="preserve">OLS and XXX </w:t>
      </w:r>
      <w:r w:rsidRPr="00CA0D94">
        <w:rPr>
          <w:highlight w:val="yellow"/>
        </w:rPr>
        <w:t>Results</w:t>
      </w:r>
      <w:commentRangeEnd w:id="6"/>
      <w:r w:rsidR="00CA0D94">
        <w:rPr>
          <w:rStyle w:val="CommentReference"/>
          <w:rFonts w:eastAsia="Times New Roman"/>
          <w:b w:val="0"/>
          <w:lang w:val="en-GB" w:eastAsia="en-GB"/>
        </w:rPr>
        <w:commentReference w:id="6"/>
      </w:r>
    </w:p>
    <w:p w14:paraId="192398CD" w14:textId="44A69DC7" w:rsidR="001948B7" w:rsidRDefault="00080028" w:rsidP="00080028">
      <w:pPr>
        <w:spacing w:after="200" w:line="312" w:lineRule="auto"/>
        <w:jc w:val="both"/>
      </w:pPr>
      <w:r w:rsidRPr="00080028">
        <w:t>Our first estimates use OLS estimation with the LP methodology, based on what is the traditional variable in the literature, the Gini net. The LP is done from year 0, when a policy change is assumed to be implemented or executed. Table 1 shows the LP output forecast until year 4, and the sum of these changes on Gini across all of those four years.</w:t>
      </w:r>
    </w:p>
    <w:p w14:paraId="46FFC28B" w14:textId="77777777" w:rsidR="0037236D" w:rsidRDefault="0037236D" w:rsidP="00080028">
      <w:pPr>
        <w:spacing w:after="200" w:line="312" w:lineRule="auto"/>
        <w:jc w:val="both"/>
      </w:pPr>
    </w:p>
    <w:tbl>
      <w:tblPr>
        <w:tblW w:w="0" w:type="auto"/>
        <w:jc w:val="center"/>
        <w:tblLook w:val="0000" w:firstRow="0" w:lastRow="0" w:firstColumn="0" w:lastColumn="0" w:noHBand="0" w:noVBand="0"/>
      </w:tblPr>
      <w:tblGrid>
        <w:gridCol w:w="1627"/>
        <w:gridCol w:w="1351"/>
        <w:gridCol w:w="1134"/>
        <w:gridCol w:w="1134"/>
        <w:gridCol w:w="966"/>
        <w:gridCol w:w="966"/>
      </w:tblGrid>
      <w:tr w:rsidR="00093048" w:rsidRPr="005A3C33" w14:paraId="693CA510" w14:textId="77777777" w:rsidTr="00093048">
        <w:trPr>
          <w:jc w:val="center"/>
        </w:trPr>
        <w:tc>
          <w:tcPr>
            <w:tcW w:w="7178" w:type="dxa"/>
            <w:gridSpan w:val="6"/>
            <w:tcBorders>
              <w:left w:val="nil"/>
              <w:right w:val="nil"/>
            </w:tcBorders>
          </w:tcPr>
          <w:p w14:paraId="039AEB2C" w14:textId="0C615867" w:rsidR="00093048" w:rsidRPr="001948B7" w:rsidRDefault="00093048" w:rsidP="0065213E">
            <w:pPr>
              <w:widowControl w:val="0"/>
              <w:autoSpaceDE w:val="0"/>
              <w:autoSpaceDN w:val="0"/>
              <w:adjustRightInd w:val="0"/>
              <w:jc w:val="center"/>
              <w:rPr>
                <w:b/>
                <w:bCs/>
                <w:sz w:val="22"/>
                <w:szCs w:val="22"/>
                <w:lang w:val="en-US"/>
              </w:rPr>
            </w:pPr>
            <w:r>
              <w:rPr>
                <w:b/>
                <w:bCs/>
                <w:sz w:val="22"/>
                <w:szCs w:val="22"/>
                <w:lang w:val="en-US"/>
              </w:rPr>
              <w:t xml:space="preserve">Table 1. Effect of Fiscal policies, OLS estimates </w:t>
            </w:r>
          </w:p>
        </w:tc>
      </w:tr>
      <w:tr w:rsidR="001948B7" w:rsidRPr="005A3C33" w14:paraId="69759750" w14:textId="77777777" w:rsidTr="001948B7">
        <w:trPr>
          <w:jc w:val="center"/>
        </w:trPr>
        <w:tc>
          <w:tcPr>
            <w:tcW w:w="0" w:type="auto"/>
            <w:tcBorders>
              <w:top w:val="single" w:sz="4" w:space="0" w:color="auto"/>
              <w:left w:val="nil"/>
              <w:right w:val="nil"/>
            </w:tcBorders>
          </w:tcPr>
          <w:p w14:paraId="4B43AC90" w14:textId="77777777" w:rsidR="001948B7" w:rsidRPr="005A3C33" w:rsidRDefault="001948B7" w:rsidP="0065213E">
            <w:pPr>
              <w:widowControl w:val="0"/>
              <w:autoSpaceDE w:val="0"/>
              <w:autoSpaceDN w:val="0"/>
              <w:adjustRightInd w:val="0"/>
              <w:rPr>
                <w:lang w:val="en-US"/>
              </w:rPr>
            </w:pPr>
          </w:p>
        </w:tc>
        <w:tc>
          <w:tcPr>
            <w:tcW w:w="1351" w:type="dxa"/>
            <w:tcBorders>
              <w:top w:val="single" w:sz="4" w:space="0" w:color="auto"/>
              <w:left w:val="nil"/>
              <w:right w:val="nil"/>
            </w:tcBorders>
          </w:tcPr>
          <w:p w14:paraId="7E3FECFF"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(1)</w:t>
            </w:r>
          </w:p>
        </w:tc>
        <w:tc>
          <w:tcPr>
            <w:tcW w:w="1134" w:type="dxa"/>
            <w:tcBorders>
              <w:top w:val="single" w:sz="4" w:space="0" w:color="auto"/>
              <w:left w:val="nil"/>
              <w:right w:val="nil"/>
            </w:tcBorders>
          </w:tcPr>
          <w:p w14:paraId="7573E6EC"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(2)</w:t>
            </w:r>
          </w:p>
        </w:tc>
        <w:tc>
          <w:tcPr>
            <w:tcW w:w="1134" w:type="dxa"/>
            <w:tcBorders>
              <w:top w:val="single" w:sz="4" w:space="0" w:color="auto"/>
              <w:left w:val="nil"/>
              <w:right w:val="nil"/>
            </w:tcBorders>
          </w:tcPr>
          <w:p w14:paraId="7A6EE856"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(3)</w:t>
            </w:r>
          </w:p>
        </w:tc>
        <w:tc>
          <w:tcPr>
            <w:tcW w:w="966" w:type="dxa"/>
            <w:tcBorders>
              <w:top w:val="single" w:sz="4" w:space="0" w:color="auto"/>
              <w:left w:val="nil"/>
              <w:right w:val="nil"/>
            </w:tcBorders>
          </w:tcPr>
          <w:p w14:paraId="0BD42E25"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(4)</w:t>
            </w:r>
          </w:p>
        </w:tc>
        <w:tc>
          <w:tcPr>
            <w:tcW w:w="966" w:type="dxa"/>
            <w:tcBorders>
              <w:top w:val="single" w:sz="4" w:space="0" w:color="auto"/>
              <w:left w:val="nil"/>
              <w:right w:val="nil"/>
            </w:tcBorders>
          </w:tcPr>
          <w:p w14:paraId="65FB0181"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(5)</w:t>
            </w:r>
          </w:p>
        </w:tc>
      </w:tr>
      <w:tr w:rsidR="001948B7" w:rsidRPr="005A3C33" w14:paraId="6A7B3274" w14:textId="77777777" w:rsidTr="001948B7">
        <w:trPr>
          <w:jc w:val="center"/>
        </w:trPr>
        <w:tc>
          <w:tcPr>
            <w:tcW w:w="0" w:type="auto"/>
            <w:tcBorders>
              <w:top w:val="nil"/>
              <w:left w:val="nil"/>
              <w:bottom w:val="single" w:sz="4" w:space="0" w:color="auto"/>
              <w:right w:val="nil"/>
            </w:tcBorders>
          </w:tcPr>
          <w:p w14:paraId="5F3AD604" w14:textId="77777777" w:rsidR="001948B7" w:rsidRPr="005A3C33" w:rsidRDefault="001948B7" w:rsidP="0065213E">
            <w:pPr>
              <w:widowControl w:val="0"/>
              <w:autoSpaceDE w:val="0"/>
              <w:autoSpaceDN w:val="0"/>
              <w:adjustRightInd w:val="0"/>
              <w:rPr>
                <w:lang w:val="en-US"/>
              </w:rPr>
            </w:pPr>
          </w:p>
        </w:tc>
        <w:tc>
          <w:tcPr>
            <w:tcW w:w="1351" w:type="dxa"/>
            <w:tcBorders>
              <w:top w:val="nil"/>
              <w:left w:val="nil"/>
              <w:bottom w:val="single" w:sz="4" w:space="0" w:color="auto"/>
              <w:right w:val="nil"/>
            </w:tcBorders>
          </w:tcPr>
          <w:p w14:paraId="6F313E41"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Year 1</w:t>
            </w:r>
          </w:p>
        </w:tc>
        <w:tc>
          <w:tcPr>
            <w:tcW w:w="1134" w:type="dxa"/>
            <w:tcBorders>
              <w:top w:val="nil"/>
              <w:left w:val="nil"/>
              <w:bottom w:val="single" w:sz="4" w:space="0" w:color="auto"/>
              <w:right w:val="nil"/>
            </w:tcBorders>
          </w:tcPr>
          <w:p w14:paraId="4F2E258B"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Year 2</w:t>
            </w:r>
          </w:p>
        </w:tc>
        <w:tc>
          <w:tcPr>
            <w:tcW w:w="1134" w:type="dxa"/>
            <w:tcBorders>
              <w:top w:val="nil"/>
              <w:left w:val="nil"/>
              <w:bottom w:val="single" w:sz="4" w:space="0" w:color="auto"/>
              <w:right w:val="nil"/>
            </w:tcBorders>
          </w:tcPr>
          <w:p w14:paraId="38632EEC"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Year 3</w:t>
            </w:r>
          </w:p>
        </w:tc>
        <w:tc>
          <w:tcPr>
            <w:tcW w:w="966" w:type="dxa"/>
            <w:tcBorders>
              <w:top w:val="nil"/>
              <w:left w:val="nil"/>
              <w:bottom w:val="single" w:sz="4" w:space="0" w:color="auto"/>
              <w:right w:val="nil"/>
            </w:tcBorders>
          </w:tcPr>
          <w:p w14:paraId="500BDD03"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Year 4</w:t>
            </w:r>
          </w:p>
        </w:tc>
        <w:tc>
          <w:tcPr>
            <w:tcW w:w="966" w:type="dxa"/>
            <w:tcBorders>
              <w:top w:val="nil"/>
              <w:left w:val="nil"/>
              <w:bottom w:val="single" w:sz="4" w:space="0" w:color="auto"/>
              <w:right w:val="nil"/>
            </w:tcBorders>
          </w:tcPr>
          <w:p w14:paraId="722AAEA7" w14:textId="77777777" w:rsidR="001948B7" w:rsidRPr="001948B7" w:rsidRDefault="001948B7" w:rsidP="0065213E">
            <w:pPr>
              <w:widowControl w:val="0"/>
              <w:autoSpaceDE w:val="0"/>
              <w:autoSpaceDN w:val="0"/>
              <w:adjustRightInd w:val="0"/>
              <w:jc w:val="center"/>
              <w:rPr>
                <w:b/>
                <w:bCs/>
                <w:sz w:val="22"/>
                <w:szCs w:val="22"/>
                <w:lang w:val="en-US"/>
              </w:rPr>
            </w:pPr>
            <w:r w:rsidRPr="001948B7">
              <w:rPr>
                <w:b/>
                <w:bCs/>
                <w:sz w:val="22"/>
                <w:szCs w:val="22"/>
                <w:lang w:val="en-US"/>
              </w:rPr>
              <w:t>Sum</w:t>
            </w:r>
          </w:p>
        </w:tc>
      </w:tr>
      <w:tr w:rsidR="001948B7" w:rsidRPr="005A3C33" w14:paraId="02D4F843" w14:textId="77777777" w:rsidTr="001948B7">
        <w:trPr>
          <w:jc w:val="center"/>
        </w:trPr>
        <w:tc>
          <w:tcPr>
            <w:tcW w:w="0" w:type="auto"/>
            <w:tcBorders>
              <w:top w:val="single" w:sz="4" w:space="0" w:color="auto"/>
              <w:left w:val="nil"/>
              <w:bottom w:val="nil"/>
              <w:right w:val="nil"/>
            </w:tcBorders>
          </w:tcPr>
          <w:p w14:paraId="134B7AAA" w14:textId="77777777" w:rsidR="001948B7" w:rsidRPr="005A3C33" w:rsidRDefault="001948B7" w:rsidP="0065213E">
            <w:pPr>
              <w:widowControl w:val="0"/>
              <w:autoSpaceDE w:val="0"/>
              <w:autoSpaceDN w:val="0"/>
              <w:adjustRightInd w:val="0"/>
              <w:rPr>
                <w:lang w:val="en-US"/>
              </w:rPr>
            </w:pPr>
          </w:p>
        </w:tc>
        <w:tc>
          <w:tcPr>
            <w:tcW w:w="1351" w:type="dxa"/>
            <w:tcBorders>
              <w:top w:val="single" w:sz="4" w:space="0" w:color="auto"/>
              <w:left w:val="nil"/>
              <w:bottom w:val="nil"/>
              <w:right w:val="nil"/>
            </w:tcBorders>
          </w:tcPr>
          <w:p w14:paraId="51AD7C29" w14:textId="77777777" w:rsidR="001948B7" w:rsidRPr="005A3C33" w:rsidRDefault="001948B7" w:rsidP="0065213E">
            <w:pPr>
              <w:widowControl w:val="0"/>
              <w:autoSpaceDE w:val="0"/>
              <w:autoSpaceDN w:val="0"/>
              <w:adjustRightInd w:val="0"/>
              <w:jc w:val="center"/>
              <w:rPr>
                <w:lang w:val="en-US"/>
              </w:rPr>
            </w:pPr>
          </w:p>
        </w:tc>
        <w:tc>
          <w:tcPr>
            <w:tcW w:w="1134" w:type="dxa"/>
            <w:tcBorders>
              <w:top w:val="single" w:sz="4" w:space="0" w:color="auto"/>
              <w:left w:val="nil"/>
              <w:bottom w:val="nil"/>
              <w:right w:val="nil"/>
            </w:tcBorders>
          </w:tcPr>
          <w:p w14:paraId="078117C6" w14:textId="77777777" w:rsidR="001948B7" w:rsidRPr="005A3C33" w:rsidRDefault="001948B7" w:rsidP="0065213E">
            <w:pPr>
              <w:widowControl w:val="0"/>
              <w:autoSpaceDE w:val="0"/>
              <w:autoSpaceDN w:val="0"/>
              <w:adjustRightInd w:val="0"/>
              <w:jc w:val="center"/>
              <w:rPr>
                <w:lang w:val="en-US"/>
              </w:rPr>
            </w:pPr>
          </w:p>
        </w:tc>
        <w:tc>
          <w:tcPr>
            <w:tcW w:w="1134" w:type="dxa"/>
            <w:tcBorders>
              <w:top w:val="single" w:sz="4" w:space="0" w:color="auto"/>
              <w:left w:val="nil"/>
              <w:bottom w:val="nil"/>
              <w:right w:val="nil"/>
            </w:tcBorders>
          </w:tcPr>
          <w:p w14:paraId="7E79C976" w14:textId="77777777" w:rsidR="001948B7" w:rsidRPr="005A3C33" w:rsidRDefault="001948B7" w:rsidP="0065213E">
            <w:pPr>
              <w:widowControl w:val="0"/>
              <w:autoSpaceDE w:val="0"/>
              <w:autoSpaceDN w:val="0"/>
              <w:adjustRightInd w:val="0"/>
              <w:jc w:val="center"/>
              <w:rPr>
                <w:lang w:val="en-US"/>
              </w:rPr>
            </w:pPr>
          </w:p>
        </w:tc>
        <w:tc>
          <w:tcPr>
            <w:tcW w:w="966" w:type="dxa"/>
            <w:tcBorders>
              <w:top w:val="single" w:sz="4" w:space="0" w:color="auto"/>
              <w:left w:val="nil"/>
              <w:bottom w:val="nil"/>
              <w:right w:val="nil"/>
            </w:tcBorders>
          </w:tcPr>
          <w:p w14:paraId="2132BF76" w14:textId="77777777" w:rsidR="001948B7" w:rsidRPr="005A3C33" w:rsidRDefault="001948B7" w:rsidP="0065213E">
            <w:pPr>
              <w:widowControl w:val="0"/>
              <w:autoSpaceDE w:val="0"/>
              <w:autoSpaceDN w:val="0"/>
              <w:adjustRightInd w:val="0"/>
              <w:jc w:val="center"/>
              <w:rPr>
                <w:lang w:val="en-US"/>
              </w:rPr>
            </w:pPr>
          </w:p>
        </w:tc>
        <w:tc>
          <w:tcPr>
            <w:tcW w:w="966" w:type="dxa"/>
            <w:tcBorders>
              <w:top w:val="single" w:sz="4" w:space="0" w:color="auto"/>
              <w:left w:val="nil"/>
              <w:bottom w:val="nil"/>
              <w:right w:val="nil"/>
            </w:tcBorders>
          </w:tcPr>
          <w:p w14:paraId="32E7D4A1" w14:textId="77777777" w:rsidR="001948B7" w:rsidRPr="005A3C33" w:rsidRDefault="001948B7" w:rsidP="0065213E">
            <w:pPr>
              <w:widowControl w:val="0"/>
              <w:autoSpaceDE w:val="0"/>
              <w:autoSpaceDN w:val="0"/>
              <w:adjustRightInd w:val="0"/>
              <w:jc w:val="center"/>
              <w:rPr>
                <w:lang w:val="en-US"/>
              </w:rPr>
            </w:pPr>
          </w:p>
        </w:tc>
      </w:tr>
      <w:tr w:rsidR="001948B7" w:rsidRPr="007854E9" w14:paraId="20D185E2" w14:textId="77777777" w:rsidTr="001948B7">
        <w:trPr>
          <w:jc w:val="center"/>
        </w:trPr>
        <w:tc>
          <w:tcPr>
            <w:tcW w:w="0" w:type="auto"/>
            <w:tcBorders>
              <w:top w:val="nil"/>
              <w:left w:val="nil"/>
              <w:right w:val="nil"/>
            </w:tcBorders>
          </w:tcPr>
          <w:p w14:paraId="3F44D8AA"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Education exp.</w:t>
            </w:r>
          </w:p>
        </w:tc>
        <w:tc>
          <w:tcPr>
            <w:tcW w:w="1351" w:type="dxa"/>
            <w:tcBorders>
              <w:top w:val="nil"/>
              <w:left w:val="nil"/>
              <w:right w:val="nil"/>
            </w:tcBorders>
          </w:tcPr>
          <w:p w14:paraId="4F38BFAF"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-0.0224</w:t>
            </w:r>
          </w:p>
        </w:tc>
        <w:tc>
          <w:tcPr>
            <w:tcW w:w="1134" w:type="dxa"/>
            <w:tcBorders>
              <w:top w:val="nil"/>
              <w:left w:val="nil"/>
              <w:right w:val="nil"/>
            </w:tcBorders>
          </w:tcPr>
          <w:p w14:paraId="4F1E89D2"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-0.00112</w:t>
            </w:r>
          </w:p>
        </w:tc>
        <w:tc>
          <w:tcPr>
            <w:tcW w:w="1134" w:type="dxa"/>
            <w:tcBorders>
              <w:top w:val="nil"/>
              <w:left w:val="nil"/>
              <w:right w:val="nil"/>
            </w:tcBorders>
          </w:tcPr>
          <w:p w14:paraId="619A10AF"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0.00341</w:t>
            </w:r>
          </w:p>
        </w:tc>
        <w:tc>
          <w:tcPr>
            <w:tcW w:w="966" w:type="dxa"/>
            <w:tcBorders>
              <w:top w:val="nil"/>
              <w:left w:val="nil"/>
              <w:right w:val="nil"/>
            </w:tcBorders>
          </w:tcPr>
          <w:p w14:paraId="6E7EE9C8"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0.0147</w:t>
            </w:r>
          </w:p>
        </w:tc>
        <w:tc>
          <w:tcPr>
            <w:tcW w:w="966" w:type="dxa"/>
            <w:tcBorders>
              <w:top w:val="nil"/>
              <w:left w:val="nil"/>
              <w:right w:val="nil"/>
            </w:tcBorders>
          </w:tcPr>
          <w:p w14:paraId="15DB8031"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-0.0355*</w:t>
            </w:r>
          </w:p>
        </w:tc>
      </w:tr>
      <w:tr w:rsidR="001948B7" w:rsidRPr="007854E9" w14:paraId="1B32E0D8" w14:textId="77777777" w:rsidTr="001948B7">
        <w:trPr>
          <w:jc w:val="center"/>
        </w:trPr>
        <w:tc>
          <w:tcPr>
            <w:tcW w:w="0" w:type="auto"/>
            <w:tcBorders>
              <w:top w:val="nil"/>
              <w:left w:val="nil"/>
              <w:bottom w:val="single" w:sz="4" w:space="0" w:color="auto"/>
              <w:right w:val="nil"/>
            </w:tcBorders>
          </w:tcPr>
          <w:p w14:paraId="2109FDC7"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17598A7F"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(-1.34)</w:t>
            </w:r>
          </w:p>
        </w:tc>
        <w:tc>
          <w:tcPr>
            <w:tcW w:w="1134" w:type="dxa"/>
            <w:tcBorders>
              <w:top w:val="nil"/>
              <w:left w:val="nil"/>
              <w:bottom w:val="single" w:sz="4" w:space="0" w:color="auto"/>
              <w:right w:val="nil"/>
            </w:tcBorders>
          </w:tcPr>
          <w:p w14:paraId="6122DD63"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(-0.07)</w:t>
            </w:r>
          </w:p>
        </w:tc>
        <w:tc>
          <w:tcPr>
            <w:tcW w:w="1134" w:type="dxa"/>
            <w:tcBorders>
              <w:top w:val="nil"/>
              <w:left w:val="nil"/>
              <w:bottom w:val="single" w:sz="4" w:space="0" w:color="auto"/>
              <w:right w:val="nil"/>
            </w:tcBorders>
          </w:tcPr>
          <w:p w14:paraId="11940219"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(0.16)</w:t>
            </w:r>
          </w:p>
        </w:tc>
        <w:tc>
          <w:tcPr>
            <w:tcW w:w="966" w:type="dxa"/>
            <w:tcBorders>
              <w:top w:val="nil"/>
              <w:left w:val="nil"/>
              <w:bottom w:val="single" w:sz="4" w:space="0" w:color="auto"/>
              <w:right w:val="nil"/>
            </w:tcBorders>
          </w:tcPr>
          <w:p w14:paraId="76213878"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(1.06)</w:t>
            </w:r>
          </w:p>
        </w:tc>
        <w:tc>
          <w:tcPr>
            <w:tcW w:w="966" w:type="dxa"/>
            <w:tcBorders>
              <w:top w:val="nil"/>
              <w:left w:val="nil"/>
              <w:bottom w:val="single" w:sz="4" w:space="0" w:color="auto"/>
              <w:right w:val="nil"/>
            </w:tcBorders>
          </w:tcPr>
          <w:p w14:paraId="7380470E"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(-1.63)</w:t>
            </w:r>
          </w:p>
        </w:tc>
      </w:tr>
      <w:tr w:rsidR="001948B7" w:rsidRPr="007854E9" w14:paraId="46D36B2B" w14:textId="77777777" w:rsidTr="001948B7">
        <w:trPr>
          <w:jc w:val="center"/>
        </w:trPr>
        <w:tc>
          <w:tcPr>
            <w:tcW w:w="0" w:type="auto"/>
            <w:tcBorders>
              <w:top w:val="single" w:sz="4" w:space="0" w:color="auto"/>
              <w:left w:val="nil"/>
              <w:right w:val="nil"/>
            </w:tcBorders>
          </w:tcPr>
          <w:p w14:paraId="09E88295"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Health exp.</w:t>
            </w:r>
          </w:p>
        </w:tc>
        <w:tc>
          <w:tcPr>
            <w:tcW w:w="1351" w:type="dxa"/>
            <w:tcBorders>
              <w:top w:val="single" w:sz="4" w:space="0" w:color="auto"/>
              <w:left w:val="nil"/>
              <w:right w:val="nil"/>
            </w:tcBorders>
          </w:tcPr>
          <w:p w14:paraId="37E645E0"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-0.00938</w:t>
            </w:r>
          </w:p>
        </w:tc>
        <w:tc>
          <w:tcPr>
            <w:tcW w:w="1134" w:type="dxa"/>
            <w:tcBorders>
              <w:top w:val="single" w:sz="4" w:space="0" w:color="auto"/>
              <w:left w:val="nil"/>
              <w:right w:val="nil"/>
            </w:tcBorders>
          </w:tcPr>
          <w:p w14:paraId="1813819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0.0132</w:t>
            </w:r>
          </w:p>
        </w:tc>
        <w:tc>
          <w:tcPr>
            <w:tcW w:w="1134" w:type="dxa"/>
            <w:tcBorders>
              <w:top w:val="single" w:sz="4" w:space="0" w:color="auto"/>
              <w:left w:val="nil"/>
              <w:right w:val="nil"/>
            </w:tcBorders>
          </w:tcPr>
          <w:p w14:paraId="3F601257"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0.00527</w:t>
            </w:r>
          </w:p>
        </w:tc>
        <w:tc>
          <w:tcPr>
            <w:tcW w:w="966" w:type="dxa"/>
            <w:tcBorders>
              <w:top w:val="single" w:sz="4" w:space="0" w:color="auto"/>
              <w:left w:val="nil"/>
              <w:right w:val="nil"/>
            </w:tcBorders>
          </w:tcPr>
          <w:p w14:paraId="63AC772F"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-0.0140</w:t>
            </w:r>
          </w:p>
        </w:tc>
        <w:tc>
          <w:tcPr>
            <w:tcW w:w="966" w:type="dxa"/>
            <w:tcBorders>
              <w:top w:val="single" w:sz="4" w:space="0" w:color="auto"/>
              <w:left w:val="nil"/>
              <w:right w:val="nil"/>
            </w:tcBorders>
          </w:tcPr>
          <w:p w14:paraId="6A652F45"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-0.00629</w:t>
            </w:r>
          </w:p>
        </w:tc>
      </w:tr>
      <w:tr w:rsidR="001948B7" w:rsidRPr="007854E9" w14:paraId="1B4F4B25" w14:textId="77777777" w:rsidTr="001948B7">
        <w:trPr>
          <w:jc w:val="center"/>
        </w:trPr>
        <w:tc>
          <w:tcPr>
            <w:tcW w:w="0" w:type="auto"/>
            <w:tcBorders>
              <w:top w:val="nil"/>
              <w:left w:val="nil"/>
              <w:bottom w:val="single" w:sz="4" w:space="0" w:color="auto"/>
              <w:right w:val="nil"/>
            </w:tcBorders>
          </w:tcPr>
          <w:p w14:paraId="37C32930"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550FE4B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(-0.79)</w:t>
            </w:r>
          </w:p>
        </w:tc>
        <w:tc>
          <w:tcPr>
            <w:tcW w:w="1134" w:type="dxa"/>
            <w:tcBorders>
              <w:top w:val="nil"/>
              <w:left w:val="nil"/>
              <w:bottom w:val="single" w:sz="4" w:space="0" w:color="auto"/>
              <w:right w:val="nil"/>
            </w:tcBorders>
          </w:tcPr>
          <w:p w14:paraId="5DC6F961"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(1.08)</w:t>
            </w:r>
          </w:p>
        </w:tc>
        <w:tc>
          <w:tcPr>
            <w:tcW w:w="1134" w:type="dxa"/>
            <w:tcBorders>
              <w:top w:val="nil"/>
              <w:left w:val="nil"/>
              <w:bottom w:val="single" w:sz="4" w:space="0" w:color="auto"/>
              <w:right w:val="nil"/>
            </w:tcBorders>
          </w:tcPr>
          <w:p w14:paraId="3559EC75"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(0.50)</w:t>
            </w:r>
          </w:p>
        </w:tc>
        <w:tc>
          <w:tcPr>
            <w:tcW w:w="966" w:type="dxa"/>
            <w:tcBorders>
              <w:top w:val="nil"/>
              <w:left w:val="nil"/>
              <w:bottom w:val="single" w:sz="4" w:space="0" w:color="auto"/>
              <w:right w:val="nil"/>
            </w:tcBorders>
          </w:tcPr>
          <w:p w14:paraId="55D125C3"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(-0.97)</w:t>
            </w:r>
          </w:p>
        </w:tc>
        <w:tc>
          <w:tcPr>
            <w:tcW w:w="966" w:type="dxa"/>
            <w:tcBorders>
              <w:top w:val="nil"/>
              <w:left w:val="nil"/>
              <w:bottom w:val="single" w:sz="4" w:space="0" w:color="auto"/>
              <w:right w:val="nil"/>
            </w:tcBorders>
          </w:tcPr>
          <w:p w14:paraId="53A27AD6"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(-0.54)</w:t>
            </w:r>
          </w:p>
        </w:tc>
      </w:tr>
      <w:tr w:rsidR="001948B7" w:rsidRPr="007854E9" w14:paraId="45095895" w14:textId="77777777" w:rsidTr="001948B7">
        <w:trPr>
          <w:jc w:val="center"/>
        </w:trPr>
        <w:tc>
          <w:tcPr>
            <w:tcW w:w="0" w:type="auto"/>
            <w:tcBorders>
              <w:top w:val="single" w:sz="4" w:space="0" w:color="auto"/>
              <w:left w:val="nil"/>
              <w:right w:val="nil"/>
            </w:tcBorders>
          </w:tcPr>
          <w:p w14:paraId="4C029764"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Cash transfers</w:t>
            </w:r>
          </w:p>
        </w:tc>
        <w:tc>
          <w:tcPr>
            <w:tcW w:w="1351" w:type="dxa"/>
            <w:tcBorders>
              <w:top w:val="single" w:sz="4" w:space="0" w:color="auto"/>
              <w:left w:val="nil"/>
              <w:right w:val="nil"/>
            </w:tcBorders>
          </w:tcPr>
          <w:p w14:paraId="1A76C613"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-0.0347*</w:t>
            </w:r>
          </w:p>
        </w:tc>
        <w:tc>
          <w:tcPr>
            <w:tcW w:w="1134" w:type="dxa"/>
            <w:tcBorders>
              <w:top w:val="single" w:sz="4" w:space="0" w:color="auto"/>
              <w:left w:val="nil"/>
              <w:right w:val="nil"/>
            </w:tcBorders>
          </w:tcPr>
          <w:p w14:paraId="59998C36"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0.0119</w:t>
            </w:r>
          </w:p>
        </w:tc>
        <w:tc>
          <w:tcPr>
            <w:tcW w:w="1134" w:type="dxa"/>
            <w:tcBorders>
              <w:top w:val="single" w:sz="4" w:space="0" w:color="auto"/>
              <w:left w:val="nil"/>
              <w:right w:val="nil"/>
            </w:tcBorders>
          </w:tcPr>
          <w:p w14:paraId="72A4CE21"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0.0351</w:t>
            </w:r>
          </w:p>
        </w:tc>
        <w:tc>
          <w:tcPr>
            <w:tcW w:w="966" w:type="dxa"/>
            <w:tcBorders>
              <w:top w:val="single" w:sz="4" w:space="0" w:color="auto"/>
              <w:left w:val="nil"/>
              <w:right w:val="nil"/>
            </w:tcBorders>
          </w:tcPr>
          <w:p w14:paraId="3784B203"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-0.00826</w:t>
            </w:r>
          </w:p>
        </w:tc>
        <w:tc>
          <w:tcPr>
            <w:tcW w:w="966" w:type="dxa"/>
            <w:tcBorders>
              <w:top w:val="single" w:sz="4" w:space="0" w:color="auto"/>
              <w:left w:val="nil"/>
              <w:right w:val="nil"/>
            </w:tcBorders>
          </w:tcPr>
          <w:p w14:paraId="78ADF7D3"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-0.00790</w:t>
            </w:r>
          </w:p>
        </w:tc>
      </w:tr>
      <w:tr w:rsidR="001948B7" w:rsidRPr="007854E9" w14:paraId="52A0E014" w14:textId="77777777" w:rsidTr="001948B7">
        <w:trPr>
          <w:jc w:val="center"/>
        </w:trPr>
        <w:tc>
          <w:tcPr>
            <w:tcW w:w="0" w:type="auto"/>
            <w:tcBorders>
              <w:top w:val="nil"/>
              <w:left w:val="nil"/>
              <w:bottom w:val="single" w:sz="4" w:space="0" w:color="auto"/>
              <w:right w:val="nil"/>
            </w:tcBorders>
          </w:tcPr>
          <w:p w14:paraId="12981A95"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7040806C"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(-1.70)</w:t>
            </w:r>
          </w:p>
        </w:tc>
        <w:tc>
          <w:tcPr>
            <w:tcW w:w="1134" w:type="dxa"/>
            <w:tcBorders>
              <w:top w:val="nil"/>
              <w:left w:val="nil"/>
              <w:bottom w:val="single" w:sz="4" w:space="0" w:color="auto"/>
              <w:right w:val="nil"/>
            </w:tcBorders>
          </w:tcPr>
          <w:p w14:paraId="758B9535"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(1.09)</w:t>
            </w:r>
          </w:p>
        </w:tc>
        <w:tc>
          <w:tcPr>
            <w:tcW w:w="1134" w:type="dxa"/>
            <w:tcBorders>
              <w:top w:val="nil"/>
              <w:left w:val="nil"/>
              <w:bottom w:val="single" w:sz="4" w:space="0" w:color="auto"/>
              <w:right w:val="nil"/>
            </w:tcBorders>
          </w:tcPr>
          <w:p w14:paraId="06E81AB4"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(1.24)</w:t>
            </w:r>
          </w:p>
        </w:tc>
        <w:tc>
          <w:tcPr>
            <w:tcW w:w="966" w:type="dxa"/>
            <w:tcBorders>
              <w:top w:val="nil"/>
              <w:left w:val="nil"/>
              <w:bottom w:val="single" w:sz="4" w:space="0" w:color="auto"/>
              <w:right w:val="nil"/>
            </w:tcBorders>
          </w:tcPr>
          <w:p w14:paraId="11551607"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(-0.56)</w:t>
            </w:r>
          </w:p>
        </w:tc>
        <w:tc>
          <w:tcPr>
            <w:tcW w:w="966" w:type="dxa"/>
            <w:tcBorders>
              <w:top w:val="nil"/>
              <w:left w:val="nil"/>
              <w:bottom w:val="single" w:sz="4" w:space="0" w:color="auto"/>
              <w:right w:val="nil"/>
            </w:tcBorders>
          </w:tcPr>
          <w:p w14:paraId="083ACB96"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(-0.72)</w:t>
            </w:r>
          </w:p>
        </w:tc>
      </w:tr>
      <w:tr w:rsidR="001948B7" w:rsidRPr="007854E9" w14:paraId="01214320" w14:textId="77777777" w:rsidTr="001948B7">
        <w:trPr>
          <w:jc w:val="center"/>
        </w:trPr>
        <w:tc>
          <w:tcPr>
            <w:tcW w:w="0" w:type="auto"/>
            <w:tcBorders>
              <w:top w:val="single" w:sz="4" w:space="0" w:color="auto"/>
              <w:left w:val="nil"/>
              <w:right w:val="nil"/>
            </w:tcBorders>
          </w:tcPr>
          <w:p w14:paraId="00C14E04"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In-kind transfers</w:t>
            </w:r>
          </w:p>
        </w:tc>
        <w:tc>
          <w:tcPr>
            <w:tcW w:w="1351" w:type="dxa"/>
            <w:tcBorders>
              <w:top w:val="single" w:sz="4" w:space="0" w:color="auto"/>
              <w:left w:val="nil"/>
              <w:right w:val="nil"/>
            </w:tcBorders>
          </w:tcPr>
          <w:p w14:paraId="12DA8E67"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0.00454</w:t>
            </w:r>
            <w:r w:rsidRPr="001948B7">
              <w:rPr>
                <w:sz w:val="20"/>
                <w:szCs w:val="20"/>
                <w:vertAlign w:val="superscript"/>
                <w:lang w:val="en-US"/>
              </w:rPr>
              <w:t>*</w:t>
            </w:r>
          </w:p>
        </w:tc>
        <w:tc>
          <w:tcPr>
            <w:tcW w:w="1134" w:type="dxa"/>
            <w:tcBorders>
              <w:top w:val="single" w:sz="4" w:space="0" w:color="auto"/>
              <w:left w:val="nil"/>
              <w:right w:val="nil"/>
            </w:tcBorders>
          </w:tcPr>
          <w:p w14:paraId="6595B991"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0.00865</w:t>
            </w:r>
            <w:r w:rsidRPr="001948B7">
              <w:rPr>
                <w:sz w:val="20"/>
                <w:szCs w:val="20"/>
                <w:vertAlign w:val="superscript"/>
                <w:lang w:val="en-US"/>
              </w:rPr>
              <w:t>*</w:t>
            </w:r>
          </w:p>
        </w:tc>
        <w:tc>
          <w:tcPr>
            <w:tcW w:w="1134" w:type="dxa"/>
            <w:tcBorders>
              <w:top w:val="single" w:sz="4" w:space="0" w:color="auto"/>
              <w:left w:val="nil"/>
              <w:right w:val="nil"/>
            </w:tcBorders>
          </w:tcPr>
          <w:p w14:paraId="3BFCE534"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0.00419</w:t>
            </w:r>
          </w:p>
        </w:tc>
        <w:tc>
          <w:tcPr>
            <w:tcW w:w="966" w:type="dxa"/>
            <w:tcBorders>
              <w:top w:val="single" w:sz="4" w:space="0" w:color="auto"/>
              <w:left w:val="nil"/>
              <w:right w:val="nil"/>
            </w:tcBorders>
          </w:tcPr>
          <w:p w14:paraId="6FF1BEE0"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0.00504</w:t>
            </w:r>
          </w:p>
        </w:tc>
        <w:tc>
          <w:tcPr>
            <w:tcW w:w="966" w:type="dxa"/>
            <w:tcBorders>
              <w:top w:val="single" w:sz="4" w:space="0" w:color="auto"/>
              <w:left w:val="nil"/>
              <w:right w:val="nil"/>
            </w:tcBorders>
          </w:tcPr>
          <w:p w14:paraId="2834800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0.00549</w:t>
            </w:r>
          </w:p>
        </w:tc>
      </w:tr>
      <w:tr w:rsidR="001948B7" w:rsidRPr="007854E9" w14:paraId="25437F4E" w14:textId="77777777" w:rsidTr="001948B7">
        <w:trPr>
          <w:jc w:val="center"/>
        </w:trPr>
        <w:tc>
          <w:tcPr>
            <w:tcW w:w="0" w:type="auto"/>
            <w:tcBorders>
              <w:top w:val="nil"/>
              <w:left w:val="nil"/>
              <w:bottom w:val="single" w:sz="4" w:space="0" w:color="auto"/>
              <w:right w:val="nil"/>
            </w:tcBorders>
          </w:tcPr>
          <w:p w14:paraId="7418D247"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7747DBB6"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(2.23)</w:t>
            </w:r>
          </w:p>
        </w:tc>
        <w:tc>
          <w:tcPr>
            <w:tcW w:w="1134" w:type="dxa"/>
            <w:tcBorders>
              <w:top w:val="nil"/>
              <w:left w:val="nil"/>
              <w:bottom w:val="single" w:sz="4" w:space="0" w:color="auto"/>
              <w:right w:val="nil"/>
            </w:tcBorders>
          </w:tcPr>
          <w:p w14:paraId="1AC4CC7B"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(2.58)</w:t>
            </w:r>
          </w:p>
        </w:tc>
        <w:tc>
          <w:tcPr>
            <w:tcW w:w="1134" w:type="dxa"/>
            <w:tcBorders>
              <w:top w:val="nil"/>
              <w:left w:val="nil"/>
              <w:bottom w:val="single" w:sz="4" w:space="0" w:color="auto"/>
              <w:right w:val="nil"/>
            </w:tcBorders>
          </w:tcPr>
          <w:p w14:paraId="0AE54BC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(1.50)</w:t>
            </w:r>
          </w:p>
        </w:tc>
        <w:tc>
          <w:tcPr>
            <w:tcW w:w="966" w:type="dxa"/>
            <w:tcBorders>
              <w:top w:val="nil"/>
              <w:left w:val="nil"/>
              <w:bottom w:val="single" w:sz="4" w:space="0" w:color="auto"/>
              <w:right w:val="nil"/>
            </w:tcBorders>
          </w:tcPr>
          <w:p w14:paraId="1999A508"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(1.71)</w:t>
            </w:r>
          </w:p>
        </w:tc>
        <w:tc>
          <w:tcPr>
            <w:tcW w:w="966" w:type="dxa"/>
            <w:tcBorders>
              <w:top w:val="nil"/>
              <w:left w:val="nil"/>
              <w:bottom w:val="single" w:sz="4" w:space="0" w:color="auto"/>
              <w:right w:val="nil"/>
            </w:tcBorders>
          </w:tcPr>
          <w:p w14:paraId="365CE82B"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(1.42)</w:t>
            </w:r>
          </w:p>
        </w:tc>
      </w:tr>
      <w:tr w:rsidR="001948B7" w:rsidRPr="007854E9" w14:paraId="761995BB" w14:textId="77777777" w:rsidTr="001948B7">
        <w:trPr>
          <w:jc w:val="center"/>
        </w:trPr>
        <w:tc>
          <w:tcPr>
            <w:tcW w:w="0" w:type="auto"/>
            <w:tcBorders>
              <w:top w:val="single" w:sz="4" w:space="0" w:color="auto"/>
              <w:left w:val="nil"/>
              <w:right w:val="nil"/>
            </w:tcBorders>
          </w:tcPr>
          <w:p w14:paraId="2977AA54"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Indirect tax</w:t>
            </w:r>
          </w:p>
        </w:tc>
        <w:tc>
          <w:tcPr>
            <w:tcW w:w="1351" w:type="dxa"/>
            <w:tcBorders>
              <w:top w:val="single" w:sz="4" w:space="0" w:color="auto"/>
              <w:left w:val="nil"/>
              <w:right w:val="nil"/>
            </w:tcBorders>
          </w:tcPr>
          <w:p w14:paraId="6ECE2DEE"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0.0128</w:t>
            </w:r>
          </w:p>
        </w:tc>
        <w:tc>
          <w:tcPr>
            <w:tcW w:w="1134" w:type="dxa"/>
            <w:tcBorders>
              <w:top w:val="single" w:sz="4" w:space="0" w:color="auto"/>
              <w:left w:val="nil"/>
              <w:right w:val="nil"/>
            </w:tcBorders>
          </w:tcPr>
          <w:p w14:paraId="76C5065C"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0.0203*</w:t>
            </w:r>
          </w:p>
        </w:tc>
        <w:tc>
          <w:tcPr>
            <w:tcW w:w="1134" w:type="dxa"/>
            <w:tcBorders>
              <w:top w:val="single" w:sz="4" w:space="0" w:color="auto"/>
              <w:left w:val="nil"/>
              <w:right w:val="nil"/>
            </w:tcBorders>
          </w:tcPr>
          <w:p w14:paraId="7F91DDD8"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0.00656</w:t>
            </w:r>
          </w:p>
        </w:tc>
        <w:tc>
          <w:tcPr>
            <w:tcW w:w="966" w:type="dxa"/>
            <w:tcBorders>
              <w:top w:val="single" w:sz="4" w:space="0" w:color="auto"/>
              <w:left w:val="nil"/>
              <w:right w:val="nil"/>
            </w:tcBorders>
          </w:tcPr>
          <w:p w14:paraId="19F8B35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0.0242**</w:t>
            </w:r>
          </w:p>
        </w:tc>
        <w:tc>
          <w:tcPr>
            <w:tcW w:w="966" w:type="dxa"/>
            <w:tcBorders>
              <w:top w:val="single" w:sz="4" w:space="0" w:color="auto"/>
              <w:left w:val="nil"/>
              <w:right w:val="nil"/>
            </w:tcBorders>
          </w:tcPr>
          <w:p w14:paraId="7505AF0E"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0.0160**</w:t>
            </w:r>
          </w:p>
        </w:tc>
      </w:tr>
      <w:tr w:rsidR="001948B7" w:rsidRPr="007854E9" w14:paraId="725796D6" w14:textId="77777777" w:rsidTr="001948B7">
        <w:trPr>
          <w:jc w:val="center"/>
        </w:trPr>
        <w:tc>
          <w:tcPr>
            <w:tcW w:w="0" w:type="auto"/>
            <w:tcBorders>
              <w:top w:val="nil"/>
              <w:left w:val="nil"/>
              <w:bottom w:val="single" w:sz="4" w:space="0" w:color="auto"/>
              <w:right w:val="nil"/>
            </w:tcBorders>
          </w:tcPr>
          <w:p w14:paraId="4E922BA2"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58A0B3B3"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(1.00)</w:t>
            </w:r>
          </w:p>
        </w:tc>
        <w:tc>
          <w:tcPr>
            <w:tcW w:w="1134" w:type="dxa"/>
            <w:tcBorders>
              <w:top w:val="nil"/>
              <w:left w:val="nil"/>
              <w:bottom w:val="single" w:sz="4" w:space="0" w:color="auto"/>
              <w:right w:val="nil"/>
            </w:tcBorders>
          </w:tcPr>
          <w:p w14:paraId="281ACFAB"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(1.79)</w:t>
            </w:r>
          </w:p>
        </w:tc>
        <w:tc>
          <w:tcPr>
            <w:tcW w:w="1134" w:type="dxa"/>
            <w:tcBorders>
              <w:top w:val="nil"/>
              <w:left w:val="nil"/>
              <w:bottom w:val="single" w:sz="4" w:space="0" w:color="auto"/>
              <w:right w:val="nil"/>
            </w:tcBorders>
          </w:tcPr>
          <w:p w14:paraId="279D8D58"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(0.94)</w:t>
            </w:r>
          </w:p>
        </w:tc>
        <w:tc>
          <w:tcPr>
            <w:tcW w:w="966" w:type="dxa"/>
            <w:tcBorders>
              <w:top w:val="nil"/>
              <w:left w:val="nil"/>
              <w:bottom w:val="single" w:sz="4" w:space="0" w:color="auto"/>
              <w:right w:val="nil"/>
            </w:tcBorders>
          </w:tcPr>
          <w:p w14:paraId="6244219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(2.14)</w:t>
            </w:r>
          </w:p>
        </w:tc>
        <w:tc>
          <w:tcPr>
            <w:tcW w:w="966" w:type="dxa"/>
            <w:tcBorders>
              <w:top w:val="nil"/>
              <w:left w:val="nil"/>
              <w:bottom w:val="single" w:sz="4" w:space="0" w:color="auto"/>
              <w:right w:val="nil"/>
            </w:tcBorders>
          </w:tcPr>
          <w:p w14:paraId="6ACA6A29"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(2.23)</w:t>
            </w:r>
          </w:p>
        </w:tc>
      </w:tr>
      <w:tr w:rsidR="001948B7" w:rsidRPr="007854E9" w14:paraId="2B03D433" w14:textId="77777777" w:rsidTr="001948B7">
        <w:trPr>
          <w:jc w:val="center"/>
        </w:trPr>
        <w:tc>
          <w:tcPr>
            <w:tcW w:w="0" w:type="auto"/>
            <w:tcBorders>
              <w:top w:val="single" w:sz="4" w:space="0" w:color="auto"/>
              <w:left w:val="nil"/>
              <w:right w:val="nil"/>
            </w:tcBorders>
          </w:tcPr>
          <w:p w14:paraId="254277F8"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Property tax</w:t>
            </w:r>
          </w:p>
        </w:tc>
        <w:tc>
          <w:tcPr>
            <w:tcW w:w="1351" w:type="dxa"/>
            <w:tcBorders>
              <w:top w:val="single" w:sz="4" w:space="0" w:color="auto"/>
              <w:left w:val="nil"/>
              <w:right w:val="nil"/>
            </w:tcBorders>
          </w:tcPr>
          <w:p w14:paraId="0201320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0.00632**</w:t>
            </w:r>
          </w:p>
        </w:tc>
        <w:tc>
          <w:tcPr>
            <w:tcW w:w="1134" w:type="dxa"/>
            <w:tcBorders>
              <w:top w:val="single" w:sz="4" w:space="0" w:color="auto"/>
              <w:left w:val="nil"/>
              <w:right w:val="nil"/>
            </w:tcBorders>
          </w:tcPr>
          <w:p w14:paraId="02E9BEBF"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0.00331</w:t>
            </w:r>
          </w:p>
        </w:tc>
        <w:tc>
          <w:tcPr>
            <w:tcW w:w="1134" w:type="dxa"/>
            <w:tcBorders>
              <w:top w:val="single" w:sz="4" w:space="0" w:color="auto"/>
              <w:left w:val="nil"/>
              <w:right w:val="nil"/>
            </w:tcBorders>
          </w:tcPr>
          <w:p w14:paraId="5C474455"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0.000514</w:t>
            </w:r>
          </w:p>
        </w:tc>
        <w:tc>
          <w:tcPr>
            <w:tcW w:w="966" w:type="dxa"/>
            <w:tcBorders>
              <w:top w:val="single" w:sz="4" w:space="0" w:color="auto"/>
              <w:left w:val="nil"/>
              <w:right w:val="nil"/>
            </w:tcBorders>
          </w:tcPr>
          <w:p w14:paraId="35156264"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-0.00311</w:t>
            </w:r>
          </w:p>
        </w:tc>
        <w:tc>
          <w:tcPr>
            <w:tcW w:w="966" w:type="dxa"/>
            <w:tcBorders>
              <w:top w:val="single" w:sz="4" w:space="0" w:color="auto"/>
              <w:left w:val="nil"/>
              <w:right w:val="nil"/>
            </w:tcBorders>
          </w:tcPr>
          <w:p w14:paraId="106C6FA5"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0.00652</w:t>
            </w:r>
          </w:p>
        </w:tc>
      </w:tr>
      <w:tr w:rsidR="001948B7" w:rsidRPr="007854E9" w14:paraId="4A4A4EE2" w14:textId="77777777" w:rsidTr="001948B7">
        <w:trPr>
          <w:jc w:val="center"/>
        </w:trPr>
        <w:tc>
          <w:tcPr>
            <w:tcW w:w="0" w:type="auto"/>
            <w:tcBorders>
              <w:top w:val="nil"/>
              <w:left w:val="nil"/>
              <w:bottom w:val="single" w:sz="4" w:space="0" w:color="auto"/>
              <w:right w:val="nil"/>
            </w:tcBorders>
          </w:tcPr>
          <w:p w14:paraId="4CF07867"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4047D305"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(2.15)</w:t>
            </w:r>
          </w:p>
        </w:tc>
        <w:tc>
          <w:tcPr>
            <w:tcW w:w="1134" w:type="dxa"/>
            <w:tcBorders>
              <w:top w:val="nil"/>
              <w:left w:val="nil"/>
              <w:bottom w:val="single" w:sz="4" w:space="0" w:color="auto"/>
              <w:right w:val="nil"/>
            </w:tcBorders>
          </w:tcPr>
          <w:p w14:paraId="1E774B39"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(0.94)</w:t>
            </w:r>
          </w:p>
        </w:tc>
        <w:tc>
          <w:tcPr>
            <w:tcW w:w="1134" w:type="dxa"/>
            <w:tcBorders>
              <w:top w:val="nil"/>
              <w:left w:val="nil"/>
              <w:bottom w:val="single" w:sz="4" w:space="0" w:color="auto"/>
              <w:right w:val="nil"/>
            </w:tcBorders>
          </w:tcPr>
          <w:p w14:paraId="618D8C77"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(0.14)</w:t>
            </w:r>
          </w:p>
        </w:tc>
        <w:tc>
          <w:tcPr>
            <w:tcW w:w="966" w:type="dxa"/>
            <w:tcBorders>
              <w:top w:val="nil"/>
              <w:left w:val="nil"/>
              <w:bottom w:val="single" w:sz="4" w:space="0" w:color="auto"/>
              <w:right w:val="nil"/>
            </w:tcBorders>
          </w:tcPr>
          <w:p w14:paraId="0E52AB5E"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(-1.07)</w:t>
            </w:r>
          </w:p>
        </w:tc>
        <w:tc>
          <w:tcPr>
            <w:tcW w:w="966" w:type="dxa"/>
            <w:tcBorders>
              <w:top w:val="nil"/>
              <w:left w:val="nil"/>
              <w:bottom w:val="single" w:sz="4" w:space="0" w:color="auto"/>
              <w:right w:val="nil"/>
            </w:tcBorders>
          </w:tcPr>
          <w:p w14:paraId="1484EB79"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(0.88)</w:t>
            </w:r>
          </w:p>
        </w:tc>
      </w:tr>
      <w:tr w:rsidR="001948B7" w:rsidRPr="007854E9" w14:paraId="57550D3D" w14:textId="77777777" w:rsidTr="001948B7">
        <w:trPr>
          <w:jc w:val="center"/>
        </w:trPr>
        <w:tc>
          <w:tcPr>
            <w:tcW w:w="0" w:type="auto"/>
            <w:tcBorders>
              <w:top w:val="single" w:sz="4" w:space="0" w:color="auto"/>
              <w:left w:val="nil"/>
              <w:bottom w:val="nil"/>
              <w:right w:val="nil"/>
            </w:tcBorders>
          </w:tcPr>
          <w:p w14:paraId="1FC10A59" w14:textId="77777777" w:rsidR="001948B7" w:rsidRPr="001948B7" w:rsidRDefault="001948B7" w:rsidP="0065213E">
            <w:pPr>
              <w:widowControl w:val="0"/>
              <w:autoSpaceDE w:val="0"/>
              <w:autoSpaceDN w:val="0"/>
              <w:adjustRightInd w:val="0"/>
              <w:contextualSpacing/>
              <w:rPr>
                <w:sz w:val="20"/>
                <w:szCs w:val="20"/>
                <w:lang w:val="en-US"/>
              </w:rPr>
            </w:pPr>
            <w:r w:rsidRPr="001948B7">
              <w:rPr>
                <w:sz w:val="20"/>
                <w:szCs w:val="20"/>
                <w:lang w:val="en-US"/>
              </w:rPr>
              <w:t xml:space="preserve">Progressivity Inc. </w:t>
            </w:r>
          </w:p>
        </w:tc>
        <w:tc>
          <w:tcPr>
            <w:tcW w:w="1351" w:type="dxa"/>
            <w:tcBorders>
              <w:top w:val="single" w:sz="4" w:space="0" w:color="auto"/>
              <w:left w:val="nil"/>
              <w:bottom w:val="nil"/>
              <w:right w:val="nil"/>
            </w:tcBorders>
          </w:tcPr>
          <w:p w14:paraId="4BB6AE6E"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0.0103</w:t>
            </w:r>
          </w:p>
        </w:tc>
        <w:tc>
          <w:tcPr>
            <w:tcW w:w="1134" w:type="dxa"/>
            <w:tcBorders>
              <w:top w:val="single" w:sz="4" w:space="0" w:color="auto"/>
              <w:left w:val="nil"/>
              <w:bottom w:val="nil"/>
              <w:right w:val="nil"/>
            </w:tcBorders>
          </w:tcPr>
          <w:p w14:paraId="3A4E9158"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-0.0283**</w:t>
            </w:r>
          </w:p>
        </w:tc>
        <w:tc>
          <w:tcPr>
            <w:tcW w:w="1134" w:type="dxa"/>
            <w:tcBorders>
              <w:top w:val="single" w:sz="4" w:space="0" w:color="auto"/>
              <w:left w:val="nil"/>
              <w:bottom w:val="nil"/>
              <w:right w:val="nil"/>
            </w:tcBorders>
          </w:tcPr>
          <w:p w14:paraId="732ABF92"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0.00642</w:t>
            </w:r>
          </w:p>
        </w:tc>
        <w:tc>
          <w:tcPr>
            <w:tcW w:w="966" w:type="dxa"/>
            <w:tcBorders>
              <w:top w:val="single" w:sz="4" w:space="0" w:color="auto"/>
              <w:left w:val="nil"/>
              <w:bottom w:val="nil"/>
              <w:right w:val="nil"/>
            </w:tcBorders>
          </w:tcPr>
          <w:p w14:paraId="4A0445B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0.0217**</w:t>
            </w:r>
          </w:p>
        </w:tc>
        <w:tc>
          <w:tcPr>
            <w:tcW w:w="966" w:type="dxa"/>
            <w:tcBorders>
              <w:top w:val="single" w:sz="4" w:space="0" w:color="auto"/>
              <w:left w:val="nil"/>
              <w:bottom w:val="nil"/>
              <w:right w:val="nil"/>
            </w:tcBorders>
          </w:tcPr>
          <w:p w14:paraId="20F44DB0"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-0.00145</w:t>
            </w:r>
          </w:p>
        </w:tc>
      </w:tr>
      <w:tr w:rsidR="001948B7" w:rsidRPr="007854E9" w14:paraId="2B6B5642" w14:textId="77777777" w:rsidTr="001948B7">
        <w:trPr>
          <w:jc w:val="center"/>
        </w:trPr>
        <w:tc>
          <w:tcPr>
            <w:tcW w:w="0" w:type="auto"/>
            <w:tcBorders>
              <w:top w:val="nil"/>
              <w:left w:val="nil"/>
              <w:bottom w:val="single" w:sz="4" w:space="0" w:color="auto"/>
              <w:right w:val="nil"/>
            </w:tcBorders>
          </w:tcPr>
          <w:p w14:paraId="74E9AEC1" w14:textId="77777777" w:rsidR="001948B7" w:rsidRPr="001948B7" w:rsidRDefault="001948B7" w:rsidP="0065213E">
            <w:pPr>
              <w:widowControl w:val="0"/>
              <w:autoSpaceDE w:val="0"/>
              <w:autoSpaceDN w:val="0"/>
              <w:adjustRightInd w:val="0"/>
              <w:contextualSpacing/>
              <w:rPr>
                <w:sz w:val="20"/>
                <w:szCs w:val="20"/>
                <w:lang w:val="en-US"/>
              </w:rPr>
            </w:pPr>
          </w:p>
        </w:tc>
        <w:tc>
          <w:tcPr>
            <w:tcW w:w="1351" w:type="dxa"/>
            <w:tcBorders>
              <w:top w:val="nil"/>
              <w:left w:val="nil"/>
              <w:bottom w:val="single" w:sz="4" w:space="0" w:color="auto"/>
              <w:right w:val="nil"/>
            </w:tcBorders>
          </w:tcPr>
          <w:p w14:paraId="43E21AE6"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(1.00)</w:t>
            </w:r>
          </w:p>
        </w:tc>
        <w:tc>
          <w:tcPr>
            <w:tcW w:w="1134" w:type="dxa"/>
            <w:tcBorders>
              <w:top w:val="nil"/>
              <w:left w:val="nil"/>
              <w:bottom w:val="single" w:sz="4" w:space="0" w:color="auto"/>
              <w:right w:val="nil"/>
            </w:tcBorders>
          </w:tcPr>
          <w:p w14:paraId="542EBBE6"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(-3.84)</w:t>
            </w:r>
          </w:p>
        </w:tc>
        <w:tc>
          <w:tcPr>
            <w:tcW w:w="1134" w:type="dxa"/>
            <w:tcBorders>
              <w:top w:val="nil"/>
              <w:left w:val="nil"/>
              <w:bottom w:val="single" w:sz="4" w:space="0" w:color="auto"/>
              <w:right w:val="nil"/>
            </w:tcBorders>
          </w:tcPr>
          <w:p w14:paraId="1FEB584C"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(0.49)</w:t>
            </w:r>
          </w:p>
        </w:tc>
        <w:tc>
          <w:tcPr>
            <w:tcW w:w="966" w:type="dxa"/>
            <w:tcBorders>
              <w:top w:val="nil"/>
              <w:left w:val="nil"/>
              <w:bottom w:val="single" w:sz="4" w:space="0" w:color="auto"/>
              <w:right w:val="nil"/>
            </w:tcBorders>
          </w:tcPr>
          <w:p w14:paraId="22A72B1C"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(2.46)</w:t>
            </w:r>
          </w:p>
        </w:tc>
        <w:tc>
          <w:tcPr>
            <w:tcW w:w="966" w:type="dxa"/>
            <w:tcBorders>
              <w:top w:val="nil"/>
              <w:left w:val="nil"/>
              <w:bottom w:val="single" w:sz="4" w:space="0" w:color="auto"/>
              <w:right w:val="nil"/>
            </w:tcBorders>
          </w:tcPr>
          <w:p w14:paraId="022DA04D" w14:textId="77777777" w:rsidR="001948B7" w:rsidRPr="001948B7" w:rsidRDefault="001948B7" w:rsidP="0065213E">
            <w:pPr>
              <w:widowControl w:val="0"/>
              <w:autoSpaceDE w:val="0"/>
              <w:autoSpaceDN w:val="0"/>
              <w:adjustRightInd w:val="0"/>
              <w:contextualSpacing/>
              <w:jc w:val="center"/>
              <w:rPr>
                <w:sz w:val="20"/>
                <w:szCs w:val="20"/>
                <w:lang w:val="en-US"/>
              </w:rPr>
            </w:pPr>
            <w:r w:rsidRPr="001948B7">
              <w:rPr>
                <w:sz w:val="20"/>
                <w:szCs w:val="20"/>
                <w:lang w:val="en-US"/>
              </w:rPr>
              <w:t>(-0.11)</w:t>
            </w:r>
          </w:p>
        </w:tc>
      </w:tr>
      <w:tr w:rsidR="001948B7" w:rsidRPr="007854E9" w14:paraId="7A06813C" w14:textId="77777777" w:rsidTr="001948B7">
        <w:trPr>
          <w:jc w:val="center"/>
        </w:trPr>
        <w:tc>
          <w:tcPr>
            <w:tcW w:w="0" w:type="auto"/>
            <w:tcBorders>
              <w:top w:val="single" w:sz="4" w:space="0" w:color="auto"/>
              <w:left w:val="nil"/>
              <w:bottom w:val="single" w:sz="4" w:space="0" w:color="auto"/>
              <w:right w:val="nil"/>
            </w:tcBorders>
          </w:tcPr>
          <w:p w14:paraId="4FD8E2DE" w14:textId="77777777" w:rsidR="001948B7" w:rsidRDefault="001948B7" w:rsidP="0065213E">
            <w:pPr>
              <w:widowControl w:val="0"/>
              <w:autoSpaceDE w:val="0"/>
              <w:autoSpaceDN w:val="0"/>
              <w:adjustRightInd w:val="0"/>
              <w:contextualSpacing/>
              <w:rPr>
                <w:b/>
                <w:bCs/>
                <w:i/>
                <w:iCs/>
                <w:lang w:val="en-US"/>
              </w:rPr>
            </w:pPr>
          </w:p>
          <w:p w14:paraId="4E8434AA" w14:textId="77777777" w:rsidR="001948B7" w:rsidRPr="007854E9" w:rsidRDefault="001948B7" w:rsidP="0065213E">
            <w:pPr>
              <w:widowControl w:val="0"/>
              <w:autoSpaceDE w:val="0"/>
              <w:autoSpaceDN w:val="0"/>
              <w:adjustRightInd w:val="0"/>
              <w:contextualSpacing/>
              <w:rPr>
                <w:lang w:val="en-US"/>
              </w:rPr>
            </w:pPr>
            <w:r w:rsidRPr="007854E9">
              <w:rPr>
                <w:b/>
                <w:bCs/>
                <w:i/>
                <w:iCs/>
                <w:lang w:val="en-US"/>
              </w:rPr>
              <w:t>N</w:t>
            </w:r>
          </w:p>
        </w:tc>
        <w:tc>
          <w:tcPr>
            <w:tcW w:w="1351" w:type="dxa"/>
            <w:tcBorders>
              <w:top w:val="single" w:sz="4" w:space="0" w:color="auto"/>
              <w:left w:val="nil"/>
              <w:bottom w:val="single" w:sz="4" w:space="0" w:color="auto"/>
              <w:right w:val="nil"/>
            </w:tcBorders>
          </w:tcPr>
          <w:p w14:paraId="40E54BAE" w14:textId="77777777" w:rsidR="001948B7" w:rsidRPr="007854E9" w:rsidRDefault="001948B7" w:rsidP="0065213E">
            <w:pPr>
              <w:widowControl w:val="0"/>
              <w:autoSpaceDE w:val="0"/>
              <w:autoSpaceDN w:val="0"/>
              <w:adjustRightInd w:val="0"/>
              <w:contextualSpacing/>
              <w:jc w:val="center"/>
              <w:rPr>
                <w:b/>
                <w:bCs/>
                <w:sz w:val="20"/>
                <w:szCs w:val="20"/>
                <w:lang w:val="en-US"/>
              </w:rPr>
            </w:pPr>
          </w:p>
          <w:p w14:paraId="37951798" w14:textId="77777777" w:rsidR="001948B7" w:rsidRPr="007854E9" w:rsidRDefault="001948B7" w:rsidP="0065213E">
            <w:pPr>
              <w:widowControl w:val="0"/>
              <w:autoSpaceDE w:val="0"/>
              <w:autoSpaceDN w:val="0"/>
              <w:adjustRightInd w:val="0"/>
              <w:contextualSpacing/>
              <w:jc w:val="center"/>
              <w:rPr>
                <w:sz w:val="20"/>
                <w:szCs w:val="20"/>
                <w:lang w:val="en-US"/>
              </w:rPr>
            </w:pPr>
            <w:r w:rsidRPr="007854E9">
              <w:rPr>
                <w:b/>
                <w:bCs/>
                <w:sz w:val="20"/>
                <w:szCs w:val="20"/>
                <w:lang w:val="en-US"/>
              </w:rPr>
              <w:t>713</w:t>
            </w:r>
          </w:p>
        </w:tc>
        <w:tc>
          <w:tcPr>
            <w:tcW w:w="1134" w:type="dxa"/>
            <w:tcBorders>
              <w:top w:val="single" w:sz="4" w:space="0" w:color="auto"/>
              <w:left w:val="nil"/>
              <w:bottom w:val="single" w:sz="4" w:space="0" w:color="auto"/>
              <w:right w:val="nil"/>
            </w:tcBorders>
          </w:tcPr>
          <w:p w14:paraId="6DB703B3" w14:textId="77777777" w:rsidR="001948B7" w:rsidRPr="007854E9" w:rsidRDefault="001948B7" w:rsidP="0065213E">
            <w:pPr>
              <w:widowControl w:val="0"/>
              <w:autoSpaceDE w:val="0"/>
              <w:autoSpaceDN w:val="0"/>
              <w:adjustRightInd w:val="0"/>
              <w:contextualSpacing/>
              <w:jc w:val="center"/>
              <w:rPr>
                <w:b/>
                <w:bCs/>
                <w:sz w:val="20"/>
                <w:szCs w:val="20"/>
                <w:lang w:val="en-US"/>
              </w:rPr>
            </w:pPr>
          </w:p>
          <w:p w14:paraId="2115CFEF" w14:textId="77777777" w:rsidR="001948B7" w:rsidRPr="007854E9" w:rsidRDefault="001948B7" w:rsidP="0065213E">
            <w:pPr>
              <w:widowControl w:val="0"/>
              <w:autoSpaceDE w:val="0"/>
              <w:autoSpaceDN w:val="0"/>
              <w:adjustRightInd w:val="0"/>
              <w:contextualSpacing/>
              <w:jc w:val="center"/>
              <w:rPr>
                <w:sz w:val="20"/>
                <w:szCs w:val="20"/>
                <w:lang w:val="en-US"/>
              </w:rPr>
            </w:pPr>
            <w:r w:rsidRPr="007854E9">
              <w:rPr>
                <w:b/>
                <w:bCs/>
                <w:sz w:val="20"/>
                <w:szCs w:val="20"/>
                <w:lang w:val="en-US"/>
              </w:rPr>
              <w:t>690</w:t>
            </w:r>
          </w:p>
        </w:tc>
        <w:tc>
          <w:tcPr>
            <w:tcW w:w="1134" w:type="dxa"/>
            <w:tcBorders>
              <w:top w:val="single" w:sz="4" w:space="0" w:color="auto"/>
              <w:left w:val="nil"/>
              <w:bottom w:val="single" w:sz="4" w:space="0" w:color="auto"/>
              <w:right w:val="nil"/>
            </w:tcBorders>
          </w:tcPr>
          <w:p w14:paraId="5CD6B87F" w14:textId="77777777" w:rsidR="001948B7" w:rsidRPr="007854E9" w:rsidRDefault="001948B7" w:rsidP="0065213E">
            <w:pPr>
              <w:widowControl w:val="0"/>
              <w:autoSpaceDE w:val="0"/>
              <w:autoSpaceDN w:val="0"/>
              <w:adjustRightInd w:val="0"/>
              <w:contextualSpacing/>
              <w:jc w:val="center"/>
              <w:rPr>
                <w:b/>
                <w:bCs/>
                <w:sz w:val="20"/>
                <w:szCs w:val="20"/>
                <w:lang w:val="en-US"/>
              </w:rPr>
            </w:pPr>
          </w:p>
          <w:p w14:paraId="3470D494" w14:textId="77777777" w:rsidR="001948B7" w:rsidRPr="007854E9" w:rsidRDefault="001948B7" w:rsidP="0065213E">
            <w:pPr>
              <w:widowControl w:val="0"/>
              <w:autoSpaceDE w:val="0"/>
              <w:autoSpaceDN w:val="0"/>
              <w:adjustRightInd w:val="0"/>
              <w:contextualSpacing/>
              <w:jc w:val="center"/>
              <w:rPr>
                <w:sz w:val="20"/>
                <w:szCs w:val="20"/>
                <w:lang w:val="en-US"/>
              </w:rPr>
            </w:pPr>
            <w:r w:rsidRPr="007854E9">
              <w:rPr>
                <w:b/>
                <w:bCs/>
                <w:sz w:val="20"/>
                <w:szCs w:val="20"/>
                <w:lang w:val="en-US"/>
              </w:rPr>
              <w:t>667</w:t>
            </w:r>
          </w:p>
        </w:tc>
        <w:tc>
          <w:tcPr>
            <w:tcW w:w="966" w:type="dxa"/>
            <w:tcBorders>
              <w:top w:val="single" w:sz="4" w:space="0" w:color="auto"/>
              <w:left w:val="nil"/>
              <w:bottom w:val="single" w:sz="4" w:space="0" w:color="auto"/>
              <w:right w:val="nil"/>
            </w:tcBorders>
          </w:tcPr>
          <w:p w14:paraId="6797EF94" w14:textId="77777777" w:rsidR="001948B7" w:rsidRPr="007854E9" w:rsidRDefault="001948B7" w:rsidP="0065213E">
            <w:pPr>
              <w:widowControl w:val="0"/>
              <w:autoSpaceDE w:val="0"/>
              <w:autoSpaceDN w:val="0"/>
              <w:adjustRightInd w:val="0"/>
              <w:contextualSpacing/>
              <w:jc w:val="center"/>
              <w:rPr>
                <w:b/>
                <w:bCs/>
                <w:sz w:val="20"/>
                <w:szCs w:val="20"/>
                <w:lang w:val="en-US"/>
              </w:rPr>
            </w:pPr>
          </w:p>
          <w:p w14:paraId="4ACEFB59" w14:textId="77777777" w:rsidR="001948B7" w:rsidRPr="007854E9" w:rsidRDefault="001948B7" w:rsidP="0065213E">
            <w:pPr>
              <w:widowControl w:val="0"/>
              <w:autoSpaceDE w:val="0"/>
              <w:autoSpaceDN w:val="0"/>
              <w:adjustRightInd w:val="0"/>
              <w:contextualSpacing/>
              <w:jc w:val="center"/>
              <w:rPr>
                <w:sz w:val="20"/>
                <w:szCs w:val="20"/>
                <w:lang w:val="en-US"/>
              </w:rPr>
            </w:pPr>
            <w:r w:rsidRPr="007854E9">
              <w:rPr>
                <w:b/>
                <w:bCs/>
                <w:sz w:val="20"/>
                <w:szCs w:val="20"/>
                <w:lang w:val="en-US"/>
              </w:rPr>
              <w:t>644</w:t>
            </w:r>
          </w:p>
        </w:tc>
        <w:tc>
          <w:tcPr>
            <w:tcW w:w="966" w:type="dxa"/>
            <w:tcBorders>
              <w:top w:val="single" w:sz="4" w:space="0" w:color="auto"/>
              <w:left w:val="nil"/>
              <w:bottom w:val="single" w:sz="4" w:space="0" w:color="auto"/>
              <w:right w:val="nil"/>
            </w:tcBorders>
          </w:tcPr>
          <w:p w14:paraId="018D6578" w14:textId="77777777" w:rsidR="001948B7" w:rsidRPr="007854E9" w:rsidRDefault="001948B7" w:rsidP="0065213E">
            <w:pPr>
              <w:widowControl w:val="0"/>
              <w:autoSpaceDE w:val="0"/>
              <w:autoSpaceDN w:val="0"/>
              <w:adjustRightInd w:val="0"/>
              <w:contextualSpacing/>
              <w:jc w:val="center"/>
              <w:rPr>
                <w:b/>
                <w:bCs/>
                <w:sz w:val="20"/>
                <w:szCs w:val="20"/>
                <w:lang w:val="en-US"/>
              </w:rPr>
            </w:pPr>
          </w:p>
          <w:p w14:paraId="287A61CB" w14:textId="77777777" w:rsidR="001948B7" w:rsidRPr="007854E9" w:rsidRDefault="001948B7" w:rsidP="0065213E">
            <w:pPr>
              <w:widowControl w:val="0"/>
              <w:autoSpaceDE w:val="0"/>
              <w:autoSpaceDN w:val="0"/>
              <w:adjustRightInd w:val="0"/>
              <w:contextualSpacing/>
              <w:jc w:val="center"/>
              <w:rPr>
                <w:sz w:val="20"/>
                <w:szCs w:val="20"/>
                <w:lang w:val="en-US"/>
              </w:rPr>
            </w:pPr>
            <w:r w:rsidRPr="007854E9">
              <w:rPr>
                <w:b/>
                <w:bCs/>
                <w:sz w:val="20"/>
                <w:szCs w:val="20"/>
                <w:lang w:val="en-US"/>
              </w:rPr>
              <w:t>621</w:t>
            </w:r>
          </w:p>
        </w:tc>
      </w:tr>
    </w:tbl>
    <w:p w14:paraId="6698D3FE" w14:textId="77777777" w:rsidR="001948B7" w:rsidRPr="001948B7" w:rsidRDefault="001948B7" w:rsidP="001948B7">
      <w:pPr>
        <w:spacing w:before="120"/>
        <w:ind w:left="1276" w:right="1327"/>
        <w:rPr>
          <w:rFonts w:asciiTheme="minorHAnsi" w:hAnsiTheme="minorHAnsi" w:cstheme="minorHAnsi"/>
          <w:sz w:val="18"/>
          <w:szCs w:val="18"/>
          <w:lang w:val="en-US"/>
        </w:rPr>
      </w:pPr>
      <w:r w:rsidRPr="001948B7">
        <w:rPr>
          <w:rFonts w:asciiTheme="minorHAnsi" w:hAnsiTheme="minorHAnsi" w:cstheme="minorHAnsi"/>
          <w:b/>
          <w:bCs/>
          <w:sz w:val="18"/>
          <w:szCs w:val="18"/>
          <w:lang w:val="en-US"/>
        </w:rPr>
        <w:t>Notes:</w:t>
      </w:r>
      <w:r w:rsidRPr="001948B7">
        <w:rPr>
          <w:rFonts w:asciiTheme="minorHAnsi" w:hAnsiTheme="minorHAnsi" w:cstheme="minorHAnsi"/>
          <w:sz w:val="18"/>
          <w:szCs w:val="18"/>
          <w:lang w:val="en-US"/>
        </w:rPr>
        <w:t xml:space="preserve"> Standard errors (clustered by country) in parentheses. </w:t>
      </w:r>
      <w:r w:rsidRPr="001948B7">
        <w:rPr>
          <w:rFonts w:ascii="Cambria Math" w:hAnsi="Cambria Math" w:cs="Cambria Math"/>
          <w:sz w:val="18"/>
          <w:szCs w:val="18"/>
          <w:lang w:val="en-US"/>
        </w:rPr>
        <w:t>∗∗∗</w:t>
      </w:r>
      <w:r w:rsidRPr="001948B7">
        <w:rPr>
          <w:rFonts w:asciiTheme="minorHAnsi" w:hAnsiTheme="minorHAnsi" w:cstheme="minorHAnsi"/>
          <w:sz w:val="18"/>
          <w:szCs w:val="18"/>
          <w:lang w:val="en-US"/>
        </w:rPr>
        <w:t>/</w:t>
      </w:r>
      <w:r w:rsidRPr="001948B7">
        <w:rPr>
          <w:rFonts w:ascii="Cambria Math" w:hAnsi="Cambria Math" w:cs="Cambria Math"/>
          <w:sz w:val="18"/>
          <w:szCs w:val="18"/>
          <w:lang w:val="en-US"/>
        </w:rPr>
        <w:t>∗∗</w:t>
      </w:r>
      <w:r w:rsidRPr="001948B7">
        <w:rPr>
          <w:rFonts w:asciiTheme="minorHAnsi" w:hAnsiTheme="minorHAnsi" w:cstheme="minorHAnsi"/>
          <w:sz w:val="18"/>
          <w:szCs w:val="18"/>
          <w:lang w:val="en-US"/>
        </w:rPr>
        <w:t>/</w:t>
      </w:r>
      <w:r w:rsidRPr="001948B7">
        <w:rPr>
          <w:rFonts w:ascii="Cambria Math" w:hAnsi="Cambria Math" w:cs="Cambria Math"/>
          <w:sz w:val="18"/>
          <w:szCs w:val="18"/>
          <w:lang w:val="en-US"/>
        </w:rPr>
        <w:t>∗</w:t>
      </w:r>
      <w:r w:rsidRPr="001948B7">
        <w:rPr>
          <w:rFonts w:asciiTheme="minorHAnsi" w:hAnsiTheme="minorHAnsi" w:cstheme="minorHAnsi"/>
          <w:sz w:val="18"/>
          <w:szCs w:val="18"/>
          <w:lang w:val="en-US"/>
        </w:rPr>
        <w:t xml:space="preserve"> indicate p &lt; 0.01/0.05/0.10. Additional controls: cyclical component of y, 2 lags of change in y, country fixed effects.</w:t>
      </w:r>
    </w:p>
    <w:p w14:paraId="3CC12646" w14:textId="77777777" w:rsidR="00093048" w:rsidRDefault="00093048" w:rsidP="00093048">
      <w:pPr>
        <w:spacing w:after="360" w:line="312" w:lineRule="auto"/>
        <w:jc w:val="both"/>
        <w:rPr>
          <w:lang w:val="en-US"/>
        </w:rPr>
      </w:pPr>
    </w:p>
    <w:p w14:paraId="3CB74EB4" w14:textId="1372F8D8" w:rsidR="00093048" w:rsidRPr="00093048" w:rsidRDefault="00093048" w:rsidP="00093048">
      <w:pPr>
        <w:spacing w:after="200" w:line="312" w:lineRule="auto"/>
        <w:jc w:val="both"/>
      </w:pPr>
      <w:r w:rsidRPr="00093048">
        <w:rPr>
          <w:lang w:val="en-US"/>
        </w:rPr>
        <w:t xml:space="preserve">The </w:t>
      </w:r>
      <w:r w:rsidRPr="00093048">
        <w:t xml:space="preserve">coefficient </w:t>
      </w:r>
      <w:proofErr w:type="spellStart"/>
      <w:r w:rsidRPr="00C975A3">
        <w:rPr>
          <w:i/>
          <w:iCs/>
        </w:rPr>
        <w:t>Λ</w:t>
      </w:r>
      <w:r w:rsidRPr="00C975A3">
        <w:rPr>
          <w:i/>
          <w:iCs/>
          <w:vertAlign w:val="subscript"/>
        </w:rPr>
        <w:t>h</w:t>
      </w:r>
      <w:proofErr w:type="spellEnd"/>
      <w:r w:rsidRPr="00093048">
        <w:t xml:space="preserve"> from expression (1) is the parameter governing the impact of the continuous policy variable and corresponds to the constrained version of equation (6), where we have rearranged that expression to get a direct estimate of the average response to policy intervention </w:t>
      </w:r>
      <w:proofErr w:type="spellStart"/>
      <w:r w:rsidRPr="00C975A3">
        <w:rPr>
          <w:i/>
          <w:iCs/>
        </w:rPr>
        <w:t>Λ</w:t>
      </w:r>
      <w:r w:rsidRPr="00C975A3">
        <w:rPr>
          <w:i/>
          <w:iCs/>
          <w:vertAlign w:val="subscript"/>
        </w:rPr>
        <w:t>h</w:t>
      </w:r>
      <w:proofErr w:type="spellEnd"/>
      <w:r w:rsidRPr="00093048">
        <w:t xml:space="preserve"> from the regression output.</w:t>
      </w:r>
    </w:p>
    <w:p w14:paraId="46193AA0" w14:textId="5F532302" w:rsidR="00093048" w:rsidRPr="00093048" w:rsidRDefault="00093048" w:rsidP="00093048">
      <w:pPr>
        <w:spacing w:after="200" w:line="312" w:lineRule="auto"/>
        <w:jc w:val="both"/>
      </w:pPr>
      <w:r w:rsidRPr="00093048">
        <w:t>Table 1 reports estimates based on equation (1). Estimated Gini Net for each year are reported in columns 1 to 4, and the 4-year sum of the deviations in column 6. The data appear to support the notion that Cash transfers can alleviate (especially in the first year), although the cumulative effect over a four-year period is not significant. If we focus on taxation -Indirect taxes and Property taxes-, output has a negative effect impact on income equality, Indirect taxes has a longer effect. On the other hand, we found that Income Progressivity has the expected sign on the first years losing effect the following years.</w:t>
      </w:r>
    </w:p>
    <w:p w14:paraId="15DBD4ED" w14:textId="77777777" w:rsidR="00093048" w:rsidRDefault="00093048" w:rsidP="00960F01">
      <w:pPr>
        <w:spacing w:after="360" w:line="312" w:lineRule="auto"/>
        <w:jc w:val="both"/>
        <w:rPr>
          <w:lang w:val="en-US"/>
        </w:rPr>
      </w:pPr>
    </w:p>
    <w:p w14:paraId="0B2D7177" w14:textId="77777777" w:rsidR="001948B7" w:rsidRDefault="001948B7" w:rsidP="00960F01">
      <w:pPr>
        <w:spacing w:after="360" w:line="312" w:lineRule="auto"/>
        <w:jc w:val="both"/>
        <w:rPr>
          <w:lang w:val="en-US"/>
        </w:rPr>
      </w:pPr>
    </w:p>
    <w:p w14:paraId="3598BED6" w14:textId="786D10E1"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8B1823">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7"/>
      <w:r w:rsidRPr="00960F01">
        <w:rPr>
          <w:lang w:val="en-US"/>
        </w:rPr>
        <w:lastRenderedPageBreak/>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7"/>
      <w:r w:rsidR="00B52E7B">
        <w:rPr>
          <w:rStyle w:val="CommentReference"/>
        </w:rPr>
        <w:commentReference w:id="7"/>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4D71E164" w:rsidR="00B52E7B" w:rsidRPr="002766BB" w:rsidRDefault="00BF7005" w:rsidP="00CA0D94">
      <w:pPr>
        <w:pStyle w:val="Head2"/>
      </w:pPr>
      <w:r w:rsidRPr="002766BB">
        <w:t>Fiscal Policy</w:t>
      </w:r>
      <w:r w:rsidR="00CA0D94">
        <w:t xml:space="preserve"> endogeneity</w:t>
      </w:r>
      <w:r w:rsidR="00B52E7B" w:rsidRPr="002766BB">
        <w:t xml:space="preserve">: </w:t>
      </w:r>
      <w:r w:rsidR="00CA0D94">
        <w:t xml:space="preserve">a </w:t>
      </w:r>
      <w:r w:rsidR="00017FEB" w:rsidRPr="002766BB">
        <w:t>Binary</w:t>
      </w:r>
      <w:r w:rsidR="00B52E7B" w:rsidRPr="002766BB">
        <w:t xml:space="preserve"> Instrument</w:t>
      </w:r>
    </w:p>
    <w:p w14:paraId="457BE7DB" w14:textId="746F401A" w:rsidR="00CA0D94" w:rsidRDefault="00CA0D94" w:rsidP="002766BB">
      <w:pPr>
        <w:spacing w:after="200" w:line="312" w:lineRule="auto"/>
        <w:jc w:val="both"/>
        <w:rPr>
          <w:lang w:val="en-US"/>
        </w:rPr>
      </w:pPr>
      <w:commentRangeStart w:id="8"/>
      <w:r w:rsidRPr="00CA0D94">
        <w:rPr>
          <w:lang w:val="en-US"/>
        </w:rPr>
        <w:t>Lastly, to mitigate any persistent allocation bias, we employ inverse probability weighting (IPW) estimation utilizing a prediction model to gauge the LP responses. It's crucial to regard the set of policy variables as a "fiscal treatment," treating them as binary indicators rather than continuous variables. Our focus is on characterizing a dynamic augmented regression-adjusted estimation (AIPW), which merges inverse probability weighting with regression control to adjust the estimator, thereby attaining semi-parametric efficiency (refer to Lunceford and Davidian, 2004, for further details).</w:t>
      </w:r>
      <w:commentRangeEnd w:id="8"/>
      <w:r>
        <w:rPr>
          <w:rStyle w:val="CommentReference"/>
        </w:rPr>
        <w:commentReference w:id="8"/>
      </w:r>
    </w:p>
    <w:p w14:paraId="1A41DD33" w14:textId="77777777" w:rsidR="00104D33" w:rsidRDefault="00B52E7B" w:rsidP="002766BB">
      <w:pPr>
        <w:spacing w:after="200" w:line="312" w:lineRule="auto"/>
        <w:jc w:val="both"/>
        <w:rPr>
          <w:lang w:val="en-US"/>
        </w:rPr>
      </w:pPr>
      <w:r w:rsidRPr="00B52E7B">
        <w:rPr>
          <w:lang w:val="en-US"/>
        </w:rPr>
        <w:t xml:space="preserve">Before drawing any conclusions, we evaluate whether the </w:t>
      </w:r>
      <w:r w:rsidR="00104D33">
        <w:rPr>
          <w:lang w:val="en-US"/>
        </w:rPr>
        <w:t xml:space="preserve">introduction of </w:t>
      </w:r>
      <w:r w:rsidR="00017FEB">
        <w:rPr>
          <w:lang w:val="en-US"/>
        </w:rPr>
        <w:t xml:space="preserve">binary </w:t>
      </w:r>
      <w:r w:rsidRPr="00B52E7B">
        <w:rPr>
          <w:lang w:val="en-US"/>
        </w:rPr>
        <w:t>variable</w:t>
      </w:r>
      <w:r w:rsidR="00104D33">
        <w:rPr>
          <w:lang w:val="en-US"/>
        </w:rPr>
        <w:t>s</w:t>
      </w:r>
      <w:r w:rsidRPr="00B52E7B">
        <w:rPr>
          <w:lang w:val="en-US"/>
        </w:rPr>
        <w:t xml:space="preserve"> </w:t>
      </w:r>
      <w:r w:rsidR="00104D33">
        <w:rPr>
          <w:lang w:val="en-US"/>
        </w:rPr>
        <w:t xml:space="preserve">as </w:t>
      </w:r>
      <w:r w:rsidRPr="00B52E7B">
        <w:rPr>
          <w:lang w:val="en-US"/>
        </w:rPr>
        <w:t xml:space="preserve">a legitimate instrument. </w:t>
      </w:r>
      <w:r w:rsidR="00104D33">
        <w:rPr>
          <w:lang w:val="en-US"/>
        </w:rPr>
        <w:t>We have to</w:t>
      </w:r>
      <w:r w:rsidRPr="00B52E7B">
        <w:rPr>
          <w:lang w:val="en-US"/>
        </w:rPr>
        <w:t xml:space="preserve"> identif</w:t>
      </w:r>
      <w:r w:rsidR="00104D33">
        <w:rPr>
          <w:lang w:val="en-US"/>
        </w:rPr>
        <w:t>y</w:t>
      </w:r>
      <w:r w:rsidRPr="00B52E7B">
        <w:rPr>
          <w:lang w:val="en-US"/>
        </w:rPr>
        <w:t xml:space="preserve"> the causal effect of fiscal </w:t>
      </w:r>
      <w:r w:rsidR="00BF7005">
        <w:rPr>
          <w:lang w:val="en-US"/>
        </w:rPr>
        <w:t xml:space="preserve">policies </w:t>
      </w:r>
      <w:r w:rsidRPr="00B52E7B">
        <w:rPr>
          <w:lang w:val="en-US"/>
        </w:rPr>
        <w:t xml:space="preserve">on </w:t>
      </w:r>
      <w:r w:rsidR="00104D33">
        <w:rPr>
          <w:lang w:val="en-US"/>
        </w:rPr>
        <w:t>inequality.</w:t>
      </w:r>
      <w:r w:rsidRPr="00B52E7B">
        <w:rPr>
          <w:lang w:val="en-US"/>
        </w:rPr>
        <w:t xml:space="preserve"> </w:t>
      </w:r>
      <w:r w:rsidR="00104D33">
        <w:rPr>
          <w:lang w:val="en-US"/>
        </w:rPr>
        <w:t>Although, w</w:t>
      </w:r>
      <w:r w:rsidRPr="00B52E7B">
        <w:rPr>
          <w:lang w:val="en-US"/>
        </w:rPr>
        <w:t xml:space="preserve">e cannot test the validity of the </w:t>
      </w:r>
      <w:r w:rsidR="00017FEB">
        <w:rPr>
          <w:lang w:val="en-US"/>
        </w:rPr>
        <w:t>binary</w:t>
      </w:r>
      <w:r w:rsidRPr="00B52E7B">
        <w:rPr>
          <w:lang w:val="en-US"/>
        </w:rPr>
        <w:t xml:space="preserve"> instrument since </w:t>
      </w:r>
      <w:r w:rsidR="00104D33">
        <w:rPr>
          <w:lang w:val="en-US"/>
        </w:rPr>
        <w:t>the</w:t>
      </w:r>
      <w:r w:rsidRPr="00B52E7B">
        <w:rPr>
          <w:lang w:val="en-US"/>
        </w:rPr>
        <w:t xml:space="preserve"> LP</w:t>
      </w:r>
      <w:r w:rsidR="00104D33">
        <w:rPr>
          <w:lang w:val="en-US"/>
        </w:rPr>
        <w:t xml:space="preserve"> model</w:t>
      </w:r>
      <w:r w:rsidRPr="00B52E7B">
        <w:rPr>
          <w:lang w:val="en-US"/>
        </w:rPr>
        <w:t xml:space="preserve"> </w:t>
      </w:r>
      <w:r w:rsidR="00104D33">
        <w:rPr>
          <w:lang w:val="en-US"/>
        </w:rPr>
        <w:t xml:space="preserve">is </w:t>
      </w:r>
      <w:r w:rsidRPr="00B52E7B">
        <w:rPr>
          <w:lang w:val="en-US"/>
        </w:rPr>
        <w:t>just identified</w:t>
      </w:r>
      <w:r w:rsidR="00104D33">
        <w:rPr>
          <w:lang w:val="en-US"/>
        </w:rPr>
        <w:t xml:space="preserve">, we believe the </w:t>
      </w:r>
      <w:r w:rsidR="00017FEB">
        <w:rPr>
          <w:lang w:val="en-US"/>
        </w:rPr>
        <w:t xml:space="preserve">binary </w:t>
      </w:r>
      <w:r w:rsidRPr="00B52E7B">
        <w:rPr>
          <w:lang w:val="en-US"/>
        </w:rPr>
        <w:t>variable can be predicted by excluded control</w:t>
      </w:r>
      <w:r w:rsidR="00104D33">
        <w:rPr>
          <w:lang w:val="en-US"/>
        </w:rPr>
        <w:t xml:space="preserve"> variables</w:t>
      </w:r>
      <w:r w:rsidRPr="00B52E7B">
        <w:rPr>
          <w:lang w:val="en-US"/>
        </w:rPr>
        <w:t xml:space="preserve">, and </w:t>
      </w:r>
      <w:r w:rsidR="00104D33">
        <w:rPr>
          <w:lang w:val="en-US"/>
        </w:rPr>
        <w:t xml:space="preserve">of course </w:t>
      </w:r>
      <w:r w:rsidRPr="00B52E7B">
        <w:rPr>
          <w:lang w:val="en-US"/>
        </w:rPr>
        <w:t xml:space="preserve">those </w:t>
      </w:r>
      <w:r w:rsidRPr="00B52E7B">
        <w:rPr>
          <w:lang w:val="en-US"/>
        </w:rPr>
        <w:lastRenderedPageBreak/>
        <w:t xml:space="preserve">controls are correlated with the </w:t>
      </w:r>
      <w:r w:rsidR="00BF7005">
        <w:rPr>
          <w:lang w:val="en-US"/>
        </w:rPr>
        <w:t>Gini net income</w:t>
      </w:r>
      <w:r w:rsidRPr="00B52E7B">
        <w:rPr>
          <w:lang w:val="en-US"/>
        </w:rPr>
        <w:t xml:space="preserve">, </w:t>
      </w:r>
      <w:r w:rsidR="00104D33">
        <w:rPr>
          <w:lang w:val="en-US"/>
        </w:rPr>
        <w:t xml:space="preserve">so, </w:t>
      </w:r>
      <w:r w:rsidRPr="00B52E7B">
        <w:rPr>
          <w:lang w:val="en-US"/>
        </w:rPr>
        <w:t>at a minimum</w:t>
      </w:r>
      <w:r w:rsidR="00017FEB">
        <w:rPr>
          <w:lang w:val="en-US"/>
        </w:rPr>
        <w:t>,</w:t>
      </w:r>
      <w:r w:rsidRPr="00B52E7B">
        <w:rPr>
          <w:lang w:val="en-US"/>
        </w:rPr>
        <w:t xml:space="preserve"> the excluded controls should be added to the regression.</w:t>
      </w:r>
    </w:p>
    <w:p w14:paraId="3066D2E8" w14:textId="6BCFB8FA" w:rsidR="00B52E7B" w:rsidRDefault="00B52E7B" w:rsidP="002766BB">
      <w:pPr>
        <w:spacing w:after="200" w:line="312" w:lineRule="auto"/>
        <w:jc w:val="both"/>
        <w:rPr>
          <w:lang w:val="en-US"/>
        </w:rPr>
      </w:pPr>
      <w:r w:rsidRPr="00B52E7B">
        <w:rPr>
          <w:lang w:val="en-US"/>
        </w:rPr>
        <w:t>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9"/>
      <w:r>
        <w:lastRenderedPageBreak/>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commentRangeEnd w:id="9"/>
      <w:r w:rsidR="00CD375B">
        <w:rPr>
          <w:rStyle w:val="CommentReference"/>
        </w:rPr>
        <w:commentReference w:id="9"/>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w:t>
            </w:r>
            <w:proofErr w:type="spellStart"/>
            <w:r w:rsidR="002766BB"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robit</w:t>
            </w:r>
            <w:proofErr w:type="spellEnd"/>
            <w:r w:rsidRPr="00DE7C05">
              <w:rPr>
                <w:rFonts w:asciiTheme="minorHAnsi" w:hAnsiTheme="minorHAnsi" w:cstheme="minorHAnsi"/>
                <w:b/>
                <w:bCs/>
                <w:color w:val="000000"/>
                <w:sz w:val="20"/>
                <w:szCs w:val="20"/>
              </w:rPr>
              <w:t xml:space="preserve">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r w:rsidR="00CD375B">
        <w:t>Taylor 2011</w:t>
      </w:r>
      <w:r>
        <w:t>)</w:t>
      </w:r>
      <w:r w:rsidR="00CD375B">
        <w:rPr>
          <w:rStyle w:val="FootnoteReference"/>
        </w:rPr>
        <w:footnoteReference w:id="10"/>
      </w:r>
      <w:r>
        <w:t xml:space="preserve">. Table </w:t>
      </w:r>
      <w:r w:rsidR="005E5A50">
        <w:t>5</w:t>
      </w:r>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lastRenderedPageBreak/>
        <w:t xml:space="preserve">The key lesson from Table </w:t>
      </w:r>
      <w:r w:rsidR="005E5A50">
        <w:t>5</w:t>
      </w:r>
      <w:r>
        <w:t xml:space="preserve"> is simply that the IMF variable has a significant forecastable component.</w:t>
      </w:r>
      <w:r w:rsidR="005E5A50">
        <w:rPr>
          <w:rStyle w:val="FootnoteReference"/>
        </w:rPr>
        <w:footnoteReference w:id="11"/>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t xml:space="preserve">The </w:t>
      </w:r>
      <w:r w:rsidR="000F6E3E">
        <w:rPr>
          <w:b/>
          <w:sz w:val="28"/>
          <w:szCs w:val="28"/>
          <w:lang w:val="en-US"/>
        </w:rPr>
        <w:t>statistic methodology</w:t>
      </w:r>
    </w:p>
    <w:p w14:paraId="202A8637" w14:textId="7C227E11" w:rsidR="00936F3E" w:rsidRDefault="00092BD2" w:rsidP="00DE7C05">
      <w:pPr>
        <w:spacing w:after="200" w:line="312" w:lineRule="auto"/>
        <w:rPr>
          <w:bCs/>
        </w:rPr>
      </w:pPr>
      <w:commentRangeStart w:id="10"/>
      <w:r>
        <w:rPr>
          <w:bCs/>
        </w:rPr>
        <w:t xml:space="preserve">As we mention above </w:t>
      </w:r>
      <w:r w:rsidR="00936F3E" w:rsidRPr="00936F3E">
        <w:rPr>
          <w:bCs/>
        </w:rPr>
        <w:t xml:space="preserve">dynamics are likely to be present, in the sense that the feedback between income inequality and growth occurs gradually over time, and with different intensities especially in the short-run. The empirical strategy that we propose is based on taking triple coverage against the above potential endogeneity. First, we take the episodes of policy intervention variable as the subset of all episodes that are a considered for random allocation. Think of it as a pseudo-IV step. Second, we include the extended set of covariates from Tables 6 and 7 and add them in the LP of expression of Equation (1). Finally, we use inverse propensity score weighting to re-randomize allocation of fiscal policy episodes. </w:t>
      </w:r>
      <w:commentRangeEnd w:id="10"/>
      <w:r>
        <w:rPr>
          <w:rStyle w:val="CommentReference"/>
        </w:rPr>
        <w:commentReference w:id="10"/>
      </w:r>
    </w:p>
    <w:p w14:paraId="7CEE348B" w14:textId="143714ED" w:rsidR="00FC443F" w:rsidRDefault="00FC443F" w:rsidP="00DE7C05">
      <w:pPr>
        <w:spacing w:after="200" w:line="312" w:lineRule="auto"/>
        <w:rPr>
          <w:bCs/>
        </w:rPr>
      </w:pPr>
      <w:r w:rsidRPr="00FC443F">
        <w:rPr>
          <w:bCs/>
        </w:rPr>
        <w:t xml:space="preserve">In order to facilitate the </w:t>
      </w:r>
      <w:r w:rsidR="00194EA3" w:rsidRPr="00FC443F">
        <w:rPr>
          <w:bCs/>
        </w:rPr>
        <w:t>explanation</w:t>
      </w:r>
      <w:r w:rsidRPr="00FC443F">
        <w:rPr>
          <w:bCs/>
        </w:rPr>
        <w:t xml:space="preserve">, we </w:t>
      </w:r>
      <w:r w:rsidR="006324DA">
        <w:rPr>
          <w:bCs/>
        </w:rPr>
        <w:t>describe the variables</w:t>
      </w:r>
      <w:r w:rsidRPr="00FC443F">
        <w:rPr>
          <w:bCs/>
        </w:rPr>
        <w:t xml:space="preserve"> as </w:t>
      </w:r>
      <w:proofErr w:type="spellStart"/>
      <w:r w:rsidRPr="006324DA">
        <w:rPr>
          <w:bCs/>
          <w:i/>
          <w:iCs/>
        </w:rPr>
        <w:t>y</w:t>
      </w:r>
      <w:r w:rsidRPr="006324DA">
        <w:rPr>
          <w:bCs/>
          <w:i/>
          <w:iCs/>
          <w:vertAlign w:val="subscript"/>
        </w:rPr>
        <w:t>t</w:t>
      </w:r>
      <w:proofErr w:type="spellEnd"/>
      <w:r w:rsidRPr="00FC443F">
        <w:rPr>
          <w:bCs/>
        </w:rPr>
        <w:t xml:space="preserve"> the outcome variable of interest, the log of </w:t>
      </w:r>
      <w:r w:rsidR="00194EA3">
        <w:rPr>
          <w:bCs/>
        </w:rPr>
        <w:t>Gini net index,</w:t>
      </w:r>
      <w:r w:rsidRPr="00FC443F">
        <w:rPr>
          <w:bCs/>
        </w:rPr>
        <w:t xml:space="preserve"> </w:t>
      </w:r>
      <w:r w:rsidRPr="006324DA">
        <w:rPr>
          <w:bCs/>
          <w:i/>
          <w:iCs/>
        </w:rPr>
        <w:t>D</w:t>
      </w:r>
      <w:r w:rsidRPr="006324DA">
        <w:rPr>
          <w:bCs/>
          <w:i/>
          <w:iCs/>
          <w:vertAlign w:val="subscript"/>
        </w:rPr>
        <w:t>t</w:t>
      </w:r>
      <w:r w:rsidRPr="00FC443F">
        <w:rPr>
          <w:bCs/>
        </w:rPr>
        <w:t xml:space="preserve"> denote the fiscal policy variable</w:t>
      </w:r>
      <w:r w:rsidR="00194EA3">
        <w:rPr>
          <w:bCs/>
        </w:rPr>
        <w:t>.</w:t>
      </w:r>
      <w:r>
        <w:rPr>
          <w:bCs/>
        </w:rPr>
        <w:t xml:space="preserve"> </w:t>
      </w:r>
      <w:r w:rsidR="006324DA">
        <w:rPr>
          <w:bCs/>
        </w:rPr>
        <w:t xml:space="preserve">Also, if </w:t>
      </w:r>
      <w:r w:rsidRPr="00FC443F">
        <w:rPr>
          <w:bCs/>
        </w:rPr>
        <w:t xml:space="preserve">the </w:t>
      </w:r>
      <w:r w:rsidR="00194EA3">
        <w:rPr>
          <w:bCs/>
        </w:rPr>
        <w:t xml:space="preserve">fiscal </w:t>
      </w:r>
      <w:r w:rsidRPr="00FC443F">
        <w:rPr>
          <w:bCs/>
        </w:rPr>
        <w:t xml:space="preserve">policy variable takes on </w:t>
      </w:r>
      <w:r w:rsidR="00194EA3">
        <w:rPr>
          <w:bCs/>
        </w:rPr>
        <w:t xml:space="preserve">simple </w:t>
      </w:r>
      <w:r w:rsidRPr="00FC443F">
        <w:rPr>
          <w:bCs/>
        </w:rPr>
        <w:t xml:space="preserve">discrete </w:t>
      </w:r>
      <w:r w:rsidR="006324DA" w:rsidRPr="00FC443F">
        <w:rPr>
          <w:bCs/>
        </w:rPr>
        <w:t>values,</w:t>
      </w:r>
      <w:r w:rsidR="006324DA">
        <w:rPr>
          <w:bCs/>
        </w:rPr>
        <w:t xml:space="preserve"> we extend the model</w:t>
      </w:r>
      <w:r w:rsidRPr="00FC443F">
        <w:rPr>
          <w:bCs/>
        </w:rPr>
        <w:t xml:space="preserve"> allow</w:t>
      </w:r>
      <w:r w:rsidR="006324DA">
        <w:rPr>
          <w:bCs/>
        </w:rPr>
        <w:t>ing</w:t>
      </w:r>
      <w:r w:rsidRPr="00FC443F">
        <w:rPr>
          <w:bCs/>
        </w:rPr>
        <w:t xml:space="preserve"> for a k</w:t>
      </w:r>
      <w:r w:rsidRPr="00BA73B2">
        <w:rPr>
          <w:bCs/>
          <w:vertAlign w:val="subscript"/>
        </w:rPr>
        <w:t>w</w:t>
      </w:r>
      <w:r w:rsidRPr="00FC443F">
        <w:rPr>
          <w:bCs/>
        </w:rPr>
        <w:t xml:space="preserve">-dimensional vector of variables, </w:t>
      </w:r>
      <w:proofErr w:type="spellStart"/>
      <w:r w:rsidRPr="006324DA">
        <w:rPr>
          <w:bCs/>
          <w:i/>
          <w:iCs/>
        </w:rPr>
        <w:t>w</w:t>
      </w:r>
      <w:r w:rsidRPr="006324DA">
        <w:rPr>
          <w:bCs/>
          <w:i/>
          <w:iCs/>
          <w:vertAlign w:val="subscript"/>
        </w:rPr>
        <w:t>t</w:t>
      </w:r>
      <w:proofErr w:type="spellEnd"/>
      <w:r w:rsidRPr="00FC443F">
        <w:rPr>
          <w:bCs/>
        </w:rPr>
        <w:t xml:space="preserve"> that are not included in </w:t>
      </w:r>
      <w:proofErr w:type="spellStart"/>
      <w:r w:rsidRPr="006324DA">
        <w:rPr>
          <w:bCs/>
          <w:i/>
          <w:iCs/>
        </w:rPr>
        <w:t>y</w:t>
      </w:r>
      <w:r w:rsidRPr="006324DA">
        <w:rPr>
          <w:bCs/>
          <w:i/>
          <w:iCs/>
          <w:vertAlign w:val="subscript"/>
        </w:rPr>
        <w:t>t</w:t>
      </w:r>
      <w:proofErr w:type="spellEnd"/>
      <w:r w:rsidRPr="00FC443F">
        <w:rPr>
          <w:bCs/>
        </w:rPr>
        <w:t xml:space="preserve">, but which could be </w:t>
      </w:r>
      <w:r w:rsidR="00BA73B2">
        <w:rPr>
          <w:bCs/>
        </w:rPr>
        <w:t xml:space="preserve">possibly </w:t>
      </w:r>
      <w:r w:rsidRPr="00FC443F">
        <w:rPr>
          <w:bCs/>
        </w:rPr>
        <w:t xml:space="preserve">relevant predictors of the policy variable </w:t>
      </w:r>
      <w:r w:rsidRPr="006324DA">
        <w:rPr>
          <w:bCs/>
          <w:i/>
          <w:iCs/>
        </w:rPr>
        <w:t>D</w:t>
      </w:r>
      <w:r w:rsidRPr="006324DA">
        <w:rPr>
          <w:bCs/>
          <w:i/>
          <w:iCs/>
          <w:vertAlign w:val="subscript"/>
        </w:rPr>
        <w:t>t</w:t>
      </w:r>
      <w:r w:rsidRPr="00FC443F">
        <w:rPr>
          <w:bCs/>
        </w:rPr>
        <w:t>.</w:t>
      </w:r>
      <w:r w:rsidR="00D27BD7">
        <w:rPr>
          <w:bCs/>
        </w:rPr>
        <w:t xml:space="preserve"> Finally, </w:t>
      </w:r>
      <w:proofErr w:type="spellStart"/>
      <w:r w:rsidR="00D27BD7" w:rsidRPr="00D27BD7">
        <w:rPr>
          <w:bCs/>
          <w:i/>
          <w:iCs/>
        </w:rPr>
        <w:t>Xt</w:t>
      </w:r>
      <w:proofErr w:type="spellEnd"/>
      <w:r w:rsidR="00D27BD7">
        <w:rPr>
          <w:bCs/>
          <w:i/>
          <w:iCs/>
          <w:vertAlign w:val="subscript"/>
        </w:rPr>
        <w:t xml:space="preserve">   </w:t>
      </w:r>
      <w:r w:rsidR="00D27BD7" w:rsidRPr="00D27BD7">
        <w:rPr>
          <w:bCs/>
        </w:rPr>
        <w:t>is the</w:t>
      </w:r>
      <w:r w:rsidR="00D27BD7">
        <w:rPr>
          <w:bCs/>
        </w:rPr>
        <w:t xml:space="preserve"> set of lagged variables that conditionate the model. </w:t>
      </w:r>
    </w:p>
    <w:p w14:paraId="1612F051" w14:textId="50BD85F4" w:rsidR="00DB1D32" w:rsidRDefault="00DB1D32" w:rsidP="00DE7C05">
      <w:pPr>
        <w:spacing w:after="200" w:line="312" w:lineRule="auto"/>
        <w:rPr>
          <w:bCs/>
        </w:rPr>
      </w:pPr>
      <w:r>
        <w:rPr>
          <w:bCs/>
        </w:rPr>
        <w:t>Our model relies on two simple assumptions for the econometric estimation.</w:t>
      </w:r>
    </w:p>
    <w:p w14:paraId="01F31F57" w14:textId="1B8060BB" w:rsidR="00FC443F" w:rsidRDefault="00FC443F" w:rsidP="00BA73B2">
      <w:pPr>
        <w:spacing w:after="200" w:line="312" w:lineRule="auto"/>
        <w:rPr>
          <w:bCs/>
        </w:rPr>
      </w:pPr>
      <w:r w:rsidRPr="00BA73B2">
        <w:rPr>
          <w:bCs/>
          <w:i/>
          <w:iCs/>
        </w:rPr>
        <w:t>Assumption 1</w:t>
      </w:r>
      <w:r>
        <w:rPr>
          <w:bCs/>
        </w:rPr>
        <w:t xml:space="preserve">: </w:t>
      </w:r>
      <w:r w:rsidRPr="00FC443F">
        <w:rPr>
          <w:bCs/>
        </w:rPr>
        <w:t xml:space="preserve">The causal effect of a </w:t>
      </w:r>
      <w:r w:rsidR="00BA73B2">
        <w:rPr>
          <w:bCs/>
        </w:rPr>
        <w:t xml:space="preserve">fiscal </w:t>
      </w:r>
      <w:r w:rsidRPr="00FC443F">
        <w:rPr>
          <w:bCs/>
        </w:rPr>
        <w:t xml:space="preserve">intervention is defined as the unobservable random variable given by the difference </w:t>
      </w:r>
      <w:r w:rsidRPr="00DB1D32">
        <w:rPr>
          <w:bCs/>
          <w:i/>
          <w:iCs/>
        </w:rPr>
        <w:t>(y</w:t>
      </w:r>
      <w:r w:rsidRPr="00DB1D32">
        <w:rPr>
          <w:bCs/>
          <w:i/>
          <w:iCs/>
          <w:vertAlign w:val="subscript"/>
        </w:rPr>
        <w:t>t</w:t>
      </w:r>
      <w:r w:rsidR="00BB5831" w:rsidRPr="00DB1D32">
        <w:rPr>
          <w:bCs/>
          <w:i/>
          <w:iCs/>
          <w:vertAlign w:val="subscript"/>
        </w:rPr>
        <w:t>1</w:t>
      </w:r>
      <w:r w:rsidRPr="00DB1D32">
        <w:rPr>
          <w:bCs/>
          <w:i/>
          <w:iCs/>
        </w:rPr>
        <w:t xml:space="preserve"> − </w:t>
      </w:r>
      <w:proofErr w:type="spellStart"/>
      <w:r w:rsidRPr="00DB1D32">
        <w:rPr>
          <w:bCs/>
          <w:i/>
          <w:iCs/>
        </w:rPr>
        <w:t>y</w:t>
      </w:r>
      <w:r w:rsidRPr="00DB1D32">
        <w:rPr>
          <w:bCs/>
          <w:i/>
          <w:iCs/>
          <w:vertAlign w:val="subscript"/>
        </w:rPr>
        <w:t>t</w:t>
      </w:r>
      <w:proofErr w:type="spellEnd"/>
      <w:r w:rsidRPr="00DB1D32">
        <w:rPr>
          <w:bCs/>
          <w:i/>
          <w:iCs/>
        </w:rPr>
        <w:t>) − (y</w:t>
      </w:r>
      <w:r w:rsidRPr="00DB1D32">
        <w:rPr>
          <w:bCs/>
          <w:i/>
          <w:iCs/>
          <w:vertAlign w:val="subscript"/>
        </w:rPr>
        <w:t>t</w:t>
      </w:r>
      <w:r w:rsidR="00BB5831" w:rsidRPr="00DB1D32">
        <w:rPr>
          <w:bCs/>
          <w:i/>
          <w:iCs/>
          <w:vertAlign w:val="subscript"/>
        </w:rPr>
        <w:t>0</w:t>
      </w:r>
      <w:r w:rsidR="00BB5831" w:rsidRPr="00DB1D32">
        <w:rPr>
          <w:bCs/>
          <w:i/>
          <w:iCs/>
        </w:rPr>
        <w:t xml:space="preserve"> </w:t>
      </w:r>
      <w:r w:rsidRPr="00DB1D32">
        <w:rPr>
          <w:bCs/>
          <w:i/>
          <w:iCs/>
        </w:rPr>
        <w:t xml:space="preserve">− </w:t>
      </w:r>
      <w:proofErr w:type="spellStart"/>
      <w:r w:rsidRPr="00DB1D32">
        <w:rPr>
          <w:bCs/>
          <w:i/>
          <w:iCs/>
        </w:rPr>
        <w:t>y</w:t>
      </w:r>
      <w:r w:rsidRPr="00DB1D32">
        <w:rPr>
          <w:bCs/>
          <w:i/>
          <w:iCs/>
          <w:vertAlign w:val="subscript"/>
        </w:rPr>
        <w:t>t</w:t>
      </w:r>
      <w:proofErr w:type="spellEnd"/>
      <w:r w:rsidRPr="00DB1D32">
        <w:rPr>
          <w:bCs/>
          <w:i/>
          <w:iCs/>
        </w:rPr>
        <w:t>).</w:t>
      </w:r>
      <w:r w:rsidRPr="00FC443F">
        <w:rPr>
          <w:bCs/>
        </w:rPr>
        <w:t xml:space="preserve"> Notice that </w:t>
      </w:r>
      <w:proofErr w:type="spellStart"/>
      <w:r w:rsidRPr="00340E5D">
        <w:rPr>
          <w:bCs/>
          <w:i/>
          <w:iCs/>
        </w:rPr>
        <w:t>y</w:t>
      </w:r>
      <w:r w:rsidRPr="00340E5D">
        <w:rPr>
          <w:bCs/>
          <w:i/>
          <w:iCs/>
          <w:vertAlign w:val="subscript"/>
        </w:rPr>
        <w:t>t</w:t>
      </w:r>
      <w:proofErr w:type="spellEnd"/>
      <w:r w:rsidRPr="00FC443F">
        <w:rPr>
          <w:bCs/>
        </w:rPr>
        <w:t xml:space="preserve"> is only used to benchmark the cumulative change and it is observed at time t. We assume that the parameters of the policy function do not change.</w:t>
      </w:r>
    </w:p>
    <w:p w14:paraId="614B907D" w14:textId="0F2A2E57" w:rsidR="00FC443F" w:rsidRDefault="00FC443F" w:rsidP="00DE7C05">
      <w:pPr>
        <w:spacing w:after="200" w:line="312" w:lineRule="auto"/>
        <w:rPr>
          <w:bCs/>
        </w:rPr>
      </w:pPr>
      <w:r w:rsidRPr="00FC443F">
        <w:rPr>
          <w:bCs/>
        </w:rPr>
        <w:t>Consider</w:t>
      </w:r>
      <w:r w:rsidR="00340E5D">
        <w:rPr>
          <w:bCs/>
        </w:rPr>
        <w:t>ing</w:t>
      </w:r>
      <w:r w:rsidRPr="00FC443F">
        <w:rPr>
          <w:bCs/>
        </w:rPr>
        <w:t xml:space="preserve">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w:t>
      </w:r>
      <w:r w:rsidR="00A0625F" w:rsidRPr="00FC443F">
        <w:rPr>
          <w:bCs/>
        </w:rPr>
        <w:t>by</w:t>
      </w:r>
      <w:r w:rsidR="00A0625F">
        <w:rPr>
          <w:bCs/>
        </w:rPr>
        <w:t>; h is considered as the horizon timeline.</w:t>
      </w:r>
    </w:p>
    <w:p w14:paraId="3A8B956B" w14:textId="254D88A4" w:rsidR="00FC443F" w:rsidRPr="006D3CE6" w:rsidRDefault="000509C3" w:rsidP="00DE7C05">
      <w:pPr>
        <w:spacing w:after="200" w:line="312" w:lineRule="auto"/>
        <w:jc w:val="center"/>
        <w:rPr>
          <w:bCs/>
        </w:rPr>
      </w:pPr>
      <m:oMath>
        <m:r>
          <w:rPr>
            <w:rFonts w:ascii="Cambria Math" w:hAnsi="Cambria Math"/>
            <w:sz w:val="28"/>
            <w:szCs w:val="28"/>
          </w:rPr>
          <m:t>E[</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t0</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oMath>
      <w:r>
        <w:rPr>
          <w:bCs/>
        </w:rPr>
        <w:tab/>
      </w:r>
      <w:r w:rsidR="00340E5D">
        <w:rPr>
          <w:bCs/>
        </w:rPr>
        <w:t xml:space="preserve">           </w:t>
      </w:r>
      <w:r>
        <w:rPr>
          <w:bCs/>
        </w:rPr>
        <w:t>(3)</w:t>
      </w:r>
    </w:p>
    <w:p w14:paraId="1B32D4B4" w14:textId="1BED4933" w:rsidR="006D3CE6" w:rsidRDefault="00B72023" w:rsidP="00DE7C05">
      <w:pPr>
        <w:spacing w:after="200" w:line="312" w:lineRule="auto"/>
        <w:jc w:val="center"/>
        <w:rPr>
          <w:bCs/>
          <w:lang w:val="en-US"/>
        </w:rPr>
      </w:pPr>
      <m:oMath>
        <m:sSubSup>
          <m:sSubSupPr>
            <m:ctrlPr>
              <w:rPr>
                <w:rFonts w:ascii="Cambria Math" w:hAnsi="Cambria Math"/>
                <w:bCs/>
                <w:sz w:val="28"/>
                <w:szCs w:val="28"/>
              </w:rPr>
            </m:ctrlPr>
          </m:sSubSupPr>
          <m:e>
            <m:r>
              <m:rPr>
                <m:sty m:val="p"/>
              </m:rPr>
              <w:rPr>
                <w:rFonts w:ascii="Cambria Math" w:hAnsi="Cambria Math"/>
                <w:sz w:val="28"/>
                <w:szCs w:val="28"/>
              </w:rPr>
              <m:t>Λ</m:t>
            </m:r>
          </m:e>
          <m:sub>
            <m:r>
              <w:rPr>
                <w:rFonts w:ascii="Cambria Math" w:hAnsi="Cambria Math"/>
                <w:sz w:val="28"/>
                <w:szCs w:val="28"/>
                <w:lang w:val="en-US"/>
              </w:rPr>
              <m:t xml:space="preserve">GroupMean </m:t>
            </m:r>
          </m:sub>
          <m:sup>
            <m:r>
              <w:rPr>
                <w:rFonts w:ascii="Cambria Math" w:hAnsi="Cambria Math"/>
                <w:sz w:val="28"/>
                <w:szCs w:val="28"/>
                <w:lang w:val="en-US"/>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subSup"/>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0</m:t>
                </m:r>
              </m:sub>
            </m:sSub>
          </m:den>
        </m:f>
        <m:nary>
          <m:naryPr>
            <m:chr m:val="∑"/>
            <m:limLoc m:val="subSup"/>
            <m:supHide m:val="1"/>
            <m:ctrlPr>
              <w:rPr>
                <w:rFonts w:ascii="Cambria Math" w:hAnsi="Cambria Math"/>
                <w:bCs/>
                <w:i/>
                <w:sz w:val="28"/>
                <w:szCs w:val="28"/>
              </w:rPr>
            </m:ctrlPr>
          </m:naryPr>
          <m:sub>
            <m:r>
              <w:rPr>
                <w:rFonts w:ascii="Cambria Math" w:hAnsi="Cambria Math"/>
                <w:sz w:val="28"/>
                <w:szCs w:val="28"/>
              </w:rPr>
              <m:t>t</m:t>
            </m:r>
          </m:sub>
          <m:sup/>
          <m:e>
            <m:r>
              <w:rPr>
                <w:rFonts w:ascii="Cambria Math" w:hAnsi="Cambria Math"/>
                <w:sz w:val="28"/>
                <w:szCs w:val="28"/>
                <w:lang w:val="en-US"/>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oMath>
      <w:r w:rsidR="006D3CE6" w:rsidRPr="006D3CE6">
        <w:rPr>
          <w:bCs/>
          <w:lang w:val="en-US"/>
        </w:rPr>
        <w:t xml:space="preserve">  </w:t>
      </w:r>
      <w:r w:rsidR="00AF2D72">
        <w:rPr>
          <w:bCs/>
          <w:lang w:val="en-US"/>
        </w:rPr>
        <w:t xml:space="preserve">        </w:t>
      </w:r>
      <w:r w:rsidR="000509C3">
        <w:rPr>
          <w:bCs/>
          <w:lang w:val="en-US"/>
        </w:rPr>
        <w:t>(4)</w:t>
      </w:r>
      <w:r w:rsidR="006D3CE6" w:rsidRPr="006D3CE6">
        <w:rPr>
          <w:bCs/>
          <w:lang w:val="en-US"/>
        </w:rPr>
        <w:t xml:space="preserve"> </w:t>
      </w:r>
    </w:p>
    <w:p w14:paraId="21794F07" w14:textId="53E4982B" w:rsidR="006D3CE6" w:rsidRDefault="006D3CE6" w:rsidP="00DE7C05">
      <w:pPr>
        <w:spacing w:after="200" w:line="312" w:lineRule="auto"/>
        <w:rPr>
          <w:bCs/>
          <w:lang w:val="en-US"/>
        </w:rPr>
      </w:pPr>
      <w:r w:rsidRPr="006D3CE6">
        <w:rPr>
          <w:bCs/>
          <w:lang w:val="en-US"/>
        </w:rPr>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A0625F">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340E5D">
        <w:rPr>
          <w:bCs/>
          <w:lang w:val="en-US"/>
        </w:rPr>
        <w:t xml:space="preserve"> in equation (5)</w:t>
      </w:r>
      <w:r w:rsidR="00F55C92">
        <w:rPr>
          <w:bCs/>
          <w:lang w:val="en-US"/>
        </w:rPr>
        <w:t>.</w:t>
      </w:r>
    </w:p>
    <w:p w14:paraId="3D884800" w14:textId="42234BD2" w:rsidR="00F55C92" w:rsidRDefault="00B72023"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w:t>
      </w:r>
    </w:p>
    <w:p w14:paraId="299A8F67" w14:textId="4A3748AF" w:rsidR="00F55C92" w:rsidRDefault="00F55C92" w:rsidP="00DE7C05">
      <w:pPr>
        <w:spacing w:after="200" w:line="312" w:lineRule="auto"/>
        <w:rPr>
          <w:bCs/>
          <w:lang w:val="en-US"/>
        </w:rPr>
      </w:pPr>
      <w:r w:rsidRPr="00F55C92">
        <w:rPr>
          <w:bCs/>
          <w:lang w:val="en-US"/>
        </w:rPr>
        <w:t xml:space="preserve">Even when data are randomly allocated across the treatment and control subpopulations, it would be natural to condition on the </w:t>
      </w:r>
      <w:proofErr w:type="spellStart"/>
      <w:r w:rsidRPr="00D27BD7">
        <w:rPr>
          <w:bCs/>
          <w:i/>
          <w:iCs/>
          <w:lang w:val="en-US"/>
        </w:rPr>
        <w:t>X</w:t>
      </w:r>
      <w:r w:rsidRPr="00D27BD7">
        <w:rPr>
          <w:bCs/>
          <w:i/>
          <w:iCs/>
          <w:vertAlign w:val="subscript"/>
          <w:lang w:val="en-US"/>
        </w:rPr>
        <w:t>t</w:t>
      </w:r>
      <w:proofErr w:type="spellEnd"/>
      <w:r w:rsidRPr="00D27BD7">
        <w:rPr>
          <w:bCs/>
          <w:i/>
          <w:iCs/>
          <w:lang w:val="en-US"/>
        </w:rPr>
        <w:t xml:space="preserve"> </w:t>
      </w:r>
      <w:r w:rsidRPr="00F55C92">
        <w:rPr>
          <w:bCs/>
          <w:lang w:val="en-US"/>
        </w:rPr>
        <w:t xml:space="preserve">to adjust for small-sample differences in subpopulation characteristics and gain </w:t>
      </w:r>
      <w:r w:rsidR="00D27BD7">
        <w:rPr>
          <w:bCs/>
          <w:lang w:val="en-US"/>
        </w:rPr>
        <w:t xml:space="preserve">some </w:t>
      </w:r>
      <w:r w:rsidRPr="00F55C92">
        <w:rPr>
          <w:bCs/>
          <w:lang w:val="en-US"/>
        </w:rPr>
        <w:t xml:space="preserve">efficiency. </w:t>
      </w:r>
      <w:r w:rsidR="00D358D3">
        <w:rPr>
          <w:bCs/>
          <w:lang w:val="en-US"/>
        </w:rPr>
        <w:t xml:space="preserve">Our </w:t>
      </w:r>
      <w:r w:rsidRPr="00F55C92">
        <w:rPr>
          <w:bCs/>
          <w:lang w:val="en-US"/>
        </w:rPr>
        <w:t xml:space="preserve">estimator is consistent for the average treatment effect (ATE) whether or not regressors are included. The estimate of the ATE does not depend on specific assumptions about this model if the conditional </w:t>
      </w:r>
      <w:r w:rsidR="008A7917">
        <w:rPr>
          <w:bCs/>
          <w:lang w:val="en-US"/>
        </w:rPr>
        <w:t xml:space="preserve">independence </w:t>
      </w:r>
      <w:r w:rsidRPr="00F55C92">
        <w:rPr>
          <w:bCs/>
          <w:lang w:val="en-US"/>
        </w:rPr>
        <w:t>assumption is met</w:t>
      </w:r>
      <w:r w:rsidR="00E532CE">
        <w:rPr>
          <w:bCs/>
          <w:lang w:val="en-US"/>
        </w:rPr>
        <w:t xml:space="preserve"> or not</w:t>
      </w:r>
      <w:r w:rsidRPr="00F55C92">
        <w:rPr>
          <w:bCs/>
          <w:lang w:val="en-US"/>
        </w:rPr>
        <w:t>.</w:t>
      </w:r>
    </w:p>
    <w:p w14:paraId="4F68FFA9" w14:textId="28C6485A" w:rsidR="00F55C92" w:rsidRDefault="00F55C92" w:rsidP="00DE7C05">
      <w:pPr>
        <w:spacing w:after="200" w:line="312" w:lineRule="auto"/>
        <w:rPr>
          <w:bCs/>
        </w:rPr>
      </w:pPr>
      <w:r w:rsidRPr="00E532CE">
        <w:rPr>
          <w:bCs/>
          <w:i/>
          <w:iCs/>
        </w:rPr>
        <w:t>Assumption 2:</w:t>
      </w:r>
      <w:r>
        <w:rPr>
          <w:bCs/>
        </w:rPr>
        <w:t xml:space="preserve"> </w:t>
      </w:r>
      <w:r w:rsidRPr="00F55C92">
        <w:rPr>
          <w:bCs/>
        </w:rPr>
        <w:t xml:space="preserve">Assume that a linear regression control strategy suffices to do the appropriate conditioning for the </w:t>
      </w:r>
      <w:proofErr w:type="spellStart"/>
      <w:r w:rsidRPr="00D358D3">
        <w:rPr>
          <w:bCs/>
          <w:i/>
          <w:iCs/>
        </w:rPr>
        <w:t>X</w:t>
      </w:r>
      <w:r w:rsidRPr="00D358D3">
        <w:rPr>
          <w:bCs/>
          <w:i/>
          <w:iCs/>
          <w:vertAlign w:val="subscript"/>
        </w:rPr>
        <w:t>t</w:t>
      </w:r>
      <w:proofErr w:type="spellEnd"/>
      <w:r w:rsidRPr="00F55C92">
        <w:rPr>
          <w:bCs/>
        </w:rPr>
        <w:t xml:space="preserve"> and hence obtain a consistent estimate of </w:t>
      </w:r>
      <w:proofErr w:type="gramStart"/>
      <w:r w:rsidRPr="00D358D3">
        <w:rPr>
          <w:bCs/>
          <w:i/>
          <w:iCs/>
        </w:rPr>
        <w:t>E[</w:t>
      </w:r>
      <w:proofErr w:type="spellStart"/>
      <w:proofErr w:type="gramEnd"/>
      <w:r w:rsidRPr="00D358D3">
        <w:rPr>
          <w:bCs/>
          <w:i/>
          <w:iCs/>
        </w:rPr>
        <w:t>y</w:t>
      </w:r>
      <w:r w:rsidRPr="00D358D3">
        <w:rPr>
          <w:bCs/>
          <w:i/>
          <w:iCs/>
          <w:vertAlign w:val="subscript"/>
        </w:rPr>
        <w:t>t+h</w:t>
      </w:r>
      <w:proofErr w:type="spellEnd"/>
      <w:r w:rsidRPr="00D358D3">
        <w:rPr>
          <w:bCs/>
          <w:i/>
          <w:iCs/>
        </w:rPr>
        <w:t xml:space="preserve"> − </w:t>
      </w:r>
      <w:proofErr w:type="spellStart"/>
      <w:r w:rsidRPr="00D358D3">
        <w:rPr>
          <w:bCs/>
          <w:i/>
          <w:iCs/>
        </w:rPr>
        <w:t>y</w:t>
      </w:r>
      <w:r w:rsidRPr="00D358D3">
        <w:rPr>
          <w:bCs/>
          <w:i/>
          <w:iCs/>
          <w:vertAlign w:val="subscript"/>
        </w:rPr>
        <w:t>t</w:t>
      </w:r>
      <w:proofErr w:type="spellEnd"/>
      <w:r w:rsidRPr="00D358D3">
        <w:rPr>
          <w:bCs/>
          <w:i/>
          <w:iCs/>
        </w:rPr>
        <w:t xml:space="preserve"> |</w:t>
      </w:r>
      <w:r w:rsidR="00D358D3" w:rsidRPr="00D358D3">
        <w:rPr>
          <w:bCs/>
          <w:i/>
          <w:iCs/>
        </w:rPr>
        <w:t xml:space="preserve"> </w:t>
      </w:r>
      <w:r w:rsidRPr="00D358D3">
        <w:rPr>
          <w:bCs/>
          <w:i/>
          <w:iCs/>
        </w:rPr>
        <w:t>D</w:t>
      </w:r>
      <w:r w:rsidRPr="00D358D3">
        <w:rPr>
          <w:bCs/>
          <w:i/>
          <w:iCs/>
          <w:vertAlign w:val="subscript"/>
        </w:rPr>
        <w:t>t</w:t>
      </w:r>
      <w:r w:rsidRPr="00D358D3">
        <w:rPr>
          <w:bCs/>
          <w:i/>
          <w:iCs/>
        </w:rPr>
        <w:t xml:space="preserve"> , </w:t>
      </w:r>
      <w:proofErr w:type="spellStart"/>
      <w:r w:rsidRPr="00D358D3">
        <w:rPr>
          <w:bCs/>
          <w:i/>
          <w:iCs/>
        </w:rPr>
        <w:t>X</w:t>
      </w:r>
      <w:r w:rsidRPr="00D358D3">
        <w:rPr>
          <w:bCs/>
          <w:i/>
          <w:iCs/>
          <w:vertAlign w:val="subscript"/>
        </w:rPr>
        <w:t>t</w:t>
      </w:r>
      <w:proofErr w:type="spellEnd"/>
      <w:r w:rsidRPr="00D358D3">
        <w:rPr>
          <w:bCs/>
          <w:i/>
          <w:iCs/>
        </w:rPr>
        <w:t xml:space="preserve"> ].</w:t>
      </w:r>
      <w:r w:rsidRPr="00F55C92">
        <w:rPr>
          <w:bCs/>
        </w:rPr>
        <w:t xml:space="preserve"> This is a</w:t>
      </w:r>
      <w:r w:rsidR="00E532CE">
        <w:rPr>
          <w:bCs/>
        </w:rPr>
        <w:t>n</w:t>
      </w:r>
      <w:r w:rsidRPr="00F55C92">
        <w:rPr>
          <w:bCs/>
        </w:rPr>
        <w:t xml:space="preserve"> assumption that we relax later. </w:t>
      </w:r>
      <w:r w:rsidR="00D358D3">
        <w:rPr>
          <w:bCs/>
        </w:rPr>
        <w:t>T</w:t>
      </w:r>
      <w:r w:rsidRPr="00F55C92">
        <w:rPr>
          <w:bCs/>
        </w:rPr>
        <w:t>his is the assumption of studies based on VAR</w:t>
      </w:r>
      <w:r w:rsidR="00E532CE">
        <w:rPr>
          <w:bCs/>
        </w:rPr>
        <w:t xml:space="preserve"> models</w:t>
      </w:r>
      <w:r w:rsidRPr="00F55C92">
        <w:rPr>
          <w:bCs/>
        </w:rPr>
        <w:t xml:space="preserve"> where identification does not rely on external information. Then the average causal effect of a policy intervention on the outcome variable at time t + h can be calculated with</w:t>
      </w:r>
    </w:p>
    <w:p w14:paraId="1DBC5139" w14:textId="0F8E8E67" w:rsidR="00A15425" w:rsidRDefault="00B72023" w:rsidP="00DE7C05">
      <w:pPr>
        <w:spacing w:after="200" w:line="312" w:lineRule="auto"/>
        <w:jc w:val="center"/>
        <w:rPr>
          <w:bCs/>
          <w:lang w:val="en-US"/>
        </w:rPr>
      </w:pPr>
      <m:oMath>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t+h</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v</m:t>
            </m:r>
          </m:e>
          <m:sub>
            <m:r>
              <w:rPr>
                <w:rFonts w:ascii="Cambria Math" w:hAnsi="Cambria Math"/>
                <w:sz w:val="26"/>
                <w:szCs w:val="26"/>
                <w:lang w:val="en-US"/>
              </w:rPr>
              <m:t>t+h</m:t>
            </m:r>
          </m:sub>
        </m:sSub>
      </m:oMath>
      <w:r w:rsidR="00A15425" w:rsidRPr="006C0DB6">
        <w:rPr>
          <w:bCs/>
          <w:sz w:val="28"/>
          <w:szCs w:val="28"/>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w:t>
      </w:r>
    </w:p>
    <w:p w14:paraId="6B754F91" w14:textId="5A99D78D" w:rsidR="00A15425" w:rsidRPr="00A15425" w:rsidRDefault="006C0DB6" w:rsidP="00DE7C05">
      <w:pPr>
        <w:spacing w:after="200" w:line="312" w:lineRule="auto"/>
        <w:rPr>
          <w:bCs/>
          <w:lang w:val="en-US"/>
        </w:rPr>
      </w:pPr>
      <w:r>
        <w:rPr>
          <w:bCs/>
          <w:lang w:val="en-US"/>
        </w:rPr>
        <w:t>E</w:t>
      </w:r>
      <w:r w:rsidR="00856E08" w:rsidRPr="00A15425">
        <w:rPr>
          <w:bCs/>
          <w:lang w:val="en-US"/>
        </w:rPr>
        <w:t>nforc</w:t>
      </w:r>
      <w:r>
        <w:rPr>
          <w:bCs/>
          <w:lang w:val="en-US"/>
        </w:rPr>
        <w:t>ing</w:t>
      </w:r>
      <w:r w:rsidR="00A15425" w:rsidRPr="00A15425">
        <w:rPr>
          <w:bCs/>
          <w:lang w:val="en-US"/>
        </w:rPr>
        <w:t xml:space="preserve"> the</w:t>
      </w:r>
      <w:r>
        <w:rPr>
          <w:bCs/>
          <w:lang w:val="en-US"/>
        </w:rPr>
        <w:t xml:space="preserve"> identity of</w:t>
      </w:r>
      <w:r w:rsidR="00A15425">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00A15425" w:rsidRPr="00A15425">
        <w:rPr>
          <w:bCs/>
          <w:lang w:val="en-US"/>
        </w:rPr>
        <w:t xml:space="preserve">, then </w:t>
      </w:r>
      <w:r w:rsidR="00A15425">
        <w:rPr>
          <w:bCs/>
          <w:lang w:val="en-US"/>
        </w:rPr>
        <w:t xml:space="preserve">the above </w:t>
      </w:r>
      <w:r w:rsidR="00A15425" w:rsidRPr="00A15425">
        <w:rPr>
          <w:bCs/>
          <w:lang w:val="en-US"/>
        </w:rPr>
        <w:t>expression is a</w:t>
      </w:r>
      <w:r w:rsidR="00A15425">
        <w:rPr>
          <w:bCs/>
          <w:lang w:val="en-US"/>
        </w:rPr>
        <w:t xml:space="preserve"> </w:t>
      </w:r>
      <w:r w:rsidR="00A15425"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00A15425" w:rsidRPr="00A15425">
        <w:rPr>
          <w:bCs/>
          <w:lang w:val="en-US"/>
        </w:rPr>
        <w:t xml:space="preserve">is the policy response at horizon </w:t>
      </w:r>
      <w:r w:rsidR="00A15425" w:rsidRPr="006C0DB6">
        <w:rPr>
          <w:bCs/>
          <w:i/>
          <w:iCs/>
          <w:lang w:val="en-US"/>
        </w:rPr>
        <w:t>h</w:t>
      </w:r>
      <w:r w:rsidR="00A15425" w:rsidRPr="00A15425">
        <w:rPr>
          <w:bCs/>
          <w:lang w:val="en-US"/>
        </w:rPr>
        <w:t>.</w:t>
      </w:r>
      <w:r w:rsidR="00A15425">
        <w:rPr>
          <w:bCs/>
          <w:lang w:val="en-US"/>
        </w:rPr>
        <w:t xml:space="preserve"> </w:t>
      </w:r>
      <w:r w:rsidR="00A15425" w:rsidRPr="00A15425">
        <w:rPr>
          <w:bCs/>
          <w:lang w:val="en-US"/>
        </w:rPr>
        <w:t xml:space="preserve">The standard linear LP is a direct estimate of the </w:t>
      </w:r>
      <w:r w:rsidRPr="00A15425">
        <w:rPr>
          <w:bCs/>
          <w:lang w:val="en-US"/>
        </w:rPr>
        <w:t>characteristic</w:t>
      </w:r>
      <w:r w:rsidR="00A15425" w:rsidRPr="00A15425">
        <w:rPr>
          <w:bCs/>
          <w:lang w:val="en-US"/>
        </w:rPr>
        <w:t xml:space="preserve"> impulse response derived from</w:t>
      </w:r>
      <w:r w:rsidR="00A15425">
        <w:rPr>
          <w:bCs/>
          <w:lang w:val="en-US"/>
        </w:rPr>
        <w:t xml:space="preserve"> </w:t>
      </w:r>
      <w:r w:rsidR="00A15425" w:rsidRPr="00A15425">
        <w:rPr>
          <w:bCs/>
          <w:lang w:val="en-US"/>
        </w:rPr>
        <w:t>a traditional VAR</w:t>
      </w:r>
      <w:r w:rsidR="00856E08">
        <w:rPr>
          <w:bCs/>
          <w:lang w:val="en-US"/>
        </w:rPr>
        <w:t xml:space="preserve"> (</w:t>
      </w:r>
      <w:r>
        <w:rPr>
          <w:bCs/>
          <w:lang w:val="en-US"/>
        </w:rPr>
        <w:t xml:space="preserve">see </w:t>
      </w:r>
      <w:proofErr w:type="spellStart"/>
      <w:r w:rsidR="00A15425" w:rsidRPr="00A15425">
        <w:rPr>
          <w:bCs/>
          <w:lang w:val="en-US"/>
        </w:rPr>
        <w:t>Jorda</w:t>
      </w:r>
      <w:proofErr w:type="spellEnd"/>
      <w:r w:rsidR="00856E08">
        <w:rPr>
          <w:bCs/>
          <w:lang w:val="en-US"/>
        </w:rPr>
        <w:t xml:space="preserve">, </w:t>
      </w:r>
      <w:r w:rsidR="00A15425" w:rsidRPr="00A15425">
        <w:rPr>
          <w:bCs/>
          <w:lang w:val="en-US"/>
        </w:rPr>
        <w:t>2005</w:t>
      </w:r>
      <w:r w:rsidR="00856E08">
        <w:rPr>
          <w:bCs/>
          <w:lang w:val="en-US"/>
        </w:rPr>
        <w:t>)</w:t>
      </w:r>
      <w:r w:rsidR="00A15425">
        <w:rPr>
          <w:bCs/>
          <w:lang w:val="en-US"/>
        </w:rPr>
        <w:t>.</w:t>
      </w:r>
    </w:p>
    <w:p w14:paraId="07973C5B" w14:textId="0CFE75AA" w:rsidR="00A15425" w:rsidRDefault="006C0DB6" w:rsidP="00DE7C05">
      <w:pPr>
        <w:spacing w:after="200" w:line="312" w:lineRule="auto"/>
        <w:rPr>
          <w:bCs/>
        </w:rPr>
      </w:pPr>
      <w:r>
        <w:rPr>
          <w:bCs/>
        </w:rPr>
        <w:t>The above</w:t>
      </w:r>
      <w:r w:rsidR="00A15425" w:rsidRPr="00A15425">
        <w:rPr>
          <w:bCs/>
        </w:rPr>
        <w:t xml:space="preserve"> constrained specification, which characterizes responses derived from a VAR, imposes two </w:t>
      </w:r>
      <w:r>
        <w:rPr>
          <w:bCs/>
        </w:rPr>
        <w:t>additional</w:t>
      </w:r>
      <w:r w:rsidR="00A15425" w:rsidRPr="00A15425">
        <w:rPr>
          <w:bCs/>
        </w:rPr>
        <w:t xml:space="preserve"> assumptions. First, the effect of </w:t>
      </w:r>
      <w:proofErr w:type="spellStart"/>
      <w:r w:rsidR="00A15425" w:rsidRPr="006C0DB6">
        <w:rPr>
          <w:bCs/>
          <w:i/>
          <w:iCs/>
        </w:rPr>
        <w:t>Xt</w:t>
      </w:r>
      <w:proofErr w:type="spellEnd"/>
      <w:r w:rsidR="00A15425" w:rsidRPr="00A15425">
        <w:rPr>
          <w:bCs/>
        </w:rPr>
        <w:t xml:space="preserve"> is assumed to be stable across the treated and control subpopulations. Second, the expected value of </w:t>
      </w:r>
      <w:proofErr w:type="spellStart"/>
      <w:r w:rsidR="00A15425" w:rsidRPr="006C0DB6">
        <w:rPr>
          <w:bCs/>
          <w:i/>
          <w:iCs/>
        </w:rPr>
        <w:t>Xt</w:t>
      </w:r>
      <w:proofErr w:type="spellEnd"/>
      <w:r w:rsidR="00A15425" w:rsidRPr="00A15425">
        <w:rPr>
          <w:bCs/>
        </w:rPr>
        <w:t xml:space="preserve"> in each subpopulation is assumed to be the same. The first assumption is </w:t>
      </w:r>
      <w:r w:rsidRPr="00A15425">
        <w:rPr>
          <w:bCs/>
        </w:rPr>
        <w:t>theoretically</w:t>
      </w:r>
      <w:r w:rsidR="00A15425" w:rsidRPr="00A15425">
        <w:rPr>
          <w:bCs/>
        </w:rPr>
        <w:t xml:space="preserve"> defensible. </w:t>
      </w:r>
      <w:r w:rsidR="00856E08">
        <w:rPr>
          <w:bCs/>
        </w:rPr>
        <w:t xml:space="preserve">For example, the degree of government efficiency </w:t>
      </w:r>
      <w:r w:rsidR="00A15425" w:rsidRPr="00A15425">
        <w:rPr>
          <w:bCs/>
        </w:rPr>
        <w:t>on real GDP</w:t>
      </w:r>
      <w:r w:rsidR="00856E08">
        <w:rPr>
          <w:bCs/>
        </w:rPr>
        <w:t xml:space="preserve"> and </w:t>
      </w:r>
      <w:r w:rsidR="00F1211D">
        <w:rPr>
          <w:bCs/>
        </w:rPr>
        <w:t>Gini index</w:t>
      </w:r>
      <w:r w:rsidR="00A15425" w:rsidRPr="00A15425">
        <w:rPr>
          <w:bCs/>
        </w:rPr>
        <w:t xml:space="preserve"> could be the same whether or not there is a fiscal </w:t>
      </w:r>
      <w:r>
        <w:rPr>
          <w:bCs/>
        </w:rPr>
        <w:t>application policy</w:t>
      </w:r>
      <w:r w:rsidR="00A15425" w:rsidRPr="00A15425">
        <w:rPr>
          <w:bCs/>
        </w:rPr>
        <w:t xml:space="preserve">. The </w:t>
      </w:r>
      <w:r>
        <w:rPr>
          <w:bCs/>
        </w:rPr>
        <w:t xml:space="preserve">last </w:t>
      </w:r>
      <w:r w:rsidR="00A15425" w:rsidRPr="00A15425">
        <w:rPr>
          <w:bCs/>
        </w:rPr>
        <w:t xml:space="preserve">assumption is more difficult to </w:t>
      </w:r>
      <w:r w:rsidR="00F1211D" w:rsidRPr="00A15425">
        <w:rPr>
          <w:bCs/>
        </w:rPr>
        <w:t>preserve</w:t>
      </w:r>
      <w:r w:rsidR="00A15425" w:rsidRPr="00A15425">
        <w:rPr>
          <w:bCs/>
        </w:rPr>
        <w:t xml:space="preserve">. It is unlikely that, government </w:t>
      </w:r>
      <w:r w:rsidR="00F1211D">
        <w:rPr>
          <w:bCs/>
        </w:rPr>
        <w:t xml:space="preserve">expenditure </w:t>
      </w:r>
      <w:r w:rsidR="00A15425" w:rsidRPr="00A15425">
        <w:rPr>
          <w:bCs/>
        </w:rPr>
        <w:t xml:space="preserve">levels are the same in the treated and control groups. </w:t>
      </w:r>
      <w:r w:rsidR="00F1211D">
        <w:rPr>
          <w:bCs/>
        </w:rPr>
        <w:t>We assume that our f</w:t>
      </w:r>
      <w:r w:rsidR="00A15425" w:rsidRPr="00A15425">
        <w:rPr>
          <w:bCs/>
        </w:rPr>
        <w:t xml:space="preserve">iscal </w:t>
      </w:r>
      <w:r w:rsidR="00F1211D">
        <w:rPr>
          <w:bCs/>
        </w:rPr>
        <w:t xml:space="preserve">instruments on inequality </w:t>
      </w:r>
      <w:r w:rsidR="00A15425" w:rsidRPr="00A15425">
        <w:rPr>
          <w:bCs/>
        </w:rPr>
        <w:t xml:space="preserve">are often driven by high levels of </w:t>
      </w:r>
      <w:r w:rsidR="00F1211D">
        <w:rPr>
          <w:bCs/>
        </w:rPr>
        <w:t>expenditure</w:t>
      </w:r>
      <w:r w:rsidR="00A15425" w:rsidRPr="00A15425">
        <w:rPr>
          <w:bCs/>
        </w:rPr>
        <w:t>.</w:t>
      </w:r>
    </w:p>
    <w:p w14:paraId="0AFD1BEE" w14:textId="0A3DD0AD" w:rsidR="00236035" w:rsidRPr="00236035" w:rsidRDefault="005F589E" w:rsidP="00DE7C05">
      <w:pPr>
        <w:spacing w:after="200" w:line="312" w:lineRule="auto"/>
        <w:rPr>
          <w:bCs/>
        </w:rPr>
      </w:pPr>
      <w:r>
        <w:rPr>
          <w:bCs/>
        </w:rPr>
        <w:t>On the other hand</w:t>
      </w:r>
      <w:r w:rsidR="00236035" w:rsidRPr="00236035">
        <w:rPr>
          <w:bCs/>
        </w:rPr>
        <w:t xml:space="preserve">, it is important to recall several </w:t>
      </w:r>
      <w:r w:rsidR="001C3BE7">
        <w:rPr>
          <w:bCs/>
        </w:rPr>
        <w:t xml:space="preserve">points </w:t>
      </w:r>
      <w:r w:rsidR="00236035" w:rsidRPr="00236035">
        <w:rPr>
          <w:bCs/>
        </w:rPr>
        <w:t xml:space="preserve">required to </w:t>
      </w:r>
      <w:r w:rsidR="001C3BE7">
        <w:rPr>
          <w:bCs/>
        </w:rPr>
        <w:t xml:space="preserve">address </w:t>
      </w:r>
      <w:r w:rsidR="00236035" w:rsidRPr="00236035">
        <w:rPr>
          <w:bCs/>
        </w:rPr>
        <w:t xml:space="preserve">the identification </w:t>
      </w:r>
      <w:r w:rsidR="00B513D4">
        <w:rPr>
          <w:bCs/>
        </w:rPr>
        <w:t>issue</w:t>
      </w:r>
      <w:r>
        <w:rPr>
          <w:bCs/>
        </w:rPr>
        <w:t>,</w:t>
      </w:r>
      <w:r w:rsidR="00236035" w:rsidRPr="00236035">
        <w:rPr>
          <w:bCs/>
        </w:rPr>
        <w:t xml:space="preserve"> (1) </w:t>
      </w:r>
      <w:r w:rsidR="00426B8C">
        <w:rPr>
          <w:bCs/>
        </w:rPr>
        <w:t xml:space="preserve">our </w:t>
      </w:r>
      <w:r>
        <w:rPr>
          <w:bCs/>
        </w:rPr>
        <w:t xml:space="preserve">set of </w:t>
      </w:r>
      <w:r w:rsidR="00236035" w:rsidRPr="00236035">
        <w:rPr>
          <w:bCs/>
        </w:rPr>
        <w:t>instrument</w:t>
      </w:r>
      <w:r>
        <w:rPr>
          <w:bCs/>
        </w:rPr>
        <w:t>s</w:t>
      </w:r>
      <w:r w:rsidR="00236035" w:rsidRPr="00236035">
        <w:rPr>
          <w:bCs/>
        </w:rPr>
        <w:t xml:space="preserve"> is relevant, </w:t>
      </w:r>
      <w:r w:rsidR="001C3BE7">
        <w:rPr>
          <w:bCs/>
        </w:rPr>
        <w:t>and practical for LP models</w:t>
      </w:r>
      <w:r w:rsidR="00236035" w:rsidRPr="00236035">
        <w:rPr>
          <w:bCs/>
        </w:rPr>
        <w:t xml:space="preserve">; (2) </w:t>
      </w:r>
      <w:r w:rsidR="00426B8C">
        <w:rPr>
          <w:bCs/>
        </w:rPr>
        <w:t xml:space="preserve">validity of </w:t>
      </w:r>
      <w:r w:rsidR="00236035" w:rsidRPr="00236035">
        <w:rPr>
          <w:bCs/>
        </w:rPr>
        <w:t>instrument</w:t>
      </w:r>
      <w:r w:rsidR="00426B8C">
        <w:rPr>
          <w:bCs/>
        </w:rPr>
        <w:t>s</w:t>
      </w:r>
      <w:r w:rsidR="00236035" w:rsidRPr="00236035">
        <w:rPr>
          <w:bCs/>
        </w:rPr>
        <w:t xml:space="preserve"> is valid, </w:t>
      </w:r>
      <w:r w:rsidR="00426B8C">
        <w:rPr>
          <w:bCs/>
        </w:rPr>
        <w:t>i</w:t>
      </w:r>
      <w:r w:rsidR="00426B8C" w:rsidRPr="00426B8C">
        <w:rPr>
          <w:bCs/>
        </w:rPr>
        <w:t xml:space="preserve">t’s essential to carefully evaluate its validity and potential impact on the </w:t>
      </w:r>
      <w:r w:rsidR="00426B8C" w:rsidRPr="00426B8C">
        <w:rPr>
          <w:bCs/>
        </w:rPr>
        <w:lastRenderedPageBreak/>
        <w:t>results</w:t>
      </w:r>
      <w:r w:rsidR="00236035" w:rsidRPr="00236035">
        <w:rPr>
          <w:bCs/>
        </w:rPr>
        <w:t>; and (3) exogenous controls are not omitted from the specification</w:t>
      </w:r>
      <w:r w:rsidR="00426B8C">
        <w:rPr>
          <w:bCs/>
        </w:rPr>
        <w:t>;</w:t>
      </w:r>
      <w:r w:rsidR="00236035" w:rsidRPr="00236035">
        <w:rPr>
          <w:bCs/>
        </w:rPr>
        <w:t xml:space="preserve"> </w:t>
      </w:r>
      <w:r w:rsidR="00426B8C">
        <w:rPr>
          <w:bCs/>
        </w:rPr>
        <w:t>a</w:t>
      </w:r>
      <w:r w:rsidR="00426B8C" w:rsidRPr="00426B8C">
        <w:rPr>
          <w:bCs/>
        </w:rPr>
        <w:t>lthough the use of the instrument partially addresses this requirement, evidence suggest</w:t>
      </w:r>
      <w:r w:rsidR="00426B8C">
        <w:rPr>
          <w:bCs/>
        </w:rPr>
        <w:t>s</w:t>
      </w:r>
      <w:r w:rsidR="00426B8C" w:rsidRPr="00426B8C">
        <w:rPr>
          <w:bCs/>
        </w:rPr>
        <w:t xml:space="preserve"> that the controls are predictive for the instrument.</w:t>
      </w:r>
    </w:p>
    <w:p w14:paraId="7B1D6CA1" w14:textId="352D1E69" w:rsidR="00BC5D5E" w:rsidRPr="00BC5D5E" w:rsidRDefault="00BC5D5E" w:rsidP="00DE7C05">
      <w:pPr>
        <w:spacing w:after="200" w:line="312" w:lineRule="auto"/>
        <w:rPr>
          <w:bCs/>
        </w:rPr>
      </w:pPr>
      <w:r w:rsidRPr="00C87353">
        <w:rPr>
          <w:bCs/>
        </w:rPr>
        <w:t>5.1</w:t>
      </w:r>
      <w:r w:rsidR="00C87353" w:rsidRPr="00C87353">
        <w:rPr>
          <w:bCs/>
        </w:rPr>
        <w:t xml:space="preserve"> Propensity Score-Based Re-Randomization</w:t>
      </w:r>
    </w:p>
    <w:p w14:paraId="57C8C7FA" w14:textId="19131075" w:rsidR="00BC5D5E" w:rsidRDefault="00BC5D5E" w:rsidP="00DE7C05">
      <w:pPr>
        <w:spacing w:after="200" w:line="312" w:lineRule="auto"/>
        <w:rPr>
          <w:bCs/>
        </w:rPr>
      </w:pPr>
      <w:r w:rsidRPr="00BC5D5E">
        <w:rPr>
          <w:bCs/>
        </w:rPr>
        <w:t xml:space="preserve">Rosenbaum and Rubin (1983) show </w:t>
      </w:r>
      <w:r w:rsidR="00D647FB">
        <w:rPr>
          <w:bCs/>
        </w:rPr>
        <w:t>that</w:t>
      </w:r>
      <w:r w:rsidRPr="00BC5D5E">
        <w:rPr>
          <w:bCs/>
        </w:rPr>
        <w:t xml:space="preserve">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proofErr w:type="spellStart"/>
      <w:r w:rsidRPr="00114446">
        <w:rPr>
          <w:bCs/>
          <w:i/>
          <w:iCs/>
        </w:rPr>
        <w:t>X</w:t>
      </w:r>
      <w:r w:rsidRPr="00114446">
        <w:rPr>
          <w:bCs/>
          <w:i/>
          <w:iCs/>
          <w:vertAlign w:val="subscript"/>
        </w:rPr>
        <w:t>t</w:t>
      </w:r>
      <w:proofErr w:type="spellEnd"/>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w:t>
      </w:r>
      <w:r w:rsidR="00D647FB">
        <w:rPr>
          <w:bCs/>
        </w:rPr>
        <w:t xml:space="preserve"> (estimates on Annex)</w:t>
      </w:r>
      <w:r w:rsidR="008909A9" w:rsidRPr="008909A9">
        <w:rPr>
          <w:bCs/>
        </w:rPr>
        <w:t>. Recall the average treatment effect (ATE) is, by definition</w:t>
      </w:r>
    </w:p>
    <w:p w14:paraId="2E8596F7" w14:textId="2EDD0DB3"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w:t>
      </w:r>
      <w:r w:rsidR="00D647FB">
        <w:rPr>
          <w:bCs/>
          <w:lang w:val="en-US"/>
        </w:rPr>
        <w:t>7</w:t>
      </w:r>
      <w:r>
        <w:rPr>
          <w:bCs/>
          <w:lang w:val="en-US"/>
        </w:rPr>
        <w:t>)</w:t>
      </w:r>
    </w:p>
    <w:p w14:paraId="7639EFBC" w14:textId="43DC0B2E" w:rsidR="008909A9" w:rsidRDefault="00114446" w:rsidP="00DE7C05">
      <w:pPr>
        <w:spacing w:after="200" w:line="312" w:lineRule="auto"/>
        <w:rPr>
          <w:rFonts w:ascii="LM Roman 10" w:hAnsi="LM Roman 10"/>
          <w:noProof/>
          <w:lang w:val="en-US"/>
        </w:rPr>
      </w:pPr>
      <w:r w:rsidRPr="008909A9">
        <w:rPr>
          <w:rFonts w:ascii="LM Roman 10" w:hAnsi="LM Roman 10"/>
          <w:noProof/>
          <w:lang w:val="en-US"/>
        </w:rPr>
        <w:t>Observing</w:t>
      </w:r>
      <w:r w:rsidR="008909A9" w:rsidRPr="008909A9">
        <w:rPr>
          <w:rFonts w:ascii="LM Roman 10" w:hAnsi="LM Roman 10"/>
          <w:noProof/>
          <w:lang w:val="en-US"/>
        </w:rPr>
        <w:t xml:space="preserve"> the final term</w:t>
      </w:r>
      <w:r w:rsidR="008909A9">
        <w:rPr>
          <w:rFonts w:ascii="LM Roman 10" w:hAnsi="LM Roman 10"/>
          <w:noProof/>
          <w:lang w:val="en-US"/>
        </w:rPr>
        <w:t xml:space="preserve"> </w:t>
      </w:r>
      <w:r w:rsidR="00D647FB">
        <w:rPr>
          <w:rFonts w:ascii="LM Roman 10" w:hAnsi="LM Roman 10"/>
          <w:noProof/>
          <w:lang w:val="en-US"/>
        </w:rPr>
        <w:t xml:space="preserve">of equation </w:t>
      </w:r>
      <w:r w:rsidR="00131F08">
        <w:rPr>
          <w:rFonts w:ascii="LM Roman 10" w:hAnsi="LM Roman 10"/>
          <w:noProof/>
          <w:lang w:val="en-US"/>
        </w:rPr>
        <w:t>(</w:t>
      </w:r>
      <w:r w:rsidR="00D647FB">
        <w:rPr>
          <w:rFonts w:ascii="LM Roman 10" w:hAnsi="LM Roman 10"/>
          <w:noProof/>
          <w:lang w:val="en-US"/>
        </w:rPr>
        <w:t>7</w:t>
      </w:r>
      <w:r w:rsidR="00131F08">
        <w:rPr>
          <w:rFonts w:ascii="LM Roman 10" w:hAnsi="LM Roman 10"/>
          <w:noProof/>
          <w:lang w:val="en-US"/>
        </w:rPr>
        <w:t>)</w:t>
      </w:r>
      <w:r w:rsidR="008909A9" w:rsidRPr="008909A9">
        <w:rPr>
          <w:rFonts w:ascii="LM Roman 10" w:hAnsi="LM Roman 10"/>
          <w:noProof/>
          <w:lang w:val="en-US"/>
        </w:rPr>
        <w:t xml:space="preserve">, the average policy response conditional on </w:t>
      </w:r>
      <w:r w:rsidR="008909A9" w:rsidRPr="00114446">
        <w:rPr>
          <w:rFonts w:ascii="LM Roman 10" w:hAnsi="LM Roman 10"/>
          <w:i/>
          <w:iCs/>
          <w:noProof/>
          <w:lang w:val="en-US"/>
        </w:rPr>
        <w:t>X</w:t>
      </w:r>
      <w:r w:rsidR="008909A9" w:rsidRPr="00114446">
        <w:rPr>
          <w:rFonts w:ascii="LM Roman 10" w:hAnsi="LM Roman 10"/>
          <w:i/>
          <w:iCs/>
          <w:noProof/>
          <w:vertAlign w:val="subscript"/>
          <w:lang w:val="en-US"/>
        </w:rPr>
        <w:t>t</w:t>
      </w:r>
      <w:r w:rsidR="008909A9" w:rsidRPr="008909A9">
        <w:rPr>
          <w:rFonts w:ascii="LM Roman 10" w:hAnsi="LM Roman 10"/>
          <w:noProof/>
          <w:lang w:val="en-US"/>
        </w:rPr>
        <w:t>, in terms of observable data i</w:t>
      </w:r>
      <w:r>
        <w:rPr>
          <w:rFonts w:ascii="LM Roman 10" w:hAnsi="LM Roman 10"/>
          <w:noProof/>
          <w:lang w:val="en-US"/>
        </w:rPr>
        <w:t>s equal to</w:t>
      </w:r>
    </w:p>
    <w:p w14:paraId="4FA82F5B" w14:textId="6BA5B827"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w:t>
      </w:r>
      <w:r w:rsidR="00D647FB">
        <w:rPr>
          <w:bCs/>
          <w:lang w:val="en-US"/>
        </w:rPr>
        <w:t>8</w:t>
      </w:r>
      <w:r w:rsidR="00CF7118">
        <w:rPr>
          <w:bCs/>
          <w:lang w:val="en-US"/>
        </w:rPr>
        <w:t>)</w:t>
      </w:r>
      <w:r w:rsidR="00CF7118">
        <w:rPr>
          <w:bCs/>
          <w:lang w:val="en-US"/>
        </w:rPr>
        <w:tab/>
      </w:r>
    </w:p>
    <w:p w14:paraId="37902504" w14:textId="40E21153"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where policy environment</w:t>
      </w:r>
      <w:r w:rsidR="00131F08">
        <w:rPr>
          <w:rFonts w:ascii="LM Roman 10" w:hAnsi="LM Roman 10"/>
          <w:noProof/>
          <w:lang w:val="en-US"/>
        </w:rPr>
        <w:t xml:space="preserve"> is</w:t>
      </w:r>
      <w:r w:rsidRPr="00CF7118">
        <w:rPr>
          <w:rFonts w:ascii="LM Roman 10" w:hAnsi="LM Roman 10"/>
          <w:noProof/>
          <w:lang w:val="en-US"/>
        </w:rPr>
        <w:t xml:space="preserve"> characterized by </w:t>
      </w:r>
      <m:oMath>
        <m:r>
          <w:rPr>
            <w:rFonts w:ascii="Cambria Math" w:hAnsi="Cambria Math"/>
          </w:rPr>
          <m:t>φ</m:t>
        </m:r>
      </m:oMath>
      <w:r w:rsidRPr="00CF7118">
        <w:rPr>
          <w:rFonts w:ascii="LM Roman 10" w:hAnsi="LM Roman 10"/>
          <w:noProof/>
          <w:lang w:val="en-US"/>
        </w:rPr>
        <w:t xml:space="preserve"> </w:t>
      </w:r>
      <w:r w:rsidR="00131F08">
        <w:rPr>
          <w:rFonts w:ascii="LM Roman 10" w:hAnsi="LM Roman 10"/>
          <w:noProof/>
          <w:lang w:val="en-US"/>
        </w:rPr>
        <w:t xml:space="preserve">and </w:t>
      </w:r>
      <w:r w:rsidRPr="00CF7118">
        <w:rPr>
          <w:rFonts w:ascii="LM Roman 10" w:hAnsi="LM Roman 10"/>
          <w:noProof/>
          <w:lang w:val="en-US"/>
        </w:rPr>
        <w:t>remains constant</w:t>
      </w:r>
      <w:r w:rsidR="00D647FB">
        <w:rPr>
          <w:rFonts w:ascii="LM Roman 10" w:hAnsi="LM Roman 10"/>
          <w:noProof/>
          <w:lang w:val="en-US"/>
        </w:rPr>
        <w:t xml:space="preserve"> for different groups, however</w:t>
      </w:r>
      <w:r w:rsidRPr="00CF7118">
        <w:rPr>
          <w:rFonts w:ascii="LM Roman 10" w:hAnsi="LM Roman 10"/>
          <w:noProof/>
          <w:lang w:val="en-US"/>
        </w:rPr>
        <w:t xml:space="preserve"> </w:t>
      </w:r>
      <w:r w:rsidR="00D647FB">
        <w:rPr>
          <w:rFonts w:ascii="LM Roman 10" w:hAnsi="LM Roman 10"/>
          <w:noProof/>
          <w:lang w:val="en-US"/>
        </w:rPr>
        <w:t xml:space="preserve">estimates </w:t>
      </w:r>
      <w:r w:rsidRPr="00CF7118">
        <w:rPr>
          <w:rFonts w:ascii="LM Roman 10" w:hAnsi="LM Roman 10"/>
          <w:noProof/>
          <w:lang w:val="en-US"/>
        </w:rPr>
        <w:t>of conditional expectations can be simplified when</w:t>
      </w:r>
      <w:r>
        <w:rPr>
          <w:rFonts w:ascii="LM Roman 10" w:hAnsi="LM Roman 10"/>
          <w:noProof/>
          <w:lang w:val="en-US"/>
        </w:rPr>
        <w:t xml:space="preserve"> </w:t>
      </w:r>
      <w:r w:rsidRPr="00CF7118">
        <w:rPr>
          <w:rFonts w:ascii="LM Roman 10" w:hAnsi="LM Roman 10"/>
          <w:noProof/>
          <w:lang w:val="en-US"/>
        </w:rPr>
        <w:t xml:space="preserve">a model for the policy variable </w:t>
      </w:r>
      <w:r w:rsidRPr="009F409B">
        <w:rPr>
          <w:rFonts w:ascii="LM Roman 10" w:hAnsi="LM Roman 10"/>
          <w:i/>
          <w:iCs/>
          <w:noProof/>
          <w:lang w:val="en-US"/>
        </w:rPr>
        <w:t>D</w:t>
      </w:r>
      <w:r w:rsidRPr="009F409B">
        <w:rPr>
          <w:rFonts w:ascii="LM Roman 10" w:hAnsi="LM Roman 10"/>
          <w:i/>
          <w:iCs/>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r w:rsidR="00131F08">
        <w:rPr>
          <w:rFonts w:ascii="LM Roman 10" w:hAnsi="LM Roman 10"/>
          <w:noProof/>
          <w:lang w:val="en-US"/>
        </w:rPr>
        <w:t xml:space="preserve"> </w:t>
      </w:r>
      <w:r w:rsidR="009F409B">
        <w:rPr>
          <w:rFonts w:ascii="LM Roman 10" w:hAnsi="LM Roman 10"/>
          <w:noProof/>
          <w:lang w:val="en-US"/>
        </w:rPr>
        <w:t xml:space="preserve">In that way, </w:t>
      </w:r>
      <w:r w:rsidRPr="00CF7118">
        <w:rPr>
          <w:rFonts w:ascii="LM Roman 10" w:hAnsi="LM Roman 10"/>
          <w:noProof/>
          <w:lang w:val="en-US"/>
        </w:rPr>
        <w:t xml:space="preserve">Angrist and Kuersteiner (2011) refer to the predicted value </w:t>
      </w:r>
      <w:r w:rsidR="00135C43">
        <w:rPr>
          <w:rFonts w:ascii="LM Roman 10" w:hAnsi="LM Roman 10"/>
          <w:noProof/>
          <w:lang w:val="en-US"/>
        </w:rPr>
        <w:t xml:space="preserve">as </w:t>
      </w:r>
      <w:r w:rsidRPr="00CF7118">
        <w:rPr>
          <w:rFonts w:ascii="LM Roman 10" w:hAnsi="LM Roman 10"/>
          <w:noProof/>
          <w:lang w:val="en-US"/>
        </w:rPr>
        <w:t xml:space="preserve">the </w:t>
      </w:r>
      <w:r w:rsidRPr="00763943">
        <w:rPr>
          <w:rFonts w:ascii="LM Roman 10" w:hAnsi="LM Roman 10"/>
          <w:noProof/>
          <w:lang w:val="en-US"/>
        </w:rPr>
        <w:t>policy propensity score</w:t>
      </w:r>
      <w:r w:rsidR="00135C43">
        <w:rPr>
          <w:rFonts w:ascii="LM Roman 10" w:hAnsi="LM Roman 10"/>
          <w:noProof/>
          <w:lang w:val="en-US"/>
        </w:rPr>
        <w:t>, which</w:t>
      </w:r>
      <w:r w:rsidRPr="00CF7118">
        <w:rPr>
          <w:rFonts w:ascii="LM Roman 10" w:hAnsi="LM Roman 10"/>
          <w:noProof/>
          <w:lang w:val="en-US"/>
        </w:rPr>
        <w:t xml:space="preserve"> ensure</w:t>
      </w:r>
      <w:r w:rsidR="00763943">
        <w:rPr>
          <w:rFonts w:ascii="LM Roman 10" w:hAnsi="LM Roman 10"/>
          <w:noProof/>
          <w:lang w:val="en-US"/>
        </w:rPr>
        <w:t>s</w:t>
      </w:r>
      <w:r w:rsidRPr="00CF7118">
        <w:rPr>
          <w:rFonts w:ascii="LM Roman 10" w:hAnsi="LM Roman 10"/>
          <w:noProof/>
          <w:lang w:val="en-US"/>
        </w:rPr>
        <w:t xml:space="preserve"> the estimation of the policy response is consistent under the main assumption. </w:t>
      </w:r>
      <w:r w:rsidR="009F409B">
        <w:rPr>
          <w:rFonts w:ascii="LM Roman 10" w:hAnsi="LM Roman 10"/>
          <w:noProof/>
          <w:lang w:val="en-US"/>
        </w:rPr>
        <w:t>Therefore, w</w:t>
      </w:r>
      <w:r w:rsidR="00135C43">
        <w:rPr>
          <w:rFonts w:ascii="LM Roman 10" w:hAnsi="LM Roman 10"/>
          <w:noProof/>
          <w:lang w:val="en-US"/>
        </w:rPr>
        <w:t xml:space="preserve">e prefer to add policy </w:t>
      </w:r>
      <w:r w:rsidRPr="00CF7118">
        <w:rPr>
          <w:rFonts w:ascii="LM Roman 10" w:hAnsi="LM Roman 10"/>
          <w:noProof/>
          <w:lang w:val="en-US"/>
        </w:rPr>
        <w:t>predictor</w:t>
      </w:r>
      <w:r w:rsidR="00135C43">
        <w:rPr>
          <w:rFonts w:ascii="LM Roman 10" w:hAnsi="LM Roman 10"/>
          <w:noProof/>
          <w:lang w:val="en-US"/>
        </w:rPr>
        <w:t>s</w:t>
      </w:r>
      <w:r w:rsidRPr="00CF7118">
        <w:rPr>
          <w:rFonts w:ascii="LM Roman 10" w:hAnsi="LM Roman 10"/>
          <w:noProof/>
          <w:lang w:val="en-US"/>
        </w:rPr>
        <w:t xml:space="preserve"> regardless of whether that predictor is a fundamental variable in a</w:t>
      </w:r>
      <w:r w:rsidR="00135C43">
        <w:rPr>
          <w:rFonts w:ascii="LM Roman 10" w:hAnsi="LM Roman 10"/>
          <w:noProof/>
          <w:lang w:val="en-US"/>
        </w:rPr>
        <w:t>n</w:t>
      </w:r>
      <w:r w:rsidRPr="00CF7118">
        <w:rPr>
          <w:rFonts w:ascii="LM Roman 10" w:hAnsi="LM Roman 10"/>
          <w:noProof/>
          <w:lang w:val="en-US"/>
        </w:rPr>
        <w:t xml:space="preserve"> economic model. </w:t>
      </w:r>
      <w:r w:rsidR="009F409B">
        <w:rPr>
          <w:rFonts w:ascii="LM Roman 10" w:hAnsi="LM Roman 10"/>
          <w:noProof/>
          <w:lang w:val="en-US"/>
        </w:rPr>
        <w:t>W</w:t>
      </w:r>
      <w:r w:rsidR="009F409B" w:rsidRPr="009F409B">
        <w:rPr>
          <w:rFonts w:ascii="LM Roman 10" w:hAnsi="LM Roman 10"/>
          <w:noProof/>
          <w:lang w:val="en-US"/>
        </w:rPr>
        <w:t>e will enhance the construction of the policy propensity score by incorporating a more comprehensive specification that encompasses all the controls utilized in Table 4</w:t>
      </w:r>
      <w:r w:rsidR="00763943">
        <w:rPr>
          <w:rFonts w:ascii="LM Roman 10" w:hAnsi="LM Roman 10"/>
          <w:noProof/>
          <w:lang w:val="en-US"/>
        </w:rPr>
        <w:t>.</w:t>
      </w:r>
      <w:r w:rsidR="009F409B">
        <w:rPr>
          <w:rStyle w:val="FootnoteReference"/>
          <w:rFonts w:ascii="LM Roman 10" w:hAnsi="LM Roman 10"/>
          <w:noProof/>
          <w:lang w:val="en-US"/>
        </w:rPr>
        <w:footnoteReference w:id="12"/>
      </w:r>
      <w:r w:rsidR="009F409B">
        <w:rPr>
          <w:rFonts w:ascii="LM Roman 10" w:hAnsi="LM Roman 10"/>
          <w:noProof/>
          <w:lang w:val="en-US"/>
        </w:rPr>
        <w:t xml:space="preserve"> </w:t>
      </w:r>
    </w:p>
    <w:p w14:paraId="5C2DB1E7" w14:textId="3C34C52F" w:rsidR="00CF7118" w:rsidRDefault="00294699" w:rsidP="00DE7C05">
      <w:pPr>
        <w:spacing w:after="200" w:line="312" w:lineRule="auto"/>
        <w:rPr>
          <w:rFonts w:ascii="LM Roman 10" w:hAnsi="LM Roman 10"/>
          <w:noProof/>
          <w:lang w:val="en-US"/>
        </w:rPr>
      </w:pPr>
      <w:r>
        <w:rPr>
          <w:rFonts w:ascii="LM Roman 10" w:hAnsi="LM Roman 10"/>
          <w:noProof/>
          <w:lang w:val="en-US"/>
        </w:rPr>
        <w:t>T</w:t>
      </w:r>
      <w:r w:rsidR="00CF7118" w:rsidRPr="00CF7118">
        <w:rPr>
          <w:rFonts w:ascii="LM Roman 10" w:hAnsi="LM Roman 10"/>
          <w:noProof/>
          <w:lang w:val="en-US"/>
        </w:rPr>
        <w:t>aking unconditional expectations</w:t>
      </w:r>
      <w:r>
        <w:rPr>
          <w:rFonts w:ascii="LM Roman 10" w:hAnsi="LM Roman 10"/>
          <w:noProof/>
          <w:lang w:val="en-US"/>
        </w:rPr>
        <w:t xml:space="preserve"> </w:t>
      </w:r>
      <w:r w:rsidR="00CF7118" w:rsidRPr="00CF7118">
        <w:rPr>
          <w:rFonts w:ascii="LM Roman 10" w:hAnsi="LM Roman 10"/>
          <w:noProof/>
          <w:lang w:val="en-US"/>
        </w:rPr>
        <w:t>over</w:t>
      </w:r>
      <w:r w:rsidR="00CF7118">
        <w:rPr>
          <w:rFonts w:ascii="LM Roman 10" w:hAnsi="LM Roman 10"/>
          <w:noProof/>
          <w:lang w:val="en-US"/>
        </w:rPr>
        <w:t xml:space="preserve"> </w:t>
      </w:r>
      <w:r w:rsidR="00CF7118" w:rsidRPr="00763943">
        <w:rPr>
          <w:rFonts w:ascii="LM Roman 10" w:hAnsi="LM Roman 10"/>
          <w:i/>
          <w:iCs/>
          <w:noProof/>
          <w:lang w:val="en-US"/>
        </w:rPr>
        <w:t>X</w:t>
      </w:r>
      <w:r w:rsidR="00CF7118" w:rsidRPr="00763943">
        <w:rPr>
          <w:rFonts w:ascii="LM Roman 10" w:hAnsi="LM Roman 10"/>
          <w:i/>
          <w:iCs/>
          <w:noProof/>
          <w:vertAlign w:val="subscript"/>
          <w:lang w:val="en-US"/>
        </w:rPr>
        <w:t>t</w:t>
      </w:r>
      <w:r w:rsidR="00CF7118" w:rsidRPr="00CF7118">
        <w:rPr>
          <w:rFonts w:ascii="LM Roman 10" w:hAnsi="LM Roman 10"/>
          <w:noProof/>
          <w:lang w:val="en-US"/>
        </w:rPr>
        <w:t>, the ATE can be calculated a</w:t>
      </w:r>
      <w:r>
        <w:rPr>
          <w:rFonts w:ascii="LM Roman 10" w:hAnsi="LM Roman 10"/>
          <w:noProof/>
          <w:lang w:val="en-US"/>
        </w:rPr>
        <w:t>s:</w:t>
      </w:r>
    </w:p>
    <w:p w14:paraId="4055218E" w14:textId="25D3BC09" w:rsidR="00294699" w:rsidRPr="00294699" w:rsidRDefault="00B72023" w:rsidP="00DE7C05">
      <w:pPr>
        <w:spacing w:after="200" w:line="312" w:lineRule="auto"/>
        <w:ind w:left="1701" w:firstLine="1134"/>
        <w:jc w:val="center"/>
        <w:rPr>
          <w:rFonts w:ascii="LM Roman 10" w:hAnsi="LM Roman 10"/>
          <w:noProof/>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oMath>
      </m:oMathPara>
    </w:p>
    <w:p w14:paraId="00AC7B02" w14:textId="73013751" w:rsidR="006E2EF0" w:rsidRPr="008909A9" w:rsidRDefault="00FB5A96" w:rsidP="00294699">
      <w:pPr>
        <w:spacing w:after="200" w:line="312" w:lineRule="auto"/>
        <w:ind w:left="1701" w:firstLine="284"/>
        <w:rPr>
          <w:bCs/>
          <w:i/>
          <w:iCs/>
          <w:lang w:val="en-US"/>
        </w:rPr>
      </w:pPr>
      <m:oMath>
        <m:r>
          <w:rPr>
            <w:rFonts w:ascii="Cambria Math" w:hAnsi="Cambria Math"/>
            <w:sz w:val="26"/>
            <w:szCs w:val="26"/>
          </w:rPr>
          <m:t>= E[(</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=1}</m:t>
            </m:r>
          </m:num>
          <m:den>
            <m:r>
              <w:rPr>
                <w:rFonts w:ascii="Cambria Math" w:hAnsi="Cambria Math"/>
                <w:sz w:val="26"/>
                <w:szCs w:val="26"/>
              </w:rPr>
              <m:t>p1(</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=0}</m:t>
            </m:r>
          </m:num>
          <m:den>
            <m:r>
              <w:rPr>
                <w:rFonts w:ascii="Cambria Math" w:hAnsi="Cambria Math"/>
                <w:sz w:val="26"/>
                <w:szCs w:val="26"/>
              </w:rPr>
              <m:t>p0(</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oMath>
      <w:r w:rsidR="006E2EF0">
        <w:rPr>
          <w:rFonts w:ascii="LM Roman 10" w:hAnsi="LM Roman 10"/>
          <w:noProof/>
          <w:lang w:val="en-US"/>
        </w:rPr>
        <w:tab/>
      </w:r>
      <w:r w:rsidR="00294699">
        <w:rPr>
          <w:rFonts w:ascii="LM Roman 10" w:hAnsi="LM Roman 10"/>
          <w:noProof/>
          <w:lang w:val="en-US"/>
        </w:rPr>
        <w:t xml:space="preserve">      </w:t>
      </w:r>
      <w:r w:rsidR="006E2EF0">
        <w:rPr>
          <w:rFonts w:ascii="LM Roman 10" w:hAnsi="LM Roman 10"/>
          <w:noProof/>
          <w:lang w:val="en-US"/>
        </w:rPr>
        <w:t>(</w:t>
      </w:r>
      <w:r w:rsidR="00294699">
        <w:rPr>
          <w:rFonts w:ascii="LM Roman 10" w:hAnsi="LM Roman 10"/>
          <w:noProof/>
          <w:lang w:val="en-US"/>
        </w:rPr>
        <w:t>9</w:t>
      </w:r>
      <w:r w:rsidR="006E2EF0">
        <w:rPr>
          <w:rFonts w:ascii="LM Roman 10" w:hAnsi="LM Roman 10"/>
          <w:noProof/>
          <w:lang w:val="en-US"/>
        </w:rPr>
        <w:t>)</w:t>
      </w:r>
      <w:r w:rsidR="006E2EF0">
        <w:rPr>
          <w:bCs/>
          <w:lang w:val="en-US"/>
        </w:rPr>
        <w:tab/>
      </w:r>
      <w:r w:rsidR="006E2EF0" w:rsidRPr="008909A9">
        <w:rPr>
          <w:bCs/>
          <w:lang w:val="en-US"/>
        </w:rPr>
        <w:t xml:space="preserve">   </w:t>
      </w:r>
    </w:p>
    <w:p w14:paraId="3563FE27" w14:textId="77777777" w:rsidR="00763943" w:rsidRDefault="006E2EF0" w:rsidP="00DE7C05">
      <w:pPr>
        <w:spacing w:after="200" w:line="312" w:lineRule="auto"/>
        <w:rPr>
          <w:rFonts w:ascii="LM Roman 10" w:hAnsi="LM Roman 10"/>
          <w:bCs/>
          <w:noProof/>
          <w:lang w:val="en-US"/>
        </w:rPr>
      </w:pPr>
      <w:r w:rsidRPr="006E2EF0">
        <w:rPr>
          <w:rFonts w:ascii="LM Roman 10" w:hAnsi="LM Roman 10"/>
          <w:bCs/>
          <w:noProof/>
          <w:lang w:val="en-US"/>
        </w:rPr>
        <w:lastRenderedPageBreak/>
        <w:t xml:space="preserve">Under standard regularity conditions an estimate of </w:t>
      </w:r>
      <w:r w:rsidR="00544FDC">
        <w:rPr>
          <w:rFonts w:ascii="LM Roman 10" w:hAnsi="LM Roman 10"/>
          <w:bCs/>
          <w:noProof/>
          <w:lang w:val="en-US"/>
        </w:rPr>
        <w:t xml:space="preserve">equation 9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 xml:space="preserve">sing sample moments which generalize the sample moments </w:t>
      </w:r>
      <w:r w:rsidR="00544FDC">
        <w:rPr>
          <w:rFonts w:ascii="LM Roman 10" w:hAnsi="LM Roman 10"/>
          <w:bCs/>
          <w:noProof/>
          <w:lang w:val="en-US"/>
        </w:rPr>
        <w:t>of a simple OLS model</w:t>
      </w:r>
      <w:r w:rsidR="00763943">
        <w:rPr>
          <w:rFonts w:ascii="LM Roman 10" w:hAnsi="LM Roman 10"/>
          <w:bCs/>
          <w:noProof/>
          <w:lang w:val="en-US"/>
        </w:rPr>
        <w:t>.</w:t>
      </w:r>
      <w:r w:rsidR="00544FDC">
        <w:rPr>
          <w:rStyle w:val="FootnoteReference"/>
          <w:rFonts w:ascii="LM Roman 10" w:hAnsi="LM Roman 10"/>
          <w:bCs/>
          <w:noProof/>
          <w:lang w:val="en-US"/>
        </w:rPr>
        <w:footnoteReference w:id="13"/>
      </w:r>
    </w:p>
    <w:p w14:paraId="499AD41E" w14:textId="46F1E1AB" w:rsidR="006E2EF0" w:rsidRPr="006E2EF0" w:rsidRDefault="00763943" w:rsidP="00DE7C05">
      <w:pPr>
        <w:spacing w:after="200" w:line="312" w:lineRule="auto"/>
        <w:rPr>
          <w:rFonts w:ascii="LM Roman 10" w:hAnsi="LM Roman 10"/>
          <w:bCs/>
          <w:noProof/>
          <w:lang w:val="en-US"/>
        </w:rPr>
      </w:pPr>
      <w:r>
        <w:rPr>
          <w:rFonts w:ascii="LM Roman 10" w:hAnsi="LM Roman 10"/>
          <w:bCs/>
          <w:noProof/>
          <w:lang w:val="en-US"/>
        </w:rPr>
        <w:t>We s</w:t>
      </w:r>
      <w:r w:rsidR="006E2EF0" w:rsidRPr="006E2EF0">
        <w:rPr>
          <w:rFonts w:ascii="LM Roman 10" w:hAnsi="LM Roman 10"/>
          <w:bCs/>
          <w:noProof/>
          <w:lang w:val="en-US"/>
        </w:rPr>
        <w:t xml:space="preserve">uppose that the first-stage treatment model takes the form of a probability of treatment at time t estimated </w:t>
      </w:r>
      <w:r w:rsidR="00430D97">
        <w:rPr>
          <w:rFonts w:ascii="LM Roman 10" w:hAnsi="LM Roman 10"/>
          <w:bCs/>
          <w:noProof/>
          <w:lang w:val="en-US"/>
        </w:rPr>
        <w:t xml:space="preserve">by </w:t>
      </w: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w:t>
      </w:r>
      <w:r w:rsidR="00430D97">
        <w:rPr>
          <w:rFonts w:ascii="LM Roman 10" w:hAnsi="LM Roman 10"/>
          <w:bCs/>
          <w:noProof/>
          <w:lang w:val="en-US"/>
        </w:rPr>
        <w:t>.</w:t>
      </w:r>
      <w:r>
        <w:rPr>
          <w:rFonts w:ascii="LM Roman 10" w:hAnsi="LM Roman 10"/>
          <w:bCs/>
          <w:noProof/>
          <w:lang w:val="en-US"/>
        </w:rPr>
        <w:t xml:space="preserve"> Additionally, w</w:t>
      </w:r>
      <w:r w:rsidR="00A37202">
        <w:rPr>
          <w:rFonts w:ascii="LM Roman 10" w:hAnsi="LM Roman 10"/>
          <w:bCs/>
          <w:noProof/>
          <w:lang w:val="en-US"/>
        </w:rPr>
        <w:t xml:space="preserve">e use </w:t>
      </w:r>
      <w:r w:rsidR="00A37202">
        <w:t xml:space="preserve">Lunceford and Davidian (2004) </w:t>
      </w:r>
      <w:r w:rsidR="006E2EF0" w:rsidRPr="006E2EF0">
        <w:rPr>
          <w:rFonts w:ascii="LM Roman 10" w:hAnsi="LM Roman 10"/>
          <w:bCs/>
          <w:noProof/>
          <w:lang w:val="en-US"/>
        </w:rPr>
        <w:t>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 xml:space="preserve">ratio estimator </w:t>
      </w:r>
      <w:r w:rsidR="00A37202">
        <w:rPr>
          <w:rFonts w:ascii="LM Roman 10" w:hAnsi="LM Roman 10"/>
          <w:bCs/>
          <w:noProof/>
          <w:lang w:val="en-US"/>
        </w:rPr>
        <w:t>for</w:t>
      </w:r>
      <w:r w:rsidR="006E2EF0" w:rsidRPr="006E2EF0">
        <w:rPr>
          <w:rFonts w:ascii="LM Roman 10" w:hAnsi="LM Roman 10"/>
          <w:bCs/>
          <w:noProof/>
          <w:lang w:val="en-US"/>
        </w:rPr>
        <w:t xml:space="preserve"> the average treatment effect</w:t>
      </w:r>
      <w:r w:rsidR="00A37202">
        <w:rPr>
          <w:rFonts w:ascii="LM Roman 10" w:hAnsi="LM Roman 10"/>
          <w:bCs/>
          <w:noProof/>
          <w:lang w:val="en-US"/>
        </w:rPr>
        <w:t>.</w:t>
      </w:r>
      <w:r w:rsidR="00434981">
        <w:t xml:space="preserve"> </w:t>
      </w:r>
    </w:p>
    <w:p w14:paraId="26D9603D" w14:textId="32A52BE6" w:rsidR="00DB19AA" w:rsidRDefault="00B72023" w:rsidP="00DE7C05">
      <w:pPr>
        <w:spacing w:after="200" w:line="312" w:lineRule="auto"/>
        <w:jc w:val="center"/>
        <w:rPr>
          <w:bCs/>
          <w:lang w:val="en-US"/>
        </w:rPr>
      </w:pPr>
      <m:oMath>
        <m:sSubSup>
          <m:sSubSupPr>
            <m:ctrlPr>
              <w:rPr>
                <w:rFonts w:ascii="Cambria Math" w:hAnsi="Cambria Math"/>
                <w:bCs/>
                <w:sz w:val="26"/>
                <w:szCs w:val="26"/>
              </w:rPr>
            </m:ctrlPr>
          </m:sSubSupPr>
          <m:e>
            <m:acc>
              <m:accPr>
                <m:ctrlPr>
                  <w:rPr>
                    <w:rFonts w:ascii="Cambria Math" w:hAnsi="Cambria Math"/>
                    <w:bCs/>
                    <w:sz w:val="26"/>
                    <w:szCs w:val="26"/>
                  </w:rPr>
                </m:ctrlPr>
              </m:accPr>
              <m:e>
                <m:r>
                  <m:rPr>
                    <m:sty m:val="p"/>
                  </m:rPr>
                  <w:rPr>
                    <w:rFonts w:ascii="Cambria Math" w:hAnsi="Cambria Math"/>
                    <w:sz w:val="26"/>
                    <w:szCs w:val="26"/>
                  </w:rPr>
                  <m:t>Λ</m:t>
                </m:r>
              </m:e>
            </m:acc>
          </m:e>
          <m:sub>
            <m:r>
              <w:rPr>
                <w:rFonts w:ascii="Cambria Math" w:hAnsi="Cambria Math"/>
                <w:sz w:val="26"/>
                <w:szCs w:val="26"/>
                <w:lang w:val="en-US"/>
              </w:rPr>
              <m:t>IPW</m:t>
            </m:r>
          </m:sub>
          <m:sup/>
        </m:sSubSup>
        <m:r>
          <w:rPr>
            <w:rFonts w:ascii="Cambria Math" w:hAnsi="Cambria Math"/>
            <w:sz w:val="26"/>
            <w:szCs w:val="26"/>
            <w:lang w:val="en-US"/>
          </w:rPr>
          <m:t xml:space="preserve">= </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1</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0</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(1-D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oMath>
      <w:r w:rsidR="00DB19AA" w:rsidRPr="00763943">
        <w:rPr>
          <w:bCs/>
          <w:sz w:val="28"/>
          <w:szCs w:val="28"/>
        </w:rPr>
        <w:t xml:space="preserve">  </w:t>
      </w:r>
      <w:r w:rsidR="00DB19AA">
        <w:rPr>
          <w:bCs/>
        </w:rPr>
        <w:t>(</w:t>
      </w:r>
      <w:r w:rsidR="00585240">
        <w:rPr>
          <w:bCs/>
        </w:rPr>
        <w:t>1</w:t>
      </w:r>
      <w:r w:rsidR="00A37202">
        <w:rPr>
          <w:bCs/>
        </w:rPr>
        <w:t>0</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2B51ED52" w14:textId="47450EF7" w:rsidR="00B51EC7" w:rsidRDefault="00B51EC7" w:rsidP="00DE7C05">
      <w:pPr>
        <w:spacing w:after="200" w:line="312" w:lineRule="auto"/>
        <w:rPr>
          <w:rFonts w:ascii="LM Roman 10" w:hAnsi="LM Roman 10"/>
          <w:noProof/>
          <w:lang w:val="en-US"/>
        </w:rPr>
      </w:pPr>
      <w:r>
        <w:rPr>
          <w:rFonts w:ascii="LM Roman 10" w:hAnsi="LM Roman 10"/>
          <w:noProof/>
          <w:lang w:val="en-US"/>
        </w:rPr>
        <w:t xml:space="preserve">Under the following equality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e>
              <m:e>
                <m:sSub>
                  <m:sSubPr>
                    <m:ctrlPr>
                      <w:rPr>
                        <w:rFonts w:ascii="Cambria Math" w:hAnsi="Cambria Math"/>
                        <w:i/>
                        <w:noProof/>
                        <w:lang w:val="es-ES"/>
                      </w:rPr>
                    </m:ctrlPr>
                  </m:sSubPr>
                  <m:e>
                    <m:r>
                      <w:rPr>
                        <w:rFonts w:ascii="Cambria Math" w:hAnsi="Cambria Math"/>
                        <w:noProof/>
                        <w:lang w:val="es-ES"/>
                      </w:rPr>
                      <m:t>X</m:t>
                    </m:r>
                  </m:e>
                  <m:sub>
                    <m:r>
                      <w:rPr>
                        <w:rFonts w:ascii="Cambria Math" w:hAnsi="Cambria Math"/>
                        <w:noProof/>
                        <w:lang w:val="es-ES"/>
                      </w:rPr>
                      <m:t>t</m:t>
                    </m:r>
                  </m:sub>
                </m:sSub>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r>
          <m:rPr>
            <m:sty m:val="p"/>
          </m:rPr>
          <w:rPr>
            <w:rFonts w:ascii="Cambria Math" w:hAnsi="Cambria Math"/>
            <w:noProof/>
            <w:lang w:val="en-US"/>
          </w:rPr>
          <m:t>=1</m:t>
        </m:r>
      </m:oMath>
      <w:r>
        <w:rPr>
          <w:rFonts w:ascii="LM Roman 10" w:hAnsi="LM Roman 10"/>
          <w:noProof/>
          <w:lang w:val="en-US"/>
        </w:rPr>
        <w:t xml:space="preserve"> and for larger samples of </w:t>
      </w:r>
      <w:r w:rsidRPr="00B51EC7">
        <w:rPr>
          <w:rFonts w:ascii="LM Roman 10" w:hAnsi="LM Roman 10"/>
          <w:noProof/>
          <w:lang w:val="en-US"/>
        </w:rPr>
        <w:t>Equation (10) applies the same weighting, as</w:t>
      </w:r>
      <w:r>
        <w:rPr>
          <w:rFonts w:ascii="LM Roman 10" w:hAnsi="LM Roman 10"/>
          <w:noProof/>
          <w:lang w:val="en-US"/>
        </w:rPr>
        <w:t xml:space="preserve"> </w:t>
      </w:r>
      <m:oMath>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noProof/>
            <w:lang w:val="en-US"/>
          </w:rPr>
          <m:t>)=n</m:t>
        </m:r>
      </m:oMath>
      <w:r w:rsidRPr="001359B7">
        <w:rPr>
          <w:rFonts w:ascii="LM Roman 10" w:hAnsi="LM Roman 10"/>
          <w:noProof/>
          <w:lang w:val="en-US"/>
        </w:rPr>
        <w:t>.</w:t>
      </w:r>
      <w:r>
        <w:rPr>
          <w:rFonts w:ascii="LM Roman 10" w:hAnsi="LM Roman 10"/>
          <w:noProof/>
          <w:lang w:val="en-US"/>
        </w:rPr>
        <w:t xml:space="preserve"> </w:t>
      </w:r>
      <w:r w:rsidRPr="00B51EC7">
        <w:rPr>
          <w:rFonts w:ascii="LM Roman 10" w:hAnsi="LM Roman 10"/>
          <w:noProof/>
          <w:lang w:val="en-US"/>
        </w:rPr>
        <w:t>These expressions mirror the Group Mean estimator in Equation (4), utilizing inverse propensity-score weighting to rectify allocation bias and achieve a quasi-random distribution of treatment and control observations through reweighting.</w:t>
      </w:r>
    </w:p>
    <w:p w14:paraId="0612E852" w14:textId="77777777" w:rsidR="00B51EC7" w:rsidRDefault="00B51EC7" w:rsidP="00DE7C05">
      <w:pPr>
        <w:spacing w:after="200" w:line="312" w:lineRule="auto"/>
        <w:rPr>
          <w:rFonts w:ascii="LM Roman 10" w:hAnsi="LM Roman 10"/>
          <w:b/>
          <w:bCs/>
          <w:noProof/>
          <w:highlight w:val="yellow"/>
          <w:lang w:val="en-US"/>
        </w:rPr>
      </w:pPr>
    </w:p>
    <w:p w14:paraId="349A2A1E" w14:textId="5AAADF70" w:rsidR="001745D2" w:rsidRPr="00B51EC7" w:rsidRDefault="001745D2" w:rsidP="00DE7C05">
      <w:pPr>
        <w:spacing w:after="200" w:line="312" w:lineRule="auto"/>
        <w:rPr>
          <w:rFonts w:ascii="LM Roman 10" w:hAnsi="LM Roman 10"/>
          <w:noProof/>
          <w:lang w:val="en-US"/>
        </w:rPr>
      </w:pPr>
      <w:r w:rsidRPr="00B51EC7">
        <w:rPr>
          <w:rFonts w:ascii="LM Roman 10" w:hAnsi="LM Roman 10"/>
          <w:noProof/>
          <w:lang w:val="en-US"/>
        </w:rPr>
        <w:t xml:space="preserve">4.2. </w:t>
      </w:r>
      <w:r w:rsidR="007E34BB">
        <w:rPr>
          <w:rFonts w:ascii="LM Roman 10" w:hAnsi="LM Roman 10"/>
          <w:noProof/>
          <w:lang w:val="en-US"/>
        </w:rPr>
        <w:t>Robustness</w:t>
      </w:r>
      <w:r w:rsidR="00B51EC7">
        <w:rPr>
          <w:rFonts w:ascii="LM Roman 10" w:hAnsi="LM Roman 10"/>
          <w:noProof/>
          <w:lang w:val="en-US"/>
        </w:rPr>
        <w:t xml:space="preserve"> specification: </w:t>
      </w:r>
      <w:r w:rsidRPr="00B51EC7">
        <w:rPr>
          <w:rFonts w:ascii="LM Roman 10" w:hAnsi="LM Roman 10"/>
          <w:noProof/>
          <w:lang w:val="en-US"/>
        </w:rPr>
        <w:t>Regression adjustment and Augmented IPW</w:t>
      </w:r>
    </w:p>
    <w:p w14:paraId="194E974B" w14:textId="7716DCEA" w:rsidR="001745D2" w:rsidRPr="001745D2" w:rsidRDefault="007E34BB" w:rsidP="00DE7C05">
      <w:pPr>
        <w:spacing w:after="200" w:line="312" w:lineRule="auto"/>
        <w:rPr>
          <w:rFonts w:ascii="LM Roman 10" w:hAnsi="LM Roman 10"/>
          <w:noProof/>
          <w:lang w:val="en-US"/>
        </w:rPr>
      </w:pPr>
      <w:r>
        <w:rPr>
          <w:rFonts w:ascii="LM Roman 10" w:hAnsi="LM Roman 10"/>
          <w:noProof/>
          <w:lang w:val="en-US"/>
        </w:rPr>
        <w:t>To conclude, we specify and describe how w</w:t>
      </w:r>
      <w:r w:rsidR="000E2337">
        <w:rPr>
          <w:rFonts w:ascii="LM Roman 10" w:hAnsi="LM Roman 10"/>
          <w:noProof/>
          <w:lang w:val="en-US"/>
        </w:rPr>
        <w:t xml:space="preserve">e use </w:t>
      </w:r>
      <w:r w:rsidR="001745D2" w:rsidRPr="001745D2">
        <w:rPr>
          <w:rFonts w:ascii="LM Roman 10" w:hAnsi="LM Roman 10"/>
          <w:noProof/>
          <w:lang w:val="en-US"/>
        </w:rPr>
        <w:t>the augmented IPW</w:t>
      </w:r>
      <w:r>
        <w:rPr>
          <w:rFonts w:ascii="LM Roman 10" w:hAnsi="LM Roman 10"/>
          <w:noProof/>
          <w:lang w:val="en-US"/>
        </w:rPr>
        <w:t xml:space="preserve"> and </w:t>
      </w:r>
      <w:r w:rsidRPr="007E34BB">
        <w:rPr>
          <w:rFonts w:ascii="LM Roman 10" w:hAnsi="LM Roman 10"/>
          <w:noProof/>
          <w:lang w:val="en-US"/>
        </w:rPr>
        <w:t>Regression adjustment (IPWRA)</w:t>
      </w:r>
      <w:r w:rsidR="001745D2" w:rsidRPr="001745D2">
        <w:rPr>
          <w:rFonts w:ascii="LM Roman 10" w:hAnsi="LM Roman 10"/>
          <w:noProof/>
          <w:lang w:val="en-US"/>
        </w:rPr>
        <w:t xml:space="preserve"> </w:t>
      </w:r>
      <w:r>
        <w:rPr>
          <w:rFonts w:ascii="LM Roman 10" w:hAnsi="LM Roman 10"/>
          <w:noProof/>
          <w:lang w:val="en-US"/>
        </w:rPr>
        <w:t>e</w:t>
      </w:r>
      <w:r w:rsidR="001745D2" w:rsidRPr="001745D2">
        <w:rPr>
          <w:rFonts w:ascii="LM Roman 10" w:hAnsi="LM Roman 10"/>
          <w:noProof/>
          <w:lang w:val="en-US"/>
        </w:rPr>
        <w:t>stimator</w:t>
      </w:r>
      <w:r>
        <w:rPr>
          <w:rFonts w:ascii="LM Roman 10" w:hAnsi="LM Roman 10"/>
          <w:noProof/>
          <w:lang w:val="en-US"/>
        </w:rPr>
        <w:t>s</w:t>
      </w:r>
      <w:r w:rsidR="000E2337">
        <w:rPr>
          <w:rFonts w:ascii="LM Roman 10" w:hAnsi="LM Roman 10"/>
          <w:noProof/>
          <w:lang w:val="en-US"/>
        </w:rPr>
        <w:t xml:space="preserve">, below </w:t>
      </w:r>
      <w:r>
        <w:rPr>
          <w:rFonts w:ascii="LM Roman 10" w:hAnsi="LM Roman 10"/>
          <w:noProof/>
          <w:lang w:val="en-US"/>
        </w:rPr>
        <w:t>a</w:t>
      </w:r>
      <w:r w:rsidR="000E2337">
        <w:rPr>
          <w:rFonts w:ascii="LM Roman 10" w:hAnsi="LM Roman 10"/>
          <w:noProof/>
          <w:lang w:val="en-US"/>
        </w:rPr>
        <w:t xml:space="preserve"> shortly </w:t>
      </w:r>
      <w:r>
        <w:rPr>
          <w:rFonts w:ascii="LM Roman 10" w:hAnsi="LM Roman 10"/>
          <w:noProof/>
          <w:lang w:val="en-US"/>
        </w:rPr>
        <w:t>description for</w:t>
      </w:r>
      <w:r w:rsidR="000E2337">
        <w:rPr>
          <w:rFonts w:ascii="LM Roman 10" w:hAnsi="LM Roman 10"/>
          <w:noProof/>
          <w:lang w:val="en-US"/>
        </w:rPr>
        <w:t xml:space="preserve"> this methodology.</w:t>
      </w:r>
    </w:p>
    <w:p w14:paraId="75BA3E73" w14:textId="794847AD"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The inverse propensity-score weighted estimator </w:t>
      </w:r>
      <w:r w:rsidR="00BC0F94">
        <w:rPr>
          <w:rFonts w:ascii="LM Roman 10" w:hAnsi="LM Roman 10"/>
          <w:noProof/>
          <w:lang w:val="en-US"/>
        </w:rPr>
        <w:t xml:space="preserve">for </w:t>
      </w:r>
      <w:r w:rsidRPr="001745D2">
        <w:rPr>
          <w:rFonts w:ascii="LM Roman 10" w:hAnsi="LM Roman 10"/>
          <w:noProof/>
          <w:lang w:val="en-US"/>
        </w:rPr>
        <w:t>IPWRA</w:t>
      </w:r>
      <w:r w:rsidR="000E2337">
        <w:rPr>
          <w:rFonts w:ascii="LM Roman 10" w:hAnsi="LM Roman 10"/>
          <w:noProof/>
          <w:lang w:val="en-US"/>
        </w:rPr>
        <w:t xml:space="preserve"> is defined by:</w:t>
      </w:r>
    </w:p>
    <w:p w14:paraId="10424688" w14:textId="42E6DC2E" w:rsidR="001745D2" w:rsidRDefault="00B72023" w:rsidP="00DE7C05">
      <w:pPr>
        <w:spacing w:after="200" w:line="312" w:lineRule="auto"/>
        <w:jc w:val="center"/>
        <w:rPr>
          <w:bCs/>
        </w:rPr>
      </w:pPr>
      <m:oMath>
        <m:sSubSup>
          <m:sSubSupPr>
            <m:ctrlPr>
              <w:rPr>
                <w:rFonts w:ascii="Cambria Math" w:hAnsi="Cambria Math"/>
                <w:bCs/>
                <w:sz w:val="28"/>
                <w:szCs w:val="28"/>
              </w:rPr>
            </m:ctrlPr>
          </m:sSubSupPr>
          <m:e>
            <m:acc>
              <m:accPr>
                <m:ctrlPr>
                  <w:rPr>
                    <w:rFonts w:ascii="Cambria Math" w:hAnsi="Cambria Math"/>
                    <w:bCs/>
                    <w:sz w:val="28"/>
                    <w:szCs w:val="28"/>
                  </w:rPr>
                </m:ctrlPr>
              </m:accPr>
              <m:e>
                <m:r>
                  <m:rPr>
                    <m:sty m:val="p"/>
                  </m:rPr>
                  <w:rPr>
                    <w:rFonts w:ascii="Cambria Math" w:hAnsi="Cambria Math"/>
                    <w:sz w:val="28"/>
                    <w:szCs w:val="28"/>
                  </w:rPr>
                  <m:t>Λ</m:t>
                </m:r>
              </m:e>
            </m:acc>
          </m:e>
          <m:sub>
            <m:r>
              <w:rPr>
                <w:rFonts w:ascii="Cambria Math" w:hAnsi="Cambria Math"/>
                <w:sz w:val="28"/>
                <w:szCs w:val="28"/>
                <w:lang w:val="en-US"/>
              </w:rPr>
              <m:t>IPWRA</m:t>
            </m:r>
          </m:sub>
          <m:sup>
            <m:r>
              <w:rPr>
                <w:rFonts w:ascii="Cambria Math" w:hAnsi="Cambria Math"/>
                <w:sz w:val="28"/>
                <w:szCs w:val="28"/>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1</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m:t>
                    </m:r>
                  </m:num>
                  <m:den>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0</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m:t>
                        </m:r>
                        <m:ctrlPr>
                          <w:rPr>
                            <w:rFonts w:ascii="Cambria Math" w:hAnsi="Cambria Math"/>
                            <w:i/>
                            <w:sz w:val="28"/>
                            <w:szCs w:val="28"/>
                            <w:lang w:val="en-US"/>
                          </w:rPr>
                        </m:ctrlPr>
                      </m:e>
                    </m:d>
                  </m:num>
                  <m:den>
                    <m:r>
                      <w:rPr>
                        <w:rFonts w:ascii="Cambria Math" w:hAnsi="Cambria Math"/>
                        <w:sz w:val="28"/>
                        <w:szCs w:val="28"/>
                      </w:rPr>
                      <m:t>1-</m:t>
                    </m:r>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oMath>
      <w:r w:rsidR="001745D2" w:rsidRPr="00DC4408">
        <w:rPr>
          <w:bCs/>
          <w:sz w:val="28"/>
          <w:szCs w:val="28"/>
        </w:rPr>
        <w:t xml:space="preserve">  </w:t>
      </w:r>
      <w:r w:rsidR="00DC4408" w:rsidRPr="00DC4408">
        <w:rPr>
          <w:bCs/>
          <w:sz w:val="28"/>
          <w:szCs w:val="28"/>
        </w:rPr>
        <w:t xml:space="preserve">         </w:t>
      </w:r>
      <w:r w:rsidR="001745D2">
        <w:rPr>
          <w:bCs/>
        </w:rPr>
        <w:t>(1</w:t>
      </w:r>
      <w:r w:rsidR="000E2337">
        <w:rPr>
          <w:bCs/>
        </w:rPr>
        <w:t>1</w:t>
      </w:r>
      <w:r w:rsidR="001745D2">
        <w:rPr>
          <w:bCs/>
        </w:rPr>
        <w:t>)</w:t>
      </w:r>
    </w:p>
    <w:p w14:paraId="4A7AD804" w14:textId="1BF9483B"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lastRenderedPageBreak/>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000E2337">
        <w:rPr>
          <w:rFonts w:ascii="LM Roman 10" w:hAnsi="LM Roman 10"/>
          <w:noProof/>
          <w:lang w:val="en-US"/>
        </w:rPr>
        <w:t xml:space="preserve">. </w:t>
      </w:r>
      <w:r w:rsidRPr="000C357C">
        <w:rPr>
          <w:rFonts w:ascii="LM Roman 10" w:hAnsi="LM Roman 10"/>
          <w:noProof/>
          <w:lang w:val="en-US"/>
        </w:rPr>
        <w:t>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 xml:space="preserve">as in </w:t>
      </w:r>
      <w:r w:rsidR="00BC0F94">
        <w:rPr>
          <w:rFonts w:ascii="LM Roman 10" w:hAnsi="LM Roman 10"/>
          <w:noProof/>
          <w:lang w:val="en-US"/>
        </w:rPr>
        <w:t>E</w:t>
      </w:r>
      <w:r w:rsidR="000E2337">
        <w:rPr>
          <w:rFonts w:ascii="LM Roman 10" w:hAnsi="LM Roman 10"/>
          <w:noProof/>
          <w:lang w:val="en-US"/>
        </w:rPr>
        <w:t xml:space="preserve">quation </w:t>
      </w:r>
      <w:r w:rsidRPr="000C357C">
        <w:rPr>
          <w:rFonts w:ascii="LM Roman 10" w:hAnsi="LM Roman 10"/>
          <w:noProof/>
          <w:lang w:val="en-US"/>
        </w:rPr>
        <w:t>(1</w:t>
      </w:r>
      <w:r w:rsidR="000E2337">
        <w:rPr>
          <w:rFonts w:ascii="LM Roman 10" w:hAnsi="LM Roman 10"/>
          <w:noProof/>
          <w:lang w:val="en-US"/>
        </w:rPr>
        <w:t>0</w:t>
      </w:r>
      <w:r w:rsidRPr="000C357C">
        <w:rPr>
          <w:rFonts w:ascii="LM Roman 10" w:hAnsi="LM Roman 10"/>
          <w:noProof/>
          <w:lang w:val="en-US"/>
        </w:rPr>
        <w:t xml:space="preserve">). It is clear that </w:t>
      </w:r>
      <w:r w:rsidR="00BC0F94">
        <w:rPr>
          <w:rFonts w:ascii="LM Roman 10" w:hAnsi="LM Roman 10"/>
          <w:noProof/>
          <w:lang w:val="en-US"/>
        </w:rPr>
        <w:t>E</w:t>
      </w:r>
      <w:r w:rsidRPr="000C357C">
        <w:rPr>
          <w:rFonts w:ascii="LM Roman 10" w:hAnsi="LM Roman 10"/>
          <w:noProof/>
          <w:lang w:val="en-US"/>
        </w:rPr>
        <w:t>quation (1</w:t>
      </w:r>
      <w:r w:rsidR="000E2337">
        <w:rPr>
          <w:rFonts w:ascii="LM Roman 10" w:hAnsi="LM Roman 10"/>
          <w:noProof/>
          <w:lang w:val="en-US"/>
        </w:rPr>
        <w:t>1</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the RA, and the IPW as special cases.</w:t>
      </w:r>
    </w:p>
    <w:p w14:paraId="40E694CE" w14:textId="3C9EF58B" w:rsidR="000C357C" w:rsidRDefault="00CD4F18" w:rsidP="00BF6035">
      <w:pPr>
        <w:spacing w:after="200" w:line="312" w:lineRule="auto"/>
        <w:rPr>
          <w:rFonts w:ascii="LM Roman 10" w:hAnsi="LM Roman 10"/>
          <w:noProof/>
          <w:lang w:val="en-US"/>
        </w:rPr>
      </w:pPr>
      <w:r>
        <w:rPr>
          <w:rFonts w:ascii="LM Roman 10" w:hAnsi="LM Roman 10"/>
          <w:noProof/>
          <w:lang w:val="en-US"/>
        </w:rPr>
        <w:t>Equation</w:t>
      </w:r>
      <w:r w:rsidR="000C357C" w:rsidRPr="000C357C">
        <w:rPr>
          <w:rFonts w:ascii="LM Roman 10" w:hAnsi="LM Roman 10"/>
          <w:noProof/>
          <w:lang w:val="en-US"/>
        </w:rPr>
        <w:t xml:space="preserve"> (1</w:t>
      </w:r>
      <w:r>
        <w:rPr>
          <w:rFonts w:ascii="LM Roman 10" w:hAnsi="LM Roman 10"/>
          <w:noProof/>
          <w:lang w:val="en-US"/>
        </w:rPr>
        <w:t>1</w:t>
      </w:r>
      <w:r w:rsidR="000C357C" w:rsidRPr="000C357C">
        <w:rPr>
          <w:rFonts w:ascii="LM Roman 10" w:hAnsi="LM Roman 10"/>
          <w:noProof/>
          <w:lang w:val="en-US"/>
        </w:rPr>
        <w:t>) falls into the class of doubly robust estimators (see, e.g.,</w:t>
      </w:r>
      <w:r w:rsidR="000C357C">
        <w:rPr>
          <w:rFonts w:ascii="LM Roman 10" w:hAnsi="LM Roman 10"/>
          <w:noProof/>
          <w:lang w:val="en-US"/>
        </w:rPr>
        <w:t xml:space="preserve"> </w:t>
      </w:r>
      <w:r w:rsidR="000C357C" w:rsidRPr="000C357C">
        <w:rPr>
          <w:rFonts w:ascii="LM Roman 10" w:hAnsi="LM Roman 10"/>
          <w:noProof/>
          <w:lang w:val="en-US"/>
        </w:rPr>
        <w:t>Imbens 2004; and Kreif et al. 2011). The</w:t>
      </w:r>
      <w:r w:rsidR="000C357C">
        <w:rPr>
          <w:rFonts w:ascii="LM Roman 10" w:hAnsi="LM Roman 10"/>
          <w:noProof/>
          <w:lang w:val="en-US"/>
        </w:rPr>
        <w:t xml:space="preserve"> </w:t>
      </w:r>
      <w:r w:rsidR="000C357C" w:rsidRPr="000C357C">
        <w:rPr>
          <w:rFonts w:ascii="LM Roman 10" w:hAnsi="LM Roman 10"/>
          <w:noProof/>
          <w:lang w:val="en-US"/>
        </w:rPr>
        <w:t>intuition behind the estimator is to use the regression model as a way to predict the</w:t>
      </w:r>
      <w:r w:rsidR="000C357C">
        <w:rPr>
          <w:rFonts w:ascii="LM Roman 10" w:hAnsi="LM Roman 10"/>
          <w:noProof/>
          <w:lang w:val="en-US"/>
        </w:rPr>
        <w:t xml:space="preserve"> </w:t>
      </w:r>
      <w:r w:rsidR="000C357C" w:rsidRPr="000C357C">
        <w:rPr>
          <w:rFonts w:ascii="LM Roman 10" w:hAnsi="LM Roman 10"/>
          <w:noProof/>
          <w:lang w:val="en-US"/>
        </w:rPr>
        <w:t>unobserved potential outcomes</w:t>
      </w:r>
      <w:r>
        <w:rPr>
          <w:rFonts w:ascii="LM Roman 10" w:hAnsi="LM Roman 10"/>
          <w:noProof/>
          <w:lang w:val="en-US"/>
        </w:rPr>
        <w:t>, as we know, c</w:t>
      </w:r>
      <w:r w:rsidRPr="00CD4F18">
        <w:rPr>
          <w:rFonts w:ascii="LM Roman 10" w:hAnsi="LM Roman 10"/>
          <w:noProof/>
          <w:lang w:val="en-US"/>
        </w:rPr>
        <w:t>onsistency of the estimated ATE only requires either the conditional mean model or the propensity score model to be correctly specified</w:t>
      </w:r>
      <w:r>
        <w:rPr>
          <w:rFonts w:ascii="LM Roman 10" w:hAnsi="LM Roman 10"/>
          <w:noProof/>
          <w:lang w:val="en-US"/>
        </w:rPr>
        <w:t>.</w:t>
      </w:r>
      <w:r w:rsidRPr="00CD4F18">
        <w:rPr>
          <w:rFonts w:ascii="LM Roman 10" w:hAnsi="LM Roman 10"/>
          <w:noProof/>
          <w:lang w:val="en-US"/>
        </w:rPr>
        <w:t xml:space="preserve"> </w:t>
      </w:r>
      <w:r w:rsidR="00BF6035">
        <w:rPr>
          <w:rFonts w:ascii="LM Roman 10" w:hAnsi="LM Roman 10"/>
          <w:noProof/>
          <w:lang w:val="en-US"/>
        </w:rPr>
        <w:t>Lastly, w</w:t>
      </w:r>
      <w:r w:rsidR="00BF6035" w:rsidRPr="00BF6035">
        <w:rPr>
          <w:rFonts w:ascii="LM Roman 10" w:hAnsi="LM Roman 10"/>
          <w:noProof/>
          <w:lang w:val="en-US"/>
        </w:rPr>
        <w:t>hile Equation (11) belongs to a broad array of unbiased IPWRA estimators, it does not rank as the most efficient within this category. In accordance with Lunceford and Davidian (2004), the estimator with the lowest asymptotic variance in the doubly robust class is the (locally) semi-parametric efficient estimator.</w:t>
      </w:r>
    </w:p>
    <w:p w14:paraId="2B3ED5E2" w14:textId="7D2CC249" w:rsidR="00CD4F18" w:rsidRPr="0006603D" w:rsidRDefault="00B72023" w:rsidP="00D13A9A">
      <w:pPr>
        <w:spacing w:after="200" w:line="360" w:lineRule="auto"/>
        <w:ind w:firstLine="709"/>
        <w:jc w:val="center"/>
        <w:rPr>
          <w:bCs/>
          <w:sz w:val="20"/>
          <w:szCs w:val="20"/>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AIPW</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r>
              <w:rPr>
                <w:rFonts w:ascii="Cambria Math" w:hAnsi="Cambria Math"/>
              </w:rPr>
              <m:t>n</m:t>
            </m:r>
          </m:den>
        </m:f>
        <m:nary>
          <m:naryPr>
            <m:chr m:val="∑"/>
            <m:limLoc m:val="undOvr"/>
            <m:subHide m:val="1"/>
            <m:supHide m:val="1"/>
            <m:ctrlPr>
              <w:rPr>
                <w:rFonts w:ascii="Cambria Math" w:hAnsi="Cambria Math"/>
                <w:bCs/>
                <w:i/>
              </w:rPr>
            </m:ctrlPr>
          </m:naryPr>
          <m:sub/>
          <m:sup/>
          <m:e>
            <m:d>
              <m:dPr>
                <m:begChr m:val="{"/>
                <m:endChr m:val="}"/>
                <m:ctrlPr>
                  <w:rPr>
                    <w:rFonts w:ascii="Cambria Math" w:hAnsi="Cambria Math"/>
                    <w:bCs/>
                    <w:i/>
                  </w:rPr>
                </m:ctrlPr>
              </m:dPr>
              <m:e>
                <m:eqArr>
                  <m:eqArrPr>
                    <m:ctrlPr>
                      <w:rPr>
                        <w:rFonts w:ascii="Cambria Math" w:hAnsi="Cambria Math"/>
                        <w:bCs/>
                        <w:i/>
                      </w:rPr>
                    </m:ctrlPr>
                  </m:eqArrPr>
                  <m:e>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r>
                          <w:rPr>
                            <w:rFonts w:ascii="Cambria Math" w:hAnsi="Cambria Math"/>
                          </w:rPr>
                          <m:t>-</m:t>
                        </m:r>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(1-D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um>
                          <m:den>
                            <m:d>
                              <m:dPr>
                                <m:ctrlPr>
                                  <w:rPr>
                                    <w:rFonts w:ascii="Cambria Math" w:hAnsi="Cambria Math"/>
                                    <w:bCs/>
                                    <w:i/>
                                  </w:rPr>
                                </m:ctrlPr>
                              </m:dPr>
                              <m:e>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ctrlPr>
                                  <w:rPr>
                                    <w:rFonts w:ascii="Cambria Math" w:hAnsi="Cambria Math"/>
                                    <w:i/>
                                    <w:noProof/>
                                    <w:lang w:val="en-US"/>
                                  </w:rPr>
                                </m:ctrlPr>
                              </m:e>
                            </m:d>
                          </m:den>
                        </m:f>
                      </m:e>
                    </m:d>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noProof/>
                            <w:lang w:val="en-US"/>
                          </w:rPr>
                          <m:t>Dt</m:t>
                        </m:r>
                        <m:r>
                          <w:rPr>
                            <w:rFonts w:ascii="Cambria Math" w:hAnsi="Cambria Math"/>
                            <w:lang w:val="en-US"/>
                          </w:rPr>
                          <m:t>-</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r>
                          <w:rPr>
                            <w:rFonts w:ascii="Cambria Math" w:hAnsi="Cambria Math"/>
                            <w:lang w:val="en-US"/>
                          </w:rPr>
                          <m:t>)</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e>
                    <m:r>
                      <w:rPr>
                        <w:rFonts w:ascii="Cambria Math" w:hAnsi="Cambria Math"/>
                        <w:lang w:val="en-US"/>
                      </w:rPr>
                      <m:t>[(1-</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1</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0</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ctrlPr>
                      <w:rPr>
                        <w:rFonts w:ascii="Cambria Math" w:hAnsi="Cambria Math"/>
                        <w:i/>
                        <w:lang w:val="en-US"/>
                      </w:rPr>
                    </m:ctrlPr>
                  </m:e>
                </m:eqArr>
              </m:e>
            </m:d>
          </m:e>
        </m:nary>
      </m:oMath>
      <w:r w:rsidR="00CD4F18">
        <w:rPr>
          <w:bCs/>
        </w:rPr>
        <w:t xml:space="preserve">          (12)</w:t>
      </w:r>
    </w:p>
    <w:p w14:paraId="2A6140B4" w14:textId="53E45DA1" w:rsidR="000C357C" w:rsidRDefault="00BF6035" w:rsidP="00DE7C05">
      <w:pPr>
        <w:spacing w:after="200" w:line="312" w:lineRule="auto"/>
        <w:rPr>
          <w:rFonts w:ascii="LM Roman 10" w:hAnsi="LM Roman 10"/>
          <w:bCs/>
          <w:noProof/>
          <w:sz w:val="22"/>
          <w:szCs w:val="22"/>
        </w:rPr>
      </w:pPr>
      <w:r w:rsidRPr="001B22CE">
        <w:rPr>
          <w:rFonts w:ascii="LM Roman 10" w:hAnsi="LM Roman 10"/>
          <w:noProof/>
          <w:lang w:val="en-US"/>
        </w:rPr>
        <w:t>So</w:t>
      </w:r>
      <w:r w:rsidR="001B22CE" w:rsidRPr="001B22CE">
        <w:rPr>
          <w:rFonts w:ascii="LM Roman 10" w:hAnsi="LM Roman 10"/>
          <w:noProof/>
          <w:lang w:val="en-US"/>
        </w:rPr>
        <w:t xml:space="preserve">, </w:t>
      </w:r>
      <w:r>
        <w:rPr>
          <w:rFonts w:ascii="LM Roman 10" w:hAnsi="LM Roman 10"/>
          <w:noProof/>
          <w:lang w:val="en-US"/>
        </w:rPr>
        <w:t>E</w:t>
      </w:r>
      <w:r w:rsidR="00D13A9A">
        <w:rPr>
          <w:rFonts w:ascii="LM Roman 10" w:hAnsi="LM Roman 10"/>
          <w:noProof/>
          <w:lang w:val="en-US"/>
        </w:rPr>
        <w:t xml:space="preserve">quation </w:t>
      </w:r>
      <w:r w:rsidR="001B22CE" w:rsidRPr="001B22CE">
        <w:rPr>
          <w:rFonts w:ascii="LM Roman 10" w:hAnsi="LM Roman 10"/>
          <w:noProof/>
          <w:lang w:val="en-US"/>
        </w:rPr>
        <w:t>(1</w:t>
      </w:r>
      <w:r w:rsidR="00D13A9A">
        <w:rPr>
          <w:rFonts w:ascii="LM Roman 10" w:hAnsi="LM Roman 10"/>
          <w:noProof/>
          <w:lang w:val="en-US"/>
        </w:rPr>
        <w:t>2</w:t>
      </w:r>
      <w:r w:rsidR="001B22CE" w:rsidRPr="001B22CE">
        <w:rPr>
          <w:rFonts w:ascii="LM Roman 10" w:hAnsi="LM Roman 10"/>
          <w:noProof/>
          <w:lang w:val="en-US"/>
        </w:rPr>
        <w:t>) can be seen as the basic IPW estimator plus an adjustment</w:t>
      </w:r>
      <w:r w:rsidR="001B22CE">
        <w:rPr>
          <w:rFonts w:ascii="LM Roman 10" w:hAnsi="LM Roman 10"/>
          <w:noProof/>
          <w:lang w:val="en-US"/>
        </w:rPr>
        <w:t xml:space="preserve"> </w:t>
      </w:r>
      <w:r w:rsidR="001B22CE" w:rsidRPr="001B22CE">
        <w:rPr>
          <w:rFonts w:ascii="LM Roman 10" w:hAnsi="LM Roman 10"/>
          <w:noProof/>
          <w:lang w:val="en-US"/>
        </w:rPr>
        <w:t>consisting of the weighted average of the two regression estimators. The adjustment term</w:t>
      </w:r>
      <w:r w:rsidR="001B22CE">
        <w:rPr>
          <w:rFonts w:ascii="LM Roman 10" w:hAnsi="LM Roman 10"/>
          <w:noProof/>
          <w:lang w:val="en-US"/>
        </w:rPr>
        <w:t xml:space="preserve"> </w:t>
      </w:r>
      <w:r w:rsidR="001B22CE" w:rsidRPr="001B22CE">
        <w:rPr>
          <w:rFonts w:ascii="LM Roman 10" w:hAnsi="LM Roman 10"/>
          <w:noProof/>
          <w:lang w:val="en-US"/>
        </w:rPr>
        <w:t>has expectation zero when the estimated propensity scores and regression models are</w:t>
      </w:r>
      <w:r w:rsidR="001B22CE">
        <w:rPr>
          <w:rFonts w:ascii="LM Roman 10" w:hAnsi="LM Roman 10"/>
          <w:noProof/>
          <w:lang w:val="en-US"/>
        </w:rPr>
        <w:t xml:space="preserve"> </w:t>
      </w:r>
      <w:r w:rsidR="001B22CE" w:rsidRPr="001B22CE">
        <w:rPr>
          <w:rFonts w:ascii="LM Roman 10" w:hAnsi="LM Roman 10"/>
          <w:noProof/>
          <w:lang w:val="en-US"/>
        </w:rPr>
        <w:t xml:space="preserve">replaced by their population counterparts. </w:t>
      </w:r>
      <w:r w:rsidR="00D13A9A" w:rsidRPr="001B22CE">
        <w:rPr>
          <w:rFonts w:ascii="LM Roman 10" w:hAnsi="LM Roman 10"/>
          <w:noProof/>
          <w:lang w:val="en-US"/>
        </w:rPr>
        <w:t>Furthermore</w:t>
      </w:r>
      <w:r w:rsidR="001B22CE" w:rsidRPr="001B22CE">
        <w:rPr>
          <w:rFonts w:ascii="LM Roman 10" w:hAnsi="LM Roman 10"/>
          <w:noProof/>
          <w:lang w:val="en-US"/>
        </w:rPr>
        <w:t xml:space="preserve">, the adjustment term </w:t>
      </w:r>
      <w:r w:rsidRPr="001B22CE">
        <w:rPr>
          <w:rFonts w:ascii="LM Roman 10" w:hAnsi="LM Roman 10"/>
          <w:noProof/>
          <w:lang w:val="en-US"/>
        </w:rPr>
        <w:t>soothes</w:t>
      </w:r>
      <w:r w:rsidR="001B22CE" w:rsidRPr="001B22CE">
        <w:rPr>
          <w:rFonts w:ascii="LM Roman 10" w:hAnsi="LM Roman 10"/>
          <w:noProof/>
          <w:lang w:val="en-US"/>
        </w:rPr>
        <w:t xml:space="preserve"> the</w:t>
      </w:r>
      <w:r w:rsidR="001B22CE">
        <w:rPr>
          <w:rFonts w:ascii="LM Roman 10" w:hAnsi="LM Roman 10"/>
          <w:noProof/>
          <w:lang w:val="en-US"/>
        </w:rPr>
        <w:t xml:space="preserve"> </w:t>
      </w:r>
      <w:r w:rsidR="001B22CE" w:rsidRPr="001B22CE">
        <w:rPr>
          <w:rFonts w:ascii="LM Roman 10" w:hAnsi="LM Roman 10"/>
          <w:noProof/>
          <w:lang w:val="en-US"/>
        </w:rPr>
        <w:t xml:space="preserve">estimator when the propensity scores </w:t>
      </w:r>
      <w:r>
        <w:rPr>
          <w:rFonts w:ascii="LM Roman 10" w:hAnsi="LM Roman 10"/>
          <w:noProof/>
          <w:lang w:val="en-US"/>
        </w:rPr>
        <w:t xml:space="preserve">are </w:t>
      </w:r>
      <w:r w:rsidR="001B22CE" w:rsidRPr="001B22CE">
        <w:rPr>
          <w:rFonts w:ascii="LM Roman 10" w:hAnsi="LM Roman 10"/>
          <w:noProof/>
          <w:lang w:val="en-US"/>
        </w:rPr>
        <w:t>close to zero or one</w:t>
      </w:r>
      <w:r>
        <w:rPr>
          <w:rFonts w:ascii="LM Roman 10" w:hAnsi="LM Roman 10"/>
          <w:noProof/>
          <w:lang w:val="en-US"/>
        </w:rPr>
        <w:t>.</w:t>
      </w:r>
      <w:r w:rsidR="001B22CE" w:rsidRPr="001B22CE">
        <w:rPr>
          <w:rFonts w:ascii="LM Roman 10" w:hAnsi="LM Roman 10"/>
          <w:noProof/>
          <w:lang w:val="en-US"/>
        </w:rPr>
        <w:t xml:space="preserve"> Another way to interpret the AIPW estimator is to realize that</w:t>
      </w:r>
      <w:r w:rsidR="001B22CE">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sidR="001B22CE">
        <w:rPr>
          <w:rFonts w:ascii="LM Roman 10" w:hAnsi="LM Roman 10"/>
          <w:bCs/>
          <w:noProof/>
          <w:sz w:val="22"/>
          <w:szCs w:val="22"/>
        </w:rPr>
        <w:t>.</w:t>
      </w:r>
    </w:p>
    <w:p w14:paraId="37ECBC08" w14:textId="3393E109" w:rsidR="00101FF7" w:rsidRPr="00B51EC7" w:rsidRDefault="001B22CE" w:rsidP="00DE7C05">
      <w:pPr>
        <w:spacing w:after="200" w:line="312" w:lineRule="auto"/>
        <w:rPr>
          <w:rFonts w:ascii="LM Roman 10" w:hAnsi="LM Roman 10"/>
          <w:noProof/>
          <w:lang w:val="en-US"/>
        </w:rPr>
      </w:pPr>
      <w:r w:rsidRPr="00B51EC7">
        <w:rPr>
          <w:rFonts w:ascii="LM Roman 10" w:hAnsi="LM Roman 10"/>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 xml:space="preserve">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w:t>
      </w:r>
      <w:r w:rsidRPr="001B22CE">
        <w:rPr>
          <w:rFonts w:ascii="LM Roman 10" w:hAnsi="LM Roman 10"/>
          <w:noProof/>
          <w:lang w:val="en-US"/>
        </w:rPr>
        <w:lastRenderedPageBreak/>
        <w:t>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1"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1"/>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w:t>
      </w:r>
      <w:r w:rsidRPr="00F617CD">
        <w:rPr>
          <w:rFonts w:ascii="LM Roman 10" w:hAnsi="LM Roman 10"/>
          <w:noProof/>
          <w:lang w:val="en-US"/>
        </w:rPr>
        <w:lastRenderedPageBreak/>
        <w:t xml:space="preserve">although are not significant in some </w:t>
      </w:r>
      <w:commentRangeStart w:id="12"/>
      <w:commentRangeStart w:id="13"/>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2"/>
      <w:r w:rsidR="00E0559D" w:rsidRPr="00F617CD">
        <w:rPr>
          <w:rFonts w:ascii="LM Roman 10" w:hAnsi="LM Roman 10"/>
          <w:noProof/>
          <w:lang w:val="en-US"/>
        </w:rPr>
        <w:commentReference w:id="12"/>
      </w:r>
      <w:commentRangeEnd w:id="13"/>
      <w:r w:rsidR="00E0559D" w:rsidRPr="00F617CD">
        <w:rPr>
          <w:rFonts w:ascii="LM Roman 10" w:hAnsi="LM Roman 10"/>
          <w:noProof/>
          <w:lang w:val="en-US"/>
        </w:rPr>
        <w:commentReference w:id="13"/>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proofErr w:type="gramStart"/>
      <w:r w:rsidRPr="0006603D">
        <w:rPr>
          <w:highlight w:val="yellow"/>
        </w:rPr>
        <w:t>%</w:t>
      </w:r>
      <w:r>
        <w:t>,.</w:t>
      </w:r>
      <w:proofErr w:type="gramEnd"/>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389085E3" w14:textId="77777777" w:rsidR="00215E0B" w:rsidRDefault="00720711" w:rsidP="00DE7C05">
      <w:pPr>
        <w:spacing w:after="200" w:line="312"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4"/>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w:t>
      </w:r>
      <w:r>
        <w:lastRenderedPageBreak/>
        <w:t>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4"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4"/>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Health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In-kind</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Indirect</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5"/>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proofErr w:type="spellStart"/>
      <w:proofErr w:type="gramStart"/>
      <w:r w:rsidR="002140E4" w:rsidRPr="004E1E49">
        <w:rPr>
          <w:rFonts w:eastAsia="Calibri"/>
          <w:sz w:val="18"/>
          <w:szCs w:val="22"/>
          <w:lang w:val="en-US" w:eastAsia="en-US"/>
        </w:rPr>
        <w:t>d.CAPB</w:t>
      </w:r>
      <w:proofErr w:type="spellEnd"/>
      <w:proofErr w:type="gramEnd"/>
      <w:r w:rsidR="002140E4" w:rsidRPr="004E1E49">
        <w:rPr>
          <w:rFonts w:eastAsia="Calibri"/>
          <w:sz w:val="18"/>
          <w:szCs w:val="22"/>
          <w:lang w:val="en-US" w:eastAsia="en-US"/>
        </w:rPr>
        <w:t xml:space="preserve"> instrumented by IMF fiscal action variable in binary 0-1 form (Treatment) in the top panel. First stage F-statistic reports the </w:t>
      </w:r>
      <w:proofErr w:type="spellStart"/>
      <w:r w:rsidR="002140E4" w:rsidRPr="004E1E49">
        <w:rPr>
          <w:rFonts w:eastAsia="Calibri"/>
          <w:sz w:val="18"/>
          <w:szCs w:val="22"/>
          <w:lang w:val="en-US" w:eastAsia="en-US"/>
        </w:rPr>
        <w:t>Kleibergen-Paap</w:t>
      </w:r>
      <w:proofErr w:type="spellEnd"/>
      <w:r w:rsidR="002140E4" w:rsidRPr="004E1E49">
        <w:rPr>
          <w:rFonts w:eastAsia="Calibri"/>
          <w:sz w:val="18"/>
          <w:szCs w:val="22"/>
          <w:lang w:val="en-US" w:eastAsia="en-US"/>
        </w:rPr>
        <w:t xml:space="preserve"> weak identification Wald test statistic</w:t>
      </w:r>
      <w:r w:rsidR="002140E4" w:rsidRPr="004E1E49">
        <w:rPr>
          <w:rFonts w:eastAsia="Calibri"/>
          <w:sz w:val="20"/>
          <w:lang w:val="en-US" w:eastAsia="en-US"/>
        </w:rPr>
        <w:t>.</w:t>
      </w:r>
      <w:commentRangeEnd w:id="15"/>
      <w:r w:rsidR="00105279">
        <w:rPr>
          <w:rStyle w:val="CommentReference"/>
        </w:rPr>
        <w:commentReference w:id="15"/>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6"/>
      <w:r w:rsidRPr="00DE7C05">
        <w:rPr>
          <w:b/>
          <w:szCs w:val="22"/>
        </w:rPr>
        <w:t>Heterogeneous dynamics</w:t>
      </w:r>
      <w:commentRangeEnd w:id="16"/>
      <w:r w:rsidRPr="00DE7C05">
        <w:rPr>
          <w:sz w:val="22"/>
          <w:szCs w:val="22"/>
        </w:rPr>
        <w:commentReference w:id="16"/>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 xml:space="preserve">the overall sample estimation. Regarding the fiscal variables, our results suggest </w:t>
      </w:r>
      <w:r w:rsidRPr="00F617CD">
        <w:rPr>
          <w:rFonts w:ascii="LM Roman 10" w:hAnsi="LM Roman 10"/>
          <w:noProof/>
          <w:lang w:val="en-US"/>
        </w:rPr>
        <w:lastRenderedPageBreak/>
        <w:t>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6B36C0FA" w14:textId="77777777" w:rsidR="007E34BB" w:rsidRPr="00DE7C05" w:rsidRDefault="007E34BB"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Bust</w:t>
            </w:r>
            <w:proofErr w:type="spellEnd"/>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 xml:space="preserve">model. Propensity score based on the saturated </w:t>
      </w:r>
      <w:proofErr w:type="spellStart"/>
      <w:r w:rsidRPr="00B23BAD">
        <w:rPr>
          <w:sz w:val="18"/>
          <w:szCs w:val="18"/>
        </w:rPr>
        <w:t>probit</w:t>
      </w:r>
      <w:proofErr w:type="spellEnd"/>
      <w:r w:rsidRPr="00B23BAD">
        <w:rPr>
          <w:sz w:val="18"/>
          <w:szCs w:val="18"/>
        </w:rPr>
        <w:t xml:space="preserve">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 xml:space="preserve">cyclical component </w:t>
      </w:r>
      <w:proofErr w:type="spellStart"/>
      <w:r w:rsidRPr="00B23BAD">
        <w:rPr>
          <w:sz w:val="18"/>
          <w:szCs w:val="18"/>
        </w:rPr>
        <w:t>yC</w:t>
      </w:r>
      <w:proofErr w:type="spellEnd"/>
      <w:r w:rsidRPr="00B23BAD">
        <w:rPr>
          <w:sz w:val="18"/>
          <w:szCs w:val="18"/>
        </w:rPr>
        <w:t xml:space="preserve">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7" w:name="_bookmark12"/>
      <w:bookmarkEnd w:id="17"/>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 xml:space="preserve">sage when analysing cross-country variation in developed countries: there is a preference for coupling redistribution with pre-distribution fiscal policies. </w:t>
      </w:r>
      <w:r>
        <w:lastRenderedPageBreak/>
        <w:t>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5D346DD5"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3F66694F" w14:textId="77777777" w:rsidR="00A16DA7" w:rsidRDefault="00A16DA7" w:rsidP="00DE7C05">
      <w:pPr>
        <w:pStyle w:val="BodyText"/>
        <w:spacing w:after="200" w:line="312" w:lineRule="auto"/>
        <w:ind w:right="154"/>
        <w:jc w:val="both"/>
      </w:pPr>
    </w:p>
    <w:p w14:paraId="2C07C892" w14:textId="77777777" w:rsidR="006148EE" w:rsidRPr="00104D33" w:rsidRDefault="00720711" w:rsidP="00104D33">
      <w:pPr>
        <w:pStyle w:val="Heading1"/>
        <w:spacing w:after="240" w:line="312" w:lineRule="auto"/>
        <w:rPr>
          <w:rFonts w:asciiTheme="minorHAnsi" w:hAnsiTheme="minorHAnsi" w:cstheme="minorHAnsi"/>
        </w:rPr>
      </w:pPr>
      <w:r w:rsidRPr="00104D33">
        <w:rPr>
          <w:rFonts w:asciiTheme="minorHAnsi" w:hAnsiTheme="minorHAnsi" w:cstheme="minorHAnsi"/>
          <w:szCs w:val="24"/>
          <w:lang w:val="en-US"/>
        </w:rPr>
        <w:t>References</w:t>
      </w:r>
      <w:r w:rsidRPr="00104D33">
        <w:rPr>
          <w:rFonts w:asciiTheme="minorHAnsi" w:hAnsiTheme="minorHAnsi" w:cstheme="minorHAnsi"/>
          <w:lang w:val="en-US"/>
        </w:rPr>
        <w:t xml:space="preserve">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Aghion P., Caroli, E. and C. García-</w:t>
      </w:r>
      <w:proofErr w:type="spellStart"/>
      <w:r w:rsidRPr="00096373">
        <w:rPr>
          <w:sz w:val="22"/>
          <w:szCs w:val="22"/>
        </w:rPr>
        <w:t>Peñalosa</w:t>
      </w:r>
      <w:proofErr w:type="spellEnd"/>
      <w:r w:rsidRPr="00096373">
        <w:rPr>
          <w:sz w:val="22"/>
          <w:szCs w:val="22"/>
        </w:rPr>
        <w:t xml:space="preserve">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proofErr w:type="spellStart"/>
      <w:r w:rsidRPr="00096373">
        <w:rPr>
          <w:sz w:val="22"/>
          <w:szCs w:val="22"/>
        </w:rPr>
        <w:t>Agnello</w:t>
      </w:r>
      <w:proofErr w:type="spellEnd"/>
      <w:r w:rsidRPr="00096373">
        <w:rPr>
          <w:sz w:val="22"/>
          <w:szCs w:val="22"/>
        </w:rPr>
        <w:t xml:space="preserve">,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and R. </w:t>
      </w:r>
      <w:proofErr w:type="spellStart"/>
      <w:r w:rsidRPr="00096373">
        <w:rPr>
          <w:sz w:val="22"/>
          <w:szCs w:val="22"/>
        </w:rPr>
        <w:t>Perotti</w:t>
      </w:r>
      <w:proofErr w:type="spellEnd"/>
      <w:r w:rsidRPr="00096373">
        <w:rPr>
          <w:sz w:val="22"/>
          <w:szCs w:val="22"/>
        </w:rPr>
        <w:t xml:space="preserve">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S. </w:t>
      </w:r>
      <w:proofErr w:type="spellStart"/>
      <w:r w:rsidRPr="00096373">
        <w:rPr>
          <w:sz w:val="22"/>
          <w:szCs w:val="22"/>
        </w:rPr>
        <w:t>Ardagna</w:t>
      </w:r>
      <w:proofErr w:type="spellEnd"/>
      <w:r w:rsidRPr="00096373">
        <w:rPr>
          <w:sz w:val="22"/>
          <w:szCs w:val="22"/>
        </w:rPr>
        <w:t xml:space="preserve">, R. </w:t>
      </w:r>
      <w:proofErr w:type="spellStart"/>
      <w:r w:rsidRPr="00096373">
        <w:rPr>
          <w:sz w:val="22"/>
          <w:szCs w:val="22"/>
        </w:rPr>
        <w:t>Perotti</w:t>
      </w:r>
      <w:proofErr w:type="spellEnd"/>
      <w:r w:rsidRPr="00096373">
        <w:rPr>
          <w:sz w:val="22"/>
          <w:szCs w:val="22"/>
        </w:rPr>
        <w:t xml:space="preserve"> and F. </w:t>
      </w:r>
      <w:proofErr w:type="spellStart"/>
      <w:r w:rsidRPr="00096373">
        <w:rPr>
          <w:sz w:val="22"/>
          <w:szCs w:val="22"/>
        </w:rPr>
        <w:t>Schiantarelli</w:t>
      </w:r>
      <w:proofErr w:type="spellEnd"/>
      <w:r w:rsidRPr="00096373">
        <w:rPr>
          <w:sz w:val="22"/>
          <w:szCs w:val="22"/>
        </w:rPr>
        <w:t xml:space="preserve">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2D00AA0C" w:rsidR="00E31A3D" w:rsidRPr="00096373" w:rsidDel="00717554" w:rsidRDefault="00E31A3D" w:rsidP="00E31A3D">
      <w:pPr>
        <w:jc w:val="both"/>
        <w:rPr>
          <w:del w:id="18" w:author="dani" w:date="2024-03-01T20:08:00Z"/>
          <w:sz w:val="22"/>
          <w:szCs w:val="22"/>
        </w:rPr>
      </w:pPr>
      <w:del w:id="19" w:author="dani" w:date="2024-03-01T20:08:00Z">
        <w:r w:rsidRPr="00096373" w:rsidDel="00717554">
          <w:rPr>
            <w:sz w:val="22"/>
            <w:szCs w:val="22"/>
          </w:rPr>
          <w:delText>Ardagna S., “Financial Markets’ Behavior around Episodes of Large Changes in the Fiscal Stance” (2004), European Central Bank working paper.</w:delText>
        </w:r>
      </w:del>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w:t>
      </w:r>
      <w:proofErr w:type="spellStart"/>
      <w:r w:rsidRPr="00096373">
        <w:rPr>
          <w:sz w:val="22"/>
          <w:szCs w:val="22"/>
        </w:rPr>
        <w:t>Figari</w:t>
      </w:r>
      <w:proofErr w:type="spellEnd"/>
      <w:r w:rsidRPr="00096373">
        <w:rPr>
          <w:sz w:val="22"/>
          <w:szCs w:val="22"/>
        </w:rPr>
        <w:t xml:space="preserve">, F., </w:t>
      </w:r>
      <w:proofErr w:type="spellStart"/>
      <w:r w:rsidRPr="00096373">
        <w:rPr>
          <w:sz w:val="22"/>
          <w:szCs w:val="22"/>
        </w:rPr>
        <w:t>Leventi</w:t>
      </w:r>
      <w:proofErr w:type="spellEnd"/>
      <w:r w:rsidRPr="00096373">
        <w:rPr>
          <w:sz w:val="22"/>
          <w:szCs w:val="22"/>
        </w:rPr>
        <w:t xml:space="preserve">, C., Levy, H., </w:t>
      </w:r>
      <w:proofErr w:type="spellStart"/>
      <w:r w:rsidRPr="00096373">
        <w:rPr>
          <w:sz w:val="22"/>
          <w:szCs w:val="22"/>
        </w:rPr>
        <w:t>Navicke</w:t>
      </w:r>
      <w:proofErr w:type="spellEnd"/>
      <w:r w:rsidRPr="00096373">
        <w:rPr>
          <w:sz w:val="22"/>
          <w:szCs w:val="22"/>
        </w:rPr>
        <w:t xml:space="preserve">, J., and </w:t>
      </w:r>
      <w:proofErr w:type="spellStart"/>
      <w:r w:rsidRPr="00096373">
        <w:rPr>
          <w:sz w:val="22"/>
          <w:szCs w:val="22"/>
        </w:rPr>
        <w:t>Matsaganis</w:t>
      </w:r>
      <w:proofErr w:type="spellEnd"/>
      <w:r w:rsidRPr="00096373">
        <w:rPr>
          <w:sz w:val="22"/>
          <w:szCs w:val="22"/>
        </w:rPr>
        <w:t xml:space="preserve">, M. </w:t>
      </w:r>
      <w:proofErr w:type="spellStart"/>
      <w:r w:rsidRPr="00096373">
        <w:rPr>
          <w:sz w:val="22"/>
          <w:szCs w:val="22"/>
        </w:rPr>
        <w:t>Militaru</w:t>
      </w:r>
      <w:proofErr w:type="spellEnd"/>
      <w:r w:rsidRPr="00096373">
        <w:rPr>
          <w:sz w:val="22"/>
          <w:szCs w:val="22"/>
        </w:rPr>
        <w:t xml:space="preserve"> E., Paulus A., </w:t>
      </w:r>
      <w:proofErr w:type="spellStart"/>
      <w:r w:rsidRPr="00096373">
        <w:rPr>
          <w:sz w:val="22"/>
          <w:szCs w:val="22"/>
        </w:rPr>
        <w:t>Rastrigina</w:t>
      </w:r>
      <w:proofErr w:type="spellEnd"/>
      <w:r w:rsidRPr="00096373">
        <w:rPr>
          <w:sz w:val="22"/>
          <w:szCs w:val="22"/>
        </w:rPr>
        <w:t xml:space="preserve">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333E60A7" w:rsidR="006148EE" w:rsidRPr="00096373" w:rsidDel="00717554" w:rsidRDefault="00720711">
      <w:pPr>
        <w:jc w:val="both"/>
        <w:rPr>
          <w:del w:id="20" w:author="dani" w:date="2024-03-01T20:08:00Z"/>
          <w:sz w:val="22"/>
          <w:szCs w:val="22"/>
          <w:shd w:val="clear" w:color="auto" w:fill="FFFFFF"/>
          <w:lang w:val="en-US"/>
        </w:rPr>
      </w:pPr>
      <w:del w:id="21" w:author="dani" w:date="2024-03-01T20:08:00Z">
        <w:r w:rsidRPr="00096373" w:rsidDel="00717554">
          <w:rPr>
            <w:sz w:val="22"/>
            <w:szCs w:val="22"/>
            <w:shd w:val="clear" w:color="auto" w:fill="FFFFFF"/>
            <w:lang w:val="en-US"/>
          </w:rPr>
          <w:delText>Barbieri, P. and G. Cutuli (2016), “Employment Protection Legislation, Labour Market Dualism, and Inequality in Europe”, </w:delText>
        </w:r>
        <w:r w:rsidRPr="00096373" w:rsidDel="00717554">
          <w:rPr>
            <w:rStyle w:val="Emphasis"/>
            <w:sz w:val="22"/>
            <w:szCs w:val="22"/>
            <w:shd w:val="clear" w:color="auto" w:fill="FFFFFF"/>
            <w:lang w:val="en-US"/>
          </w:rPr>
          <w:delText>European Sociological Review</w:delText>
        </w:r>
        <w:r w:rsidRPr="00096373" w:rsidDel="00717554">
          <w:rPr>
            <w:sz w:val="22"/>
            <w:szCs w:val="22"/>
            <w:shd w:val="clear" w:color="auto" w:fill="FFFFFF"/>
            <w:lang w:val="en-US"/>
          </w:rPr>
          <w:delText xml:space="preserve"> 32(4), pp. 501-516, doi.org/10.1093/esr/jcv058.</w:delText>
        </w:r>
      </w:del>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w:t>
      </w:r>
      <w:proofErr w:type="spellStart"/>
      <w:r w:rsidRPr="00096373">
        <w:rPr>
          <w:sz w:val="22"/>
          <w:szCs w:val="22"/>
          <w:shd w:val="clear" w:color="auto" w:fill="FFFFFF"/>
          <w:lang w:val="en-US"/>
        </w:rPr>
        <w:t>Dooerley</w:t>
      </w:r>
      <w:proofErr w:type="spellEnd"/>
      <w:r w:rsidRPr="00096373">
        <w:rPr>
          <w:sz w:val="22"/>
          <w:szCs w:val="22"/>
          <w:shd w:val="clear" w:color="auto" w:fill="FFFFFF"/>
          <w:lang w:val="en-US"/>
        </w:rPr>
        <w:t xml:space="preserve">,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proofErr w:type="spellStart"/>
      <w:r w:rsidRPr="00096373">
        <w:rPr>
          <w:sz w:val="22"/>
          <w:szCs w:val="22"/>
        </w:rPr>
        <w:t>Bénabou</w:t>
      </w:r>
      <w:proofErr w:type="spellEnd"/>
      <w:r w:rsidRPr="00096373">
        <w:rPr>
          <w:sz w:val="22"/>
          <w:szCs w:val="22"/>
        </w:rPr>
        <w:t xml:space="preserve">,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3007B8DE" w:rsidR="006148EE" w:rsidRPr="00096373" w:rsidDel="00717554" w:rsidRDefault="00720711">
      <w:pPr>
        <w:jc w:val="both"/>
        <w:rPr>
          <w:del w:id="22" w:author="dani" w:date="2024-03-01T20:09:00Z"/>
          <w:sz w:val="22"/>
          <w:szCs w:val="22"/>
        </w:rPr>
      </w:pPr>
      <w:del w:id="23" w:author="dani" w:date="2024-03-01T20:09:00Z">
        <w:r w:rsidRPr="00096373" w:rsidDel="00717554">
          <w:rPr>
            <w:sz w:val="22"/>
            <w:szCs w:val="22"/>
          </w:rPr>
          <w:delText xml:space="preserve">Birdsall, N., Ross, D. and R. Sabot (1995), "Inequality and Growth Reconsidered", </w:delText>
        </w:r>
        <w:r w:rsidRPr="00096373" w:rsidDel="00717554">
          <w:rPr>
            <w:i/>
            <w:sz w:val="22"/>
            <w:szCs w:val="22"/>
          </w:rPr>
          <w:delText>World Bank Economic Review</w:delText>
        </w:r>
        <w:r w:rsidRPr="00096373" w:rsidDel="00717554">
          <w:rPr>
            <w:sz w:val="22"/>
            <w:szCs w:val="22"/>
          </w:rPr>
          <w:delText>, 9, pp. 477-508.</w:delText>
        </w:r>
      </w:del>
    </w:p>
    <w:p w14:paraId="11E067E7" w14:textId="334BFC1C" w:rsidR="006148EE" w:rsidRPr="00096373" w:rsidRDefault="00720711">
      <w:pPr>
        <w:jc w:val="both"/>
        <w:rPr>
          <w:sz w:val="22"/>
          <w:szCs w:val="22"/>
        </w:rPr>
      </w:pPr>
      <w:del w:id="24" w:author="dani" w:date="2024-03-01T20:09:00Z">
        <w:r w:rsidRPr="00096373" w:rsidDel="00717554">
          <w:rPr>
            <w:sz w:val="22"/>
            <w:szCs w:val="22"/>
          </w:rPr>
          <w:delText xml:space="preserve"> </w:delText>
        </w:r>
      </w:del>
    </w:p>
    <w:p w14:paraId="68FED5DE" w14:textId="1F9E8CB6" w:rsidR="006148EE" w:rsidRPr="00096373" w:rsidDel="00717554" w:rsidRDefault="00720711">
      <w:pPr>
        <w:jc w:val="both"/>
        <w:rPr>
          <w:del w:id="25" w:author="dani" w:date="2024-03-01T20:09:00Z"/>
          <w:sz w:val="22"/>
          <w:szCs w:val="22"/>
        </w:rPr>
      </w:pPr>
      <w:del w:id="26" w:author="dani" w:date="2024-03-01T20:09:00Z">
        <w:r w:rsidRPr="00096373" w:rsidDel="00717554">
          <w:rPr>
            <w:sz w:val="22"/>
            <w:szCs w:val="22"/>
          </w:rPr>
          <w:delText xml:space="preserve">Calderon, C. and L. Lin (2003), “The direction of causality between financial development and economic growth”, </w:delText>
        </w:r>
        <w:r w:rsidRPr="00096373" w:rsidDel="00717554">
          <w:rPr>
            <w:i/>
            <w:sz w:val="22"/>
            <w:szCs w:val="22"/>
          </w:rPr>
          <w:delText>Journal of Development Economics</w:delText>
        </w:r>
        <w:r w:rsidRPr="00096373" w:rsidDel="00717554">
          <w:rPr>
            <w:sz w:val="22"/>
            <w:szCs w:val="22"/>
          </w:rPr>
          <w:delText>, 72 (1), pp. 321-334.</w:delText>
        </w:r>
      </w:del>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 xml:space="preserve">Callan T., C. </w:t>
      </w:r>
      <w:proofErr w:type="spellStart"/>
      <w:r w:rsidRPr="00096373">
        <w:rPr>
          <w:sz w:val="22"/>
          <w:szCs w:val="22"/>
        </w:rPr>
        <w:t>Leventi</w:t>
      </w:r>
      <w:proofErr w:type="spellEnd"/>
      <w:r w:rsidRPr="00096373">
        <w:rPr>
          <w:sz w:val="22"/>
          <w:szCs w:val="22"/>
        </w:rPr>
        <w:t xml:space="preserve">, H. Levy, M. </w:t>
      </w:r>
      <w:proofErr w:type="spellStart"/>
      <w:r w:rsidRPr="00096373">
        <w:rPr>
          <w:sz w:val="22"/>
          <w:szCs w:val="22"/>
        </w:rPr>
        <w:t>Matsaganis</w:t>
      </w:r>
      <w:proofErr w:type="spellEnd"/>
      <w:r w:rsidRPr="00096373">
        <w:rPr>
          <w:sz w:val="22"/>
          <w:szCs w:val="22"/>
        </w:rP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w:t>
      </w:r>
      <w:proofErr w:type="spellStart"/>
      <w:r w:rsidRPr="00096373">
        <w:rPr>
          <w:sz w:val="22"/>
          <w:szCs w:val="22"/>
        </w:rPr>
        <w:t>Serres</w:t>
      </w:r>
      <w:proofErr w:type="spellEnd"/>
      <w:r w:rsidRPr="00096373">
        <w:rPr>
          <w:sz w:val="22"/>
          <w:szCs w:val="22"/>
        </w:rPr>
        <w:t xml:space="preserve">,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proofErr w:type="spellStart"/>
      <w:r w:rsidRPr="00096373">
        <w:rPr>
          <w:sz w:val="22"/>
          <w:szCs w:val="22"/>
        </w:rPr>
        <w:t>Cingano</w:t>
      </w:r>
      <w:proofErr w:type="spellEnd"/>
      <w:r w:rsidRPr="00096373">
        <w:rPr>
          <w:sz w:val="22"/>
          <w:szCs w:val="22"/>
        </w:rPr>
        <w:t xml:space="preserve">,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Dabla</w:t>
      </w:r>
      <w:proofErr w:type="spellEnd"/>
      <w:r w:rsidRPr="00096373">
        <w:rPr>
          <w:sz w:val="22"/>
          <w:szCs w:val="22"/>
        </w:rPr>
        <w:t xml:space="preserve">-Norris, E., Yan Ji, R. T. and D.F. </w:t>
      </w:r>
      <w:proofErr w:type="spellStart"/>
      <w:r w:rsidRPr="00096373">
        <w:rPr>
          <w:sz w:val="22"/>
          <w:szCs w:val="22"/>
        </w:rPr>
        <w:t>Unsal</w:t>
      </w:r>
      <w:proofErr w:type="spellEnd"/>
      <w:r w:rsidRPr="00096373">
        <w:rPr>
          <w:sz w:val="22"/>
          <w:szCs w:val="22"/>
        </w:rPr>
        <w:t xml:space="preserve">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proofErr w:type="spellStart"/>
      <w:r w:rsidRPr="00096373">
        <w:rPr>
          <w:sz w:val="22"/>
          <w:szCs w:val="22"/>
        </w:rPr>
        <w:t>Doerrenberg</w:t>
      </w:r>
      <w:proofErr w:type="spellEnd"/>
      <w:r w:rsidRPr="00096373">
        <w:rPr>
          <w:sz w:val="22"/>
          <w:szCs w:val="22"/>
        </w:rPr>
        <w:t xml:space="preserve">, P. and A. </w:t>
      </w:r>
      <w:proofErr w:type="spellStart"/>
      <w:r w:rsidRPr="00096373">
        <w:rPr>
          <w:sz w:val="22"/>
          <w:szCs w:val="22"/>
        </w:rPr>
        <w:t>Peichl</w:t>
      </w:r>
      <w:proofErr w:type="spellEnd"/>
      <w:r w:rsidRPr="00096373">
        <w:rPr>
          <w:sz w:val="22"/>
          <w:szCs w:val="22"/>
        </w:rPr>
        <w:t xml:space="preserve">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2013CF5E" w:rsidR="006148EE" w:rsidRPr="00096373" w:rsidDel="00717554" w:rsidRDefault="00720711">
      <w:pPr>
        <w:jc w:val="both"/>
        <w:rPr>
          <w:del w:id="27" w:author="dani" w:date="2024-03-01T20:10:00Z"/>
          <w:sz w:val="22"/>
          <w:szCs w:val="22"/>
        </w:rPr>
      </w:pPr>
      <w:del w:id="28" w:author="dani" w:date="2024-03-01T20:10:00Z">
        <w:r w:rsidRPr="00096373" w:rsidDel="00717554">
          <w:rPr>
            <w:sz w:val="22"/>
            <w:szCs w:val="22"/>
          </w:rPr>
          <w:delText xml:space="preserve">Easterly, W. (2007), "Inequality does cause underdevelopment: Insights from a new instrument", </w:delText>
        </w:r>
        <w:r w:rsidRPr="00096373" w:rsidDel="00717554">
          <w:rPr>
            <w:i/>
            <w:sz w:val="22"/>
            <w:szCs w:val="22"/>
          </w:rPr>
          <w:delText>Journal of Development Economics</w:delText>
        </w:r>
        <w:r w:rsidRPr="00096373" w:rsidDel="00717554">
          <w:rPr>
            <w:sz w:val="22"/>
            <w:szCs w:val="22"/>
          </w:rPr>
          <w:delText>, 84(2), pp. 755- 776.</w:delText>
        </w:r>
      </w:del>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4CCC66F8" w:rsidR="006148EE" w:rsidRPr="00096373" w:rsidDel="00717554" w:rsidRDefault="00720711">
      <w:pPr>
        <w:pBdr>
          <w:top w:val="nil"/>
          <w:left w:val="nil"/>
          <w:bottom w:val="nil"/>
          <w:right w:val="nil"/>
          <w:between w:val="nil"/>
        </w:pBdr>
        <w:shd w:val="solid" w:color="FFFFFF" w:fill="auto"/>
        <w:jc w:val="both"/>
        <w:rPr>
          <w:del w:id="29" w:author="dani" w:date="2024-03-01T20:10:00Z"/>
          <w:sz w:val="22"/>
          <w:szCs w:val="22"/>
        </w:rPr>
      </w:pPr>
      <w:del w:id="30" w:author="dani" w:date="2024-03-01T20:10:00Z">
        <w:r w:rsidRPr="00096373" w:rsidDel="00717554">
          <w:rPr>
            <w:sz w:val="22"/>
            <w:szCs w:val="22"/>
          </w:rPr>
          <w:delText xml:space="preserve">ECB (2019), “Social spending: a euro area cross-country comparison”, </w:delText>
        </w:r>
        <w:r w:rsidRPr="0006603D" w:rsidDel="00717554">
          <w:rPr>
            <w:sz w:val="22"/>
            <w:szCs w:val="22"/>
            <w:highlight w:val="yellow"/>
          </w:rPr>
          <w:delText>forthcoming.</w:delText>
        </w:r>
      </w:del>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374A077B" w:rsidR="006148EE" w:rsidRPr="00096373" w:rsidDel="00717554" w:rsidRDefault="00720711">
      <w:pPr>
        <w:pBdr>
          <w:top w:val="nil"/>
          <w:left w:val="nil"/>
          <w:bottom w:val="nil"/>
          <w:right w:val="nil"/>
          <w:between w:val="nil"/>
        </w:pBdr>
        <w:shd w:val="solid" w:color="FFFFFF" w:fill="auto"/>
        <w:jc w:val="both"/>
        <w:rPr>
          <w:del w:id="31" w:author="dani" w:date="2024-03-01T20:11:00Z"/>
          <w:sz w:val="22"/>
          <w:szCs w:val="22"/>
        </w:rPr>
      </w:pPr>
      <w:del w:id="32" w:author="dani" w:date="2024-03-01T20:11:00Z">
        <w:r w:rsidRPr="00096373" w:rsidDel="00717554">
          <w:rPr>
            <w:sz w:val="22"/>
            <w:szCs w:val="22"/>
          </w:rPr>
          <w:delText>European System of Accounts (ESA 2010), Eurostat.</w:delText>
        </w:r>
      </w:del>
    </w:p>
    <w:p w14:paraId="5BE162B1" w14:textId="77777777" w:rsidR="006148EE" w:rsidRPr="00096373" w:rsidRDefault="006148EE">
      <w:pPr>
        <w:jc w:val="both"/>
        <w:rPr>
          <w:sz w:val="22"/>
          <w:szCs w:val="22"/>
        </w:rPr>
      </w:pPr>
    </w:p>
    <w:p w14:paraId="709412B7" w14:textId="743544B2" w:rsidR="006148EE" w:rsidRPr="00096373" w:rsidDel="00717554" w:rsidRDefault="00720711">
      <w:pPr>
        <w:jc w:val="both"/>
        <w:rPr>
          <w:del w:id="33" w:author="dani" w:date="2024-03-01T20:11:00Z"/>
          <w:sz w:val="22"/>
          <w:szCs w:val="22"/>
        </w:rPr>
      </w:pPr>
      <w:del w:id="34" w:author="dani" w:date="2024-03-01T20:11:00Z">
        <w:r w:rsidRPr="00096373" w:rsidDel="00717554">
          <w:rPr>
            <w:sz w:val="22"/>
            <w:szCs w:val="22"/>
          </w:rPr>
          <w:delText>Evans, P. (1998), “Using Panel Data to Evaluate Growth Theories”, International Economic Review, pp. 295-306.</w:delText>
        </w:r>
      </w:del>
    </w:p>
    <w:p w14:paraId="7B9EF555" w14:textId="77777777" w:rsidR="006148EE" w:rsidRPr="00096373" w:rsidRDefault="006148EE">
      <w:pPr>
        <w:jc w:val="both"/>
        <w:rPr>
          <w:sz w:val="22"/>
          <w:szCs w:val="22"/>
        </w:rPr>
      </w:pPr>
    </w:p>
    <w:p w14:paraId="1C36ABA7" w14:textId="419EB2AB" w:rsidR="006148EE" w:rsidRPr="00096373" w:rsidDel="00717554" w:rsidRDefault="00554ADE">
      <w:pPr>
        <w:jc w:val="both"/>
        <w:outlineLvl w:val="1"/>
        <w:rPr>
          <w:del w:id="35" w:author="dani" w:date="2024-03-01T20:11:00Z"/>
          <w:rFonts w:ascii="MuseoSlab-300" w:hAnsi="MuseoSlab-300"/>
          <w:noProof/>
          <w:sz w:val="22"/>
          <w:szCs w:val="22"/>
        </w:rPr>
      </w:pPr>
      <w:del w:id="36" w:author="dani" w:date="2024-03-01T20:11:00Z">
        <w:r w:rsidDel="00717554">
          <w:fldChar w:fldCharType="begin"/>
        </w:r>
        <w:r w:rsidDel="00717554">
          <w:delInstrText xml:space="preserve"> HYPERLINK "http://www.imf.org/en/Publications/Publications-By-Author?author=Davide++Furceri" </w:delInstrText>
        </w:r>
        <w:r w:rsidDel="00717554">
          <w:fldChar w:fldCharType="separate"/>
        </w:r>
        <w:r w:rsidR="00720711" w:rsidRPr="00096373" w:rsidDel="00717554">
          <w:rPr>
            <w:rFonts w:ascii="MuseoSans-300" w:hAnsi="MuseoSans-300"/>
            <w:noProof/>
            <w:sz w:val="22"/>
            <w:szCs w:val="22"/>
          </w:rPr>
          <w:delText>Furceri</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 xml:space="preserve">, D., G. </w:delText>
        </w:r>
        <w:r w:rsidDel="00717554">
          <w:fldChar w:fldCharType="begin"/>
        </w:r>
        <w:r w:rsidDel="00717554">
          <w:delInstrText xml:space="preserve"> HYPERLINK "http://www.imf.org/en/Publications/Publications-By-Author?author=Jun++Ge" </w:delInstrText>
        </w:r>
        <w:r w:rsidDel="00717554">
          <w:fldChar w:fldCharType="separate"/>
        </w:r>
        <w:r w:rsidR="00720711" w:rsidRPr="00096373" w:rsidDel="00717554">
          <w:rPr>
            <w:rFonts w:ascii="MuseoSans-300" w:hAnsi="MuseoSans-300"/>
            <w:noProof/>
            <w:sz w:val="22"/>
            <w:szCs w:val="22"/>
          </w:rPr>
          <w:delText xml:space="preserve">Jun, </w:delText>
        </w:r>
        <w:r w:rsidDel="00717554">
          <w:rPr>
            <w:rFonts w:ascii="MuseoSans-300" w:hAnsi="MuseoSans-300"/>
            <w:noProof/>
            <w:sz w:val="22"/>
            <w:szCs w:val="22"/>
          </w:rPr>
          <w:fldChar w:fldCharType="end"/>
        </w:r>
        <w:r w:rsidDel="00717554">
          <w:fldChar w:fldCharType="begin"/>
        </w:r>
        <w:r w:rsidDel="00717554">
          <w:delInstrText xml:space="preserve"> HYPERLINK "http://www.imf.org/en/Publications/Publications-By-Author?author=Prakash++Loungani" </w:delInstrText>
        </w:r>
        <w:r w:rsidDel="00717554">
          <w:fldChar w:fldCharType="separate"/>
        </w:r>
        <w:r w:rsidR="00720711" w:rsidRPr="00096373" w:rsidDel="00717554">
          <w:rPr>
            <w:rFonts w:ascii="MuseoSans-300" w:hAnsi="MuseoSans-300"/>
            <w:noProof/>
            <w:sz w:val="22"/>
            <w:szCs w:val="22"/>
          </w:rPr>
          <w:delText>Loungani</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w:delText>
        </w:r>
        <w:r w:rsidR="00720711" w:rsidRPr="00096373" w:rsidDel="00717554">
          <w:rPr>
            <w:noProof/>
            <w:sz w:val="22"/>
            <w:szCs w:val="22"/>
          </w:rPr>
          <w:delText xml:space="preserve"> </w:delText>
        </w:r>
        <w:r w:rsidR="00720711" w:rsidRPr="00096373" w:rsidDel="00717554">
          <w:rPr>
            <w:rFonts w:ascii="MuseoSans-300" w:hAnsi="MuseoSans-300"/>
            <w:noProof/>
            <w:sz w:val="22"/>
            <w:szCs w:val="22"/>
          </w:rPr>
          <w:delText xml:space="preserve">P. and </w:delText>
        </w:r>
        <w:r w:rsidDel="00717554">
          <w:fldChar w:fldCharType="begin"/>
        </w:r>
        <w:r w:rsidDel="00717554">
          <w:delInstrText xml:space="preserve"> HYPERLINK "http://www.imf.org/en/Publications/Publications-By-Author?author=Giovanni++Melina" </w:delInstrText>
        </w:r>
        <w:r w:rsidDel="00717554">
          <w:fldChar w:fldCharType="separate"/>
        </w:r>
        <w:r w:rsidR="00720711" w:rsidRPr="00096373" w:rsidDel="00717554">
          <w:rPr>
            <w:rFonts w:ascii="MuseoSans-300" w:hAnsi="MuseoSans-300"/>
            <w:noProof/>
            <w:sz w:val="22"/>
            <w:szCs w:val="22"/>
          </w:rPr>
          <w:delText>G Melina</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 xml:space="preserve"> (2018), “</w:delText>
        </w:r>
        <w:r w:rsidR="00720711" w:rsidRPr="00096373" w:rsidDel="00717554">
          <w:rPr>
            <w:rFonts w:ascii="MuseoSlab-300" w:hAnsi="MuseoSlab-300"/>
            <w:noProof/>
            <w:sz w:val="22"/>
            <w:szCs w:val="22"/>
          </w:rPr>
          <w:delText xml:space="preserve">The Distributional Effects of Government Spending Shocks in Developing Economies”, </w:delText>
        </w:r>
        <w:r w:rsidR="00720711" w:rsidRPr="00096373" w:rsidDel="00717554">
          <w:rPr>
            <w:rFonts w:ascii="MuseoSlab-300" w:hAnsi="MuseoSlab-300"/>
            <w:i/>
            <w:noProof/>
            <w:sz w:val="22"/>
            <w:szCs w:val="22"/>
          </w:rPr>
          <w:delText>IMF Working Papers</w:delText>
        </w:r>
        <w:r w:rsidR="00720711" w:rsidRPr="00096373" w:rsidDel="00717554">
          <w:rPr>
            <w:rFonts w:ascii="MuseoSlab-300" w:hAnsi="MuseoSlab-300"/>
            <w:noProof/>
            <w:sz w:val="22"/>
            <w:szCs w:val="22"/>
          </w:rPr>
          <w:delText xml:space="preserve">, </w:delText>
        </w:r>
        <w:r w:rsidR="00720711" w:rsidRPr="00096373" w:rsidDel="00717554">
          <w:rPr>
            <w:rFonts w:ascii="MuseoSans-300" w:hAnsi="MuseoSans-300"/>
            <w:noProof/>
            <w:sz w:val="22"/>
            <w:szCs w:val="22"/>
          </w:rPr>
          <w:delText>18/57.</w:delText>
        </w:r>
      </w:del>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proofErr w:type="spellStart"/>
      <w:r w:rsidRPr="00096373">
        <w:rPr>
          <w:sz w:val="22"/>
          <w:szCs w:val="22"/>
        </w:rPr>
        <w:t>Galor</w:t>
      </w:r>
      <w:proofErr w:type="spellEnd"/>
      <w:r w:rsidRPr="00096373">
        <w:rPr>
          <w:sz w:val="22"/>
          <w:szCs w:val="22"/>
        </w:rPr>
        <w:t xml:space="preserve">, O. and O. </w:t>
      </w:r>
      <w:proofErr w:type="spellStart"/>
      <w:r w:rsidRPr="00096373">
        <w:rPr>
          <w:sz w:val="22"/>
          <w:szCs w:val="22"/>
        </w:rPr>
        <w:t>Moav</w:t>
      </w:r>
      <w:proofErr w:type="spellEnd"/>
      <w:r w:rsidRPr="00096373">
        <w:rPr>
          <w:sz w:val="22"/>
          <w:szCs w:val="22"/>
        </w:rPr>
        <w:t xml:space="preserve">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E50FB8A" w:rsidR="006148EE" w:rsidRPr="00096373" w:rsidDel="00717554" w:rsidRDefault="00720711">
      <w:pPr>
        <w:jc w:val="both"/>
        <w:rPr>
          <w:del w:id="37" w:author="dani" w:date="2024-03-01T20:11:00Z"/>
          <w:sz w:val="22"/>
          <w:szCs w:val="22"/>
        </w:rPr>
      </w:pPr>
      <w:del w:id="38" w:author="dani" w:date="2024-03-01T20:11:00Z">
        <w:r w:rsidRPr="00096373" w:rsidDel="00717554">
          <w:rPr>
            <w:sz w:val="22"/>
            <w:szCs w:val="22"/>
          </w:rPr>
          <w:delText xml:space="preserve">Góes, C. (2016). “Testing Piketty's Hypothesis on the Drivers of Income Inequality: Evidence from Panel VARs with Heterogeneous Dynamics”, </w:delText>
        </w:r>
        <w:r w:rsidRPr="00096373" w:rsidDel="00717554">
          <w:rPr>
            <w:i/>
            <w:sz w:val="22"/>
            <w:szCs w:val="22"/>
          </w:rPr>
          <w:delText>IMF Working Paper,</w:delText>
        </w:r>
        <w:r w:rsidRPr="00096373" w:rsidDel="00717554">
          <w:rPr>
            <w:sz w:val="22"/>
            <w:szCs w:val="22"/>
          </w:rPr>
          <w:delText xml:space="preserve"> 16/160.</w:delText>
        </w:r>
      </w:del>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proofErr w:type="spellStart"/>
      <w:r w:rsidRPr="00096373">
        <w:rPr>
          <w:sz w:val="22"/>
          <w:szCs w:val="22"/>
        </w:rPr>
        <w:t>Immervoll</w:t>
      </w:r>
      <w:proofErr w:type="spellEnd"/>
      <w:r w:rsidRPr="00096373">
        <w:rPr>
          <w:sz w:val="22"/>
          <w:szCs w:val="22"/>
        </w:rPr>
        <w:t xml:space="preserve">,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522DA692" w:rsidR="006148EE" w:rsidRPr="00096373" w:rsidDel="00717554" w:rsidRDefault="00720711">
      <w:pPr>
        <w:pBdr>
          <w:top w:val="nil"/>
          <w:left w:val="nil"/>
          <w:bottom w:val="nil"/>
          <w:right w:val="nil"/>
          <w:between w:val="nil"/>
        </w:pBdr>
        <w:shd w:val="solid" w:color="FFFFFF" w:fill="auto"/>
        <w:jc w:val="both"/>
        <w:rPr>
          <w:del w:id="39" w:author="dani" w:date="2024-03-01T20:12:00Z"/>
          <w:sz w:val="22"/>
          <w:szCs w:val="22"/>
        </w:rPr>
      </w:pPr>
      <w:del w:id="40" w:author="dani" w:date="2024-03-01T20:12:00Z">
        <w:r w:rsidRPr="00096373" w:rsidDel="00717554">
          <w:rPr>
            <w:sz w:val="22"/>
            <w:szCs w:val="22"/>
          </w:rPr>
          <w:delText xml:space="preserve">Imrohoroglu, A., S. Imrohoroglu and D. Joines (1995), "A Life Cycle Analysis of Social Security", </w:delText>
        </w:r>
        <w:r w:rsidRPr="00096373" w:rsidDel="00717554">
          <w:rPr>
            <w:i/>
            <w:sz w:val="22"/>
            <w:szCs w:val="22"/>
          </w:rPr>
          <w:delText>Economic Theory</w:delText>
        </w:r>
        <w:r w:rsidRPr="00096373" w:rsidDel="00717554">
          <w:rPr>
            <w:sz w:val="22"/>
            <w:szCs w:val="22"/>
          </w:rPr>
          <w:delText>, 6, pp. 83-114.</w:delText>
        </w:r>
      </w:del>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Köhler-</w:t>
      </w:r>
      <w:proofErr w:type="spellStart"/>
      <w:r w:rsidRPr="00096373">
        <w:rPr>
          <w:rFonts w:eastAsia="SimSun"/>
          <w:sz w:val="22"/>
          <w:szCs w:val="22"/>
          <w:lang w:val="en-US" w:eastAsia="es-ES"/>
        </w:rPr>
        <w:t>Ulbrich</w:t>
      </w:r>
      <w:proofErr w:type="spellEnd"/>
      <w:r w:rsidRPr="00096373">
        <w:rPr>
          <w:rFonts w:eastAsia="SimSun"/>
          <w:sz w:val="22"/>
          <w:szCs w:val="22"/>
          <w:lang w:val="en-US" w:eastAsia="es-ES"/>
        </w:rPr>
        <w:t xml:space="preserve">, P., </w:t>
      </w:r>
      <w:proofErr w:type="spellStart"/>
      <w:r w:rsidRPr="00096373">
        <w:rPr>
          <w:rFonts w:eastAsia="SimSun"/>
          <w:sz w:val="22"/>
          <w:szCs w:val="22"/>
          <w:lang w:val="en-US" w:eastAsia="es-ES"/>
        </w:rPr>
        <w:t>Asimakopoulos</w:t>
      </w:r>
      <w:proofErr w:type="spellEnd"/>
      <w:r w:rsidRPr="00096373">
        <w:rPr>
          <w:rFonts w:eastAsia="SimSun"/>
          <w:sz w:val="22"/>
          <w:szCs w:val="22"/>
          <w:lang w:val="en-US" w:eastAsia="es-ES"/>
        </w:rPr>
        <w:t xml:space="preserve">, Y., Doyle, N., </w:t>
      </w:r>
      <w:proofErr w:type="spellStart"/>
      <w:r w:rsidRPr="00096373">
        <w:rPr>
          <w:rFonts w:eastAsia="SimSun"/>
          <w:sz w:val="22"/>
          <w:szCs w:val="22"/>
          <w:lang w:val="en-US" w:eastAsia="es-ES"/>
        </w:rPr>
        <w:t>Magono</w:t>
      </w:r>
      <w:proofErr w:type="spellEnd"/>
      <w:r w:rsidRPr="00096373">
        <w:rPr>
          <w:rFonts w:eastAsia="SimSun"/>
          <w:sz w:val="22"/>
          <w:szCs w:val="22"/>
          <w:lang w:val="en-US" w:eastAsia="es-ES"/>
        </w:rPr>
        <w:t xml:space="preserve">, R., Zachary, M., </w:t>
      </w:r>
      <w:proofErr w:type="spellStart"/>
      <w:r w:rsidRPr="00096373">
        <w:rPr>
          <w:rFonts w:eastAsia="SimSun"/>
          <w:sz w:val="22"/>
          <w:szCs w:val="22"/>
          <w:lang w:val="en-US" w:eastAsia="es-ES"/>
        </w:rPr>
        <w:t>Walko</w:t>
      </w:r>
      <w:proofErr w:type="spellEnd"/>
      <w:r w:rsidRPr="00096373">
        <w:rPr>
          <w:rFonts w:eastAsia="SimSun"/>
          <w:sz w:val="22"/>
          <w:szCs w:val="22"/>
          <w:lang w:val="en-US" w:eastAsia="es-ES"/>
        </w:rPr>
        <w:t xml:space="preserve">, Z., </w:t>
      </w:r>
      <w:proofErr w:type="spellStart"/>
      <w:r w:rsidRPr="00096373">
        <w:rPr>
          <w:rFonts w:eastAsia="SimSun"/>
          <w:sz w:val="22"/>
          <w:szCs w:val="22"/>
          <w:lang w:val="en-US" w:eastAsia="es-ES"/>
        </w:rPr>
        <w:t>Stoess</w:t>
      </w:r>
      <w:proofErr w:type="spellEnd"/>
      <w:r w:rsidRPr="00096373">
        <w:rPr>
          <w:rFonts w:eastAsia="SimSun"/>
          <w:sz w:val="22"/>
          <w:szCs w:val="22"/>
          <w:lang w:val="en-US" w:eastAsia="es-ES"/>
        </w:rPr>
        <w:t xml:space="preserve">, E., </w:t>
      </w:r>
      <w:proofErr w:type="spellStart"/>
      <w:r w:rsidRPr="00096373">
        <w:rPr>
          <w:rFonts w:eastAsia="SimSun"/>
          <w:sz w:val="22"/>
          <w:szCs w:val="22"/>
          <w:lang w:val="en-US" w:eastAsia="es-ES"/>
        </w:rPr>
        <w:t>Kok</w:t>
      </w:r>
      <w:proofErr w:type="spellEnd"/>
      <w:r w:rsidRPr="00096373">
        <w:rPr>
          <w:rFonts w:eastAsia="SimSun"/>
          <w:sz w:val="22"/>
          <w:szCs w:val="22"/>
          <w:lang w:val="en-US" w:eastAsia="es-ES"/>
        </w:rPr>
        <w:t xml:space="preserve">, Ch., Wagner, K., </w:t>
      </w:r>
      <w:proofErr w:type="spellStart"/>
      <w:r w:rsidRPr="00096373">
        <w:rPr>
          <w:rFonts w:eastAsia="SimSun"/>
          <w:sz w:val="22"/>
          <w:szCs w:val="22"/>
          <w:lang w:val="en-US" w:eastAsia="es-ES"/>
        </w:rPr>
        <w:t>Valckx</w:t>
      </w:r>
      <w:proofErr w:type="spellEnd"/>
      <w:r w:rsidRPr="00096373">
        <w:rPr>
          <w:rFonts w:eastAsia="SimSun"/>
          <w:sz w:val="22"/>
          <w:szCs w:val="22"/>
          <w:lang w:val="en-US" w:eastAsia="es-ES"/>
        </w:rPr>
        <w:t xml:space="preserve">, N., and Martínez </w:t>
      </w:r>
      <w:proofErr w:type="spellStart"/>
      <w:r w:rsidRPr="00096373">
        <w:rPr>
          <w:rFonts w:eastAsia="SimSun"/>
          <w:sz w:val="22"/>
          <w:szCs w:val="22"/>
          <w:lang w:val="en-US" w:eastAsia="es-ES"/>
        </w:rPr>
        <w:t>Pagés</w:t>
      </w:r>
      <w:proofErr w:type="spellEnd"/>
      <w:r w:rsidRPr="00096373">
        <w:rPr>
          <w:rFonts w:eastAsia="SimSun"/>
          <w:sz w:val="22"/>
          <w:szCs w:val="22"/>
          <w:lang w:val="en-US" w:eastAsia="es-ES"/>
        </w:rPr>
        <w:t xml:space="preserve">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proofErr w:type="spellStart"/>
      <w:r w:rsidRPr="00096373">
        <w:rPr>
          <w:sz w:val="22"/>
          <w:szCs w:val="22"/>
        </w:rPr>
        <w:t>Kumhof</w:t>
      </w:r>
      <w:proofErr w:type="spellEnd"/>
      <w:r w:rsidRPr="00096373">
        <w:rPr>
          <w:sz w:val="22"/>
          <w:szCs w:val="22"/>
        </w:rPr>
        <w:t xml:space="preserve">, M. and R. </w:t>
      </w:r>
      <w:proofErr w:type="spellStart"/>
      <w:r w:rsidRPr="00096373">
        <w:rPr>
          <w:sz w:val="22"/>
          <w:szCs w:val="22"/>
        </w:rPr>
        <w:t>Rancière</w:t>
      </w:r>
      <w:proofErr w:type="spellEnd"/>
      <w:r w:rsidRPr="00096373">
        <w:rPr>
          <w:sz w:val="22"/>
          <w:szCs w:val="22"/>
        </w:rPr>
        <w:t xml:space="preserv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5310EAB0" w:rsidR="006148EE" w:rsidRPr="00096373" w:rsidDel="00717554" w:rsidRDefault="00720711">
      <w:pPr>
        <w:jc w:val="both"/>
        <w:rPr>
          <w:del w:id="41" w:author="dani" w:date="2024-03-01T20:12:00Z"/>
          <w:sz w:val="22"/>
          <w:szCs w:val="22"/>
        </w:rPr>
      </w:pPr>
      <w:del w:id="42" w:author="dani" w:date="2024-03-01T20:12:00Z">
        <w:r w:rsidRPr="00096373" w:rsidDel="00717554">
          <w:rPr>
            <w:sz w:val="22"/>
            <w:szCs w:val="22"/>
          </w:rPr>
          <w:delText>Lequiller, F. and D. Blades (2014), "Understanding National Accounts", OECD.</w:delText>
        </w:r>
      </w:del>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0966ABCA" w:rsidR="006148EE" w:rsidRPr="00096373" w:rsidDel="00717554" w:rsidRDefault="00720711">
      <w:pPr>
        <w:jc w:val="both"/>
        <w:rPr>
          <w:del w:id="43" w:author="dani" w:date="2024-03-01T20:14:00Z"/>
          <w:sz w:val="22"/>
          <w:szCs w:val="22"/>
        </w:rPr>
      </w:pPr>
      <w:del w:id="44" w:author="dani" w:date="2024-03-01T20:14:00Z">
        <w:r w:rsidRPr="00096373" w:rsidDel="00717554">
          <w:rPr>
            <w:sz w:val="22"/>
            <w:szCs w:val="22"/>
          </w:rPr>
          <w:delText>Pedroni, P. (2013). “Structural Panel VARs”, Econometrics 1, pp. 180:206. doi: 10.3390/</w:delText>
        </w:r>
      </w:del>
    </w:p>
    <w:p w14:paraId="693391AF" w14:textId="1D24A838" w:rsidR="006148EE" w:rsidRPr="00096373" w:rsidDel="00717554" w:rsidRDefault="00720711">
      <w:pPr>
        <w:jc w:val="both"/>
        <w:rPr>
          <w:del w:id="45" w:author="dani" w:date="2024-03-01T20:14:00Z"/>
          <w:sz w:val="22"/>
          <w:szCs w:val="22"/>
        </w:rPr>
      </w:pPr>
      <w:del w:id="46" w:author="dani" w:date="2024-03-01T20:14:00Z">
        <w:r w:rsidRPr="00096373" w:rsidDel="00717554">
          <w:rPr>
            <w:sz w:val="22"/>
            <w:szCs w:val="22"/>
          </w:rPr>
          <w:delText>econometrics1020180</w:delText>
        </w:r>
      </w:del>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proofErr w:type="spellStart"/>
      <w:r w:rsidRPr="00096373">
        <w:rPr>
          <w:sz w:val="22"/>
          <w:szCs w:val="22"/>
        </w:rPr>
        <w:t>Perotti</w:t>
      </w:r>
      <w:proofErr w:type="spellEnd"/>
      <w:r w:rsidRPr="00096373">
        <w:rPr>
          <w:sz w:val="22"/>
          <w:szCs w:val="22"/>
        </w:rPr>
        <w:t xml:space="preserve">,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proofErr w:type="spellStart"/>
      <w:r w:rsidRPr="00096373">
        <w:rPr>
          <w:sz w:val="22"/>
          <w:szCs w:val="22"/>
        </w:rPr>
        <w:t>Rajan</w:t>
      </w:r>
      <w:proofErr w:type="spellEnd"/>
      <w:r w:rsidRPr="00096373">
        <w:rPr>
          <w:sz w:val="22"/>
          <w:szCs w:val="22"/>
        </w:rPr>
        <w:t xml:space="preserve">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proofErr w:type="spellStart"/>
      <w:r w:rsidRPr="00096373">
        <w:rPr>
          <w:sz w:val="22"/>
          <w:szCs w:val="22"/>
        </w:rPr>
        <w:t>Raitano</w:t>
      </w:r>
      <w:proofErr w:type="spellEnd"/>
      <w:r w:rsidRPr="00096373">
        <w:rPr>
          <w:sz w:val="22"/>
          <w:szCs w:val="22"/>
        </w:rPr>
        <w:t xml:space="preserve">, M. (2016), “Income inequality in Europe since the crisis”, </w:t>
      </w:r>
      <w:proofErr w:type="spellStart"/>
      <w:r w:rsidRPr="00096373">
        <w:rPr>
          <w:i/>
          <w:sz w:val="22"/>
          <w:szCs w:val="22"/>
        </w:rPr>
        <w:t>Intereconomics</w:t>
      </w:r>
      <w:proofErr w:type="spellEnd"/>
      <w:r w:rsidRPr="00096373">
        <w:rPr>
          <w:i/>
          <w:sz w:val="22"/>
          <w:szCs w:val="22"/>
        </w:rPr>
        <w:t xml:space="preserve">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B33BAFC" w:rsidR="006148EE" w:rsidRPr="00096373" w:rsidDel="008B5715" w:rsidRDefault="00720711">
      <w:pPr>
        <w:jc w:val="both"/>
        <w:rPr>
          <w:del w:id="47" w:author="dani" w:date="2024-03-02T19:21:00Z"/>
          <w:sz w:val="22"/>
          <w:szCs w:val="22"/>
        </w:rPr>
      </w:pPr>
      <w:del w:id="48" w:author="dani" w:date="2024-03-02T19:21:00Z">
        <w:r w:rsidRPr="00096373" w:rsidDel="008B5715">
          <w:rPr>
            <w:sz w:val="22"/>
            <w:szCs w:val="22"/>
          </w:rPr>
          <w:delText>Ravallion, M. (2003), “The Debate on Globalization, Poverty and Inequality: Why Measurement Matters”, International Affairs 79(4), pp. 739–753. doi.org/10.1111/1468-2346.00334</w:delText>
        </w:r>
      </w:del>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proofErr w:type="spellStart"/>
      <w:r w:rsidRPr="00096373">
        <w:rPr>
          <w:sz w:val="22"/>
          <w:szCs w:val="22"/>
        </w:rPr>
        <w:t>Rawdanowicz</w:t>
      </w:r>
      <w:proofErr w:type="spellEnd"/>
      <w:r w:rsidRPr="00096373">
        <w:rPr>
          <w:sz w:val="22"/>
          <w:szCs w:val="22"/>
        </w:rPr>
        <w:t xml:space="preserve">,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proofErr w:type="spellStart"/>
      <w:r w:rsidRPr="00096373">
        <w:rPr>
          <w:sz w:val="22"/>
          <w:szCs w:val="22"/>
        </w:rPr>
        <w:t>Roine</w:t>
      </w:r>
      <w:proofErr w:type="spellEnd"/>
      <w:r w:rsidRPr="00096373">
        <w:rPr>
          <w:sz w:val="22"/>
          <w:szCs w:val="22"/>
        </w:rPr>
        <w:t xml:space="preserve">, J., Vlachos, J. and D. </w:t>
      </w:r>
      <w:proofErr w:type="spellStart"/>
      <w:r w:rsidRPr="00096373">
        <w:rPr>
          <w:sz w:val="22"/>
          <w:szCs w:val="22"/>
        </w:rPr>
        <w:t>Waldenström</w:t>
      </w:r>
      <w:proofErr w:type="spellEnd"/>
      <w:r w:rsidRPr="00096373">
        <w:rPr>
          <w:sz w:val="22"/>
          <w:szCs w:val="22"/>
        </w:rPr>
        <w:t xml:space="preserve">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proofErr w:type="spellStart"/>
      <w:r w:rsidRPr="00096373">
        <w:rPr>
          <w:sz w:val="22"/>
          <w:szCs w:val="22"/>
        </w:rPr>
        <w:t>Sabirianova</w:t>
      </w:r>
      <w:proofErr w:type="spellEnd"/>
      <w:r w:rsidRPr="00096373">
        <w:rPr>
          <w:sz w:val="22"/>
          <w:szCs w:val="22"/>
        </w:rPr>
        <w:t xml:space="preserve">-Peter, K., </w:t>
      </w:r>
      <w:proofErr w:type="spellStart"/>
      <w:r w:rsidRPr="00096373">
        <w:rPr>
          <w:sz w:val="22"/>
          <w:szCs w:val="22"/>
        </w:rPr>
        <w:t>Buttrick</w:t>
      </w:r>
      <w:proofErr w:type="spellEnd"/>
      <w:r w:rsidRPr="00096373">
        <w:rPr>
          <w:sz w:val="22"/>
          <w:szCs w:val="22"/>
        </w:rPr>
        <w:t xml:space="preserve">,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proofErr w:type="spellStart"/>
      <w:r w:rsidRPr="00096373">
        <w:rPr>
          <w:sz w:val="22"/>
          <w:szCs w:val="22"/>
        </w:rPr>
        <w:t>Schwabish</w:t>
      </w:r>
      <w:proofErr w:type="spellEnd"/>
      <w:r w:rsidRPr="00096373">
        <w:rPr>
          <w:sz w:val="22"/>
          <w:szCs w:val="22"/>
        </w:rPr>
        <w:t xml:space="preserve">, J., T. M. </w:t>
      </w:r>
      <w:proofErr w:type="spellStart"/>
      <w:r w:rsidRPr="00096373">
        <w:rPr>
          <w:sz w:val="22"/>
          <w:szCs w:val="22"/>
        </w:rPr>
        <w:t>Smeeding</w:t>
      </w:r>
      <w:proofErr w:type="spellEnd"/>
      <w:r w:rsidRPr="00096373">
        <w:rPr>
          <w:sz w:val="22"/>
          <w:szCs w:val="22"/>
        </w:rPr>
        <w:t xml:space="preserve"> and L. </w:t>
      </w:r>
      <w:proofErr w:type="spellStart"/>
      <w:r w:rsidRPr="00096373">
        <w:rPr>
          <w:sz w:val="22"/>
          <w:szCs w:val="22"/>
        </w:rPr>
        <w:t>Osberg</w:t>
      </w:r>
      <w:proofErr w:type="spellEnd"/>
      <w:r w:rsidRPr="00096373">
        <w:rPr>
          <w:sz w:val="22"/>
          <w:szCs w:val="22"/>
        </w:rPr>
        <w:t xml:space="preserve">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proofErr w:type="spellStart"/>
      <w:r w:rsidRPr="00096373">
        <w:rPr>
          <w:sz w:val="22"/>
          <w:szCs w:val="22"/>
        </w:rPr>
        <w:t>Solt</w:t>
      </w:r>
      <w:proofErr w:type="spellEnd"/>
      <w:r w:rsidRPr="00096373">
        <w:rPr>
          <w:sz w:val="22"/>
          <w:szCs w:val="22"/>
        </w:rPr>
        <w:t xml:space="preserve">,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proofErr w:type="spellStart"/>
      <w:r w:rsidRPr="00096373">
        <w:rPr>
          <w:i/>
          <w:sz w:val="22"/>
          <w:szCs w:val="22"/>
        </w:rPr>
        <w:t>Econometrica</w:t>
      </w:r>
      <w:proofErr w:type="spellEnd"/>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proofErr w:type="spellStart"/>
      <w:r w:rsidRPr="00096373">
        <w:rPr>
          <w:sz w:val="22"/>
          <w:szCs w:val="22"/>
        </w:rPr>
        <w:t>Zweimüller</w:t>
      </w:r>
      <w:proofErr w:type="spellEnd"/>
      <w:r w:rsidRPr="00096373">
        <w:rPr>
          <w:sz w:val="22"/>
          <w:szCs w:val="22"/>
        </w:rPr>
        <w:t xml:space="preserve">, J. and J. K. Brunner (2005), "Innovation and Growth with Rich and Poor consumers", </w:t>
      </w:r>
      <w:proofErr w:type="spellStart"/>
      <w:r w:rsidRPr="00096373">
        <w:rPr>
          <w:i/>
          <w:sz w:val="22"/>
          <w:szCs w:val="22"/>
        </w:rPr>
        <w:t>Metroeconomica</w:t>
      </w:r>
      <w:proofErr w:type="spellEnd"/>
      <w:r w:rsidRPr="00096373">
        <w:rPr>
          <w:sz w:val="22"/>
          <w:szCs w:val="22"/>
        </w:rPr>
        <w:t>, 56, pp. 233–262.</w:t>
      </w:r>
    </w:p>
    <w:p w14:paraId="432EC29C" w14:textId="77777777" w:rsidR="006148EE" w:rsidRPr="00096373" w:rsidRDefault="006148EE">
      <w:pPr>
        <w:jc w:val="both"/>
        <w:rPr>
          <w:sz w:val="22"/>
          <w:szCs w:val="22"/>
        </w:rPr>
      </w:pPr>
    </w:p>
    <w:p w14:paraId="326FC8D4" w14:textId="092DDD77" w:rsidR="006148EE" w:rsidRDefault="00720711">
      <w:pPr>
        <w:pStyle w:val="Heading1"/>
        <w:jc w:val="center"/>
        <w:rPr>
          <w:rFonts w:cs="Times New Roman"/>
        </w:rPr>
      </w:pPr>
      <w:r>
        <w:rPr>
          <w:rFonts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lastRenderedPageBreak/>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lastRenderedPageBreak/>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3FD57ADC"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w:t>
      </w:r>
      <w:del w:id="49" w:author="dani" w:date="2024-03-01T20:13:00Z">
        <w:r w:rsidDel="00717554">
          <w:delText xml:space="preserve">and Pedroni (2004). </w:delText>
        </w:r>
      </w:del>
      <w:r>
        <w:t xml:space="preserve">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 xml:space="preserve">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w:t>
      </w:r>
      <w:r>
        <w:lastRenderedPageBreak/>
        <w:t>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7CA1D5F"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w:t>
      </w:r>
      <w:del w:id="50" w:author="dani" w:date="2024-03-01T20:13:00Z">
        <w:r w:rsidDel="00717554">
          <w:rPr>
            <w:bCs/>
            <w:sz w:val="16"/>
          </w:rPr>
          <w:delText xml:space="preserve">For Pedroni (2004), </w:delText>
        </w:r>
      </w:del>
      <w:r>
        <w:rPr>
          <w:bCs/>
          <w:sz w:val="16"/>
        </w:rPr>
        <w:t>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 xml:space="preserve">Notes: The null hypothesis of the unit root tests is that all panels contain a unit root, </w:t>
      </w:r>
      <w:proofErr w:type="gramStart"/>
      <w:r>
        <w:rPr>
          <w:bCs/>
          <w:sz w:val="18"/>
        </w:rPr>
        <w:t>i.e.</w:t>
      </w:r>
      <w:proofErr w:type="gramEnd"/>
      <w:r>
        <w:rPr>
          <w:bCs/>
          <w:sz w:val="18"/>
        </w:rPr>
        <w:t xml:space="preserv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5"/>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 xml:space="preserve">This box </w:t>
      </w:r>
      <w:proofErr w:type="gramStart"/>
      <w:r>
        <w:rPr>
          <w:lang w:val="en-US"/>
        </w:rPr>
        <w:t>aim</w:t>
      </w:r>
      <w:proofErr w:type="gramEnd"/>
      <w:r>
        <w:rPr>
          <w:lang w:val="en-US"/>
        </w:rPr>
        <w:t xml:space="preserve"> at showing estimates on the wealth accumulation in euro area and to analyze wealth inequality, by using the survey data of the second wave of the ECB’s Household Finance and Consumption Survey (HFCS). We highlight </w:t>
      </w:r>
      <w:proofErr w:type="gramStart"/>
      <w:r>
        <w:rPr>
          <w:lang w:val="en-US"/>
        </w:rPr>
        <w:t>that cross-country differences</w:t>
      </w:r>
      <w:proofErr w:type="gramEnd"/>
      <w:r>
        <w:rPr>
          <w:lang w:val="en-US"/>
        </w:rPr>
        <w:t xml:space="preserve">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lastRenderedPageBreak/>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19"/>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w:t>
      </w:r>
      <w:proofErr w:type="gramStart"/>
      <w:r>
        <w:rPr>
          <w:sz w:val="18"/>
          <w:szCs w:val="18"/>
          <w:lang w:val="en-US"/>
        </w:rPr>
        <w:t>Authors’</w:t>
      </w:r>
      <w:proofErr w:type="gramEnd"/>
      <w:r>
        <w:rPr>
          <w:sz w:val="18"/>
          <w:szCs w:val="18"/>
          <w:lang w:val="en-US"/>
        </w:rPr>
        <w:t xml:space="preserve">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 xml:space="preserve">Ownership wealth inequality is higher for the bottom half. The average of the </w:t>
      </w:r>
      <w:proofErr w:type="gramStart"/>
      <w:r>
        <w:rPr>
          <w:lang w:val="en-US"/>
        </w:rPr>
        <w:t>GE(</w:t>
      </w:r>
      <w:proofErr w:type="gramEnd"/>
      <w:r>
        <w:rPr>
          <w:lang w:val="en-US"/>
        </w:rPr>
        <w:t>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6"/>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lastRenderedPageBreak/>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w:t>
      </w:r>
      <w:proofErr w:type="gramStart"/>
      <w:r>
        <w:rPr>
          <w:lang w:val="en-US"/>
        </w:rPr>
        <w:t>i.e.</w:t>
      </w:r>
      <w:proofErr w:type="gramEnd"/>
      <w:r>
        <w:rPr>
          <w:lang w:val="en-US"/>
        </w:rPr>
        <w:t xml:space="preserv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rsidP="000C75B5">
      <w:pPr>
        <w:jc w:val="center"/>
        <w:rPr>
          <w:b/>
          <w:lang w:val="en-US"/>
        </w:rPr>
      </w:pPr>
      <w:r>
        <w:rPr>
          <w:noProof/>
        </w:rPr>
        <w:drawing>
          <wp:inline distT="0" distB="0" distL="0" distR="0" wp14:anchorId="2F7BEDE1" wp14:editId="54D07838">
            <wp:extent cx="4969510" cy="2933700"/>
            <wp:effectExtent l="0" t="0" r="254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lastRenderedPageBreak/>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1"/>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2"/>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4"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4-03-03T20:23:00Z" w:initials="d">
    <w:p w14:paraId="5F45D7A0" w14:textId="3896D703" w:rsidR="00CA0D94" w:rsidRPr="00CA0D94" w:rsidRDefault="00CA0D94">
      <w:pPr>
        <w:pStyle w:val="CommentText"/>
        <w:rPr>
          <w:lang w:val="es-ES"/>
        </w:rPr>
      </w:pPr>
      <w:r>
        <w:rPr>
          <w:rStyle w:val="CommentReference"/>
        </w:rPr>
        <w:annotationRef/>
      </w:r>
      <w:proofErr w:type="spellStart"/>
      <w:r w:rsidRPr="00CA0D94">
        <w:rPr>
          <w:lang w:val="es-ES"/>
        </w:rPr>
        <w:t>Add</w:t>
      </w:r>
      <w:proofErr w:type="spellEnd"/>
      <w:r w:rsidRPr="00CA0D94">
        <w:rPr>
          <w:lang w:val="es-ES"/>
        </w:rPr>
        <w:t xml:space="preserve"> Tables 1 &amp; 2</w:t>
      </w:r>
    </w:p>
  </w:comment>
  <w:comment w:id="7" w:author="dani" w:date="2022-07-07T18:17:00Z" w:initials="d">
    <w:p w14:paraId="726DA99D" w14:textId="1ACB9F4E" w:rsidR="00B52E7B" w:rsidRPr="00CA0D94" w:rsidRDefault="00B52E7B">
      <w:pPr>
        <w:pStyle w:val="CommentText"/>
        <w:rPr>
          <w:lang w:val="es-ES"/>
        </w:rPr>
      </w:pPr>
      <w:r>
        <w:rPr>
          <w:rStyle w:val="CommentReference"/>
        </w:rPr>
        <w:annotationRef/>
      </w:r>
      <w:r w:rsidRPr="00CA0D94">
        <w:rPr>
          <w:lang w:val="es-ES"/>
        </w:rPr>
        <w:t>Añadir resultados</w:t>
      </w:r>
    </w:p>
  </w:comment>
  <w:comment w:id="8" w:author="dani" w:date="2024-03-03T20:26:00Z" w:initials="d">
    <w:p w14:paraId="24E08528" w14:textId="26BCC900" w:rsidR="00CA0D94" w:rsidRPr="001948B7" w:rsidRDefault="00CA0D94">
      <w:pPr>
        <w:pStyle w:val="CommentText"/>
        <w:rPr>
          <w:lang w:val="en-US"/>
        </w:rPr>
      </w:pPr>
      <w:r>
        <w:rPr>
          <w:rStyle w:val="CommentReference"/>
        </w:rPr>
        <w:annotationRef/>
      </w:r>
      <w:r w:rsidRPr="001948B7">
        <w:rPr>
          <w:lang w:val="en-US"/>
        </w:rPr>
        <w:t>Move it below</w:t>
      </w:r>
    </w:p>
  </w:comment>
  <w:comment w:id="9" w:author="dani" w:date="2022-07-11T20:26:00Z" w:initials="d">
    <w:p w14:paraId="2C34310A" w14:textId="57A9A398" w:rsidR="00CD375B" w:rsidRPr="001948B7" w:rsidRDefault="00CD375B">
      <w:pPr>
        <w:pStyle w:val="CommentText"/>
        <w:rPr>
          <w:lang w:val="en-US"/>
        </w:rPr>
      </w:pPr>
      <w:r>
        <w:rPr>
          <w:rStyle w:val="CommentReference"/>
        </w:rPr>
        <w:annotationRef/>
      </w:r>
      <w:r w:rsidRPr="001948B7">
        <w:rPr>
          <w:lang w:val="en-US"/>
        </w:rPr>
        <w:t>result</w:t>
      </w:r>
    </w:p>
  </w:comment>
  <w:comment w:id="10" w:author="dani" w:date="2024-03-01T19:43:00Z" w:initials="d">
    <w:p w14:paraId="524B40C5" w14:textId="0FD4D44A" w:rsidR="00092BD2" w:rsidRPr="00CA0D94" w:rsidRDefault="00092BD2">
      <w:pPr>
        <w:pStyle w:val="CommentText"/>
        <w:rPr>
          <w:lang w:val="en-US"/>
        </w:rPr>
      </w:pPr>
      <w:r>
        <w:rPr>
          <w:rStyle w:val="CommentReference"/>
        </w:rPr>
        <w:annotationRef/>
      </w:r>
      <w:proofErr w:type="spellStart"/>
      <w:r w:rsidRPr="00CA0D94">
        <w:rPr>
          <w:lang w:val="en-US"/>
        </w:rPr>
        <w:t>copiado</w:t>
      </w:r>
      <w:proofErr w:type="spellEnd"/>
      <w:r w:rsidRPr="00CA0D94">
        <w:rPr>
          <w:lang w:val="en-US"/>
        </w:rPr>
        <w:t xml:space="preserve"> de </w:t>
      </w:r>
      <w:proofErr w:type="spellStart"/>
      <w:r w:rsidRPr="00CA0D94">
        <w:rPr>
          <w:lang w:val="en-US"/>
        </w:rPr>
        <w:t>arriba</w:t>
      </w:r>
      <w:proofErr w:type="spellEnd"/>
    </w:p>
  </w:comment>
  <w:comment w:id="12" w:author="dani" w:date="2022-08-19T17:56:00Z" w:initials="d">
    <w:p w14:paraId="2DB4F7B8" w14:textId="12901CD2" w:rsidR="00E0559D" w:rsidRPr="00CA0D94" w:rsidRDefault="00E0559D">
      <w:pPr>
        <w:pStyle w:val="CommentText"/>
        <w:rPr>
          <w:lang w:val="en-US"/>
        </w:rPr>
      </w:pPr>
      <w:r>
        <w:rPr>
          <w:rStyle w:val="CommentReference"/>
        </w:rPr>
        <w:annotationRef/>
      </w:r>
    </w:p>
  </w:comment>
  <w:comment w:id="13"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5" w:author="dani" w:date="2022-08-21T18:21:00Z" w:initials="d">
    <w:p w14:paraId="42D45E30" w14:textId="3E1364B8" w:rsidR="00105279" w:rsidRPr="00366905" w:rsidRDefault="00105279">
      <w:pPr>
        <w:pStyle w:val="CommentText"/>
        <w:rPr>
          <w:lang w:val="es-ES"/>
        </w:rPr>
      </w:pPr>
      <w:r>
        <w:rPr>
          <w:rStyle w:val="CommentReference"/>
        </w:rPr>
        <w:annotationRef/>
      </w:r>
      <w:proofErr w:type="spellStart"/>
      <w:r w:rsidRPr="00366905">
        <w:rPr>
          <w:lang w:val="es-ES"/>
        </w:rPr>
        <w:t>Review</w:t>
      </w:r>
      <w:proofErr w:type="spellEnd"/>
      <w:r w:rsidRPr="00366905">
        <w:rPr>
          <w:lang w:val="es-ES"/>
        </w:rPr>
        <w:t xml:space="preserve"> and </w:t>
      </w:r>
      <w:proofErr w:type="spellStart"/>
      <w:r w:rsidRPr="00366905">
        <w:rPr>
          <w:lang w:val="es-ES"/>
        </w:rPr>
        <w:t>change</w:t>
      </w:r>
      <w:proofErr w:type="spellEnd"/>
      <w:r w:rsidRPr="00366905">
        <w:rPr>
          <w:lang w:val="es-ES"/>
        </w:rPr>
        <w:t xml:space="preserve"> </w:t>
      </w:r>
      <w:proofErr w:type="spellStart"/>
      <w:r w:rsidRPr="00366905">
        <w:rPr>
          <w:lang w:val="es-ES"/>
        </w:rPr>
        <w:t>content</w:t>
      </w:r>
      <w:proofErr w:type="spellEnd"/>
    </w:p>
  </w:comment>
  <w:comment w:id="16"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5F45D7A0" w15:done="0"/>
  <w15:commentEx w15:paraId="726DA99D" w15:done="0"/>
  <w15:commentEx w15:paraId="24E08528" w15:done="0"/>
  <w15:commentEx w15:paraId="2C34310A" w15:done="0"/>
  <w15:commentEx w15:paraId="524B40C5"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F5AC9" w16cex:dateUtc="2024-03-03T19:23:00Z"/>
  <w16cex:commentExtensible w16cex:durableId="2671A1BF" w16cex:dateUtc="2022-07-07T16:17:00Z"/>
  <w16cex:commentExtensible w16cex:durableId="298F5B80" w16cex:dateUtc="2024-03-03T19:26:00Z"/>
  <w16cex:commentExtensible w16cex:durableId="267705E0" w16cex:dateUtc="2022-07-11T18:26:00Z"/>
  <w16cex:commentExtensible w16cex:durableId="298CAE6F" w16cex:dateUtc="2024-03-01T18:43: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5F45D7A0" w16cid:durableId="298F5AC9"/>
  <w16cid:commentId w16cid:paraId="726DA99D" w16cid:durableId="2671A1BF"/>
  <w16cid:commentId w16cid:paraId="24E08528" w16cid:durableId="298F5B80"/>
  <w16cid:commentId w16cid:paraId="2C34310A" w16cid:durableId="267705E0"/>
  <w16cid:commentId w16cid:paraId="524B40C5" w16cid:durableId="298CAE6F"/>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7A41" w14:textId="77777777" w:rsidR="00B72023" w:rsidRDefault="00B72023">
      <w:r>
        <w:separator/>
      </w:r>
    </w:p>
  </w:endnote>
  <w:endnote w:type="continuationSeparator" w:id="0">
    <w:p w14:paraId="5583E00E" w14:textId="77777777" w:rsidR="00B72023" w:rsidRDefault="00B7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7BE6" w14:textId="77777777" w:rsidR="00B72023" w:rsidRDefault="00B72023">
      <w:r>
        <w:separator/>
      </w:r>
    </w:p>
  </w:footnote>
  <w:footnote w:type="continuationSeparator" w:id="0">
    <w:p w14:paraId="5B4138A5" w14:textId="77777777" w:rsidR="00B72023" w:rsidRDefault="00B72023">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23B8515D"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w:t>
      </w:r>
      <w:proofErr w:type="spellStart"/>
      <w:r>
        <w:t>Sabirianova</w:t>
      </w:r>
      <w:proofErr w:type="spellEnd"/>
      <w:r>
        <w:t>-Peter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1">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2">
    <w:p w14:paraId="1E329B82" w14:textId="68BE4DCD" w:rsidR="009F409B" w:rsidRPr="009F409B" w:rsidRDefault="009F409B" w:rsidP="00E15982">
      <w:pPr>
        <w:pStyle w:val="FootnoteText"/>
        <w:spacing w:line="360" w:lineRule="auto"/>
      </w:pPr>
      <w:r>
        <w:rPr>
          <w:rStyle w:val="FootnoteReference"/>
        </w:rPr>
        <w:footnoteRef/>
      </w:r>
      <w:r>
        <w:t xml:space="preserve"> </w:t>
      </w:r>
      <w:r w:rsidRPr="009F409B">
        <w:t xml:space="preserve">The </w:t>
      </w:r>
      <w:proofErr w:type="spellStart"/>
      <w:r w:rsidRPr="009F409B">
        <w:t>probit</w:t>
      </w:r>
      <w:proofErr w:type="spellEnd"/>
      <w:r w:rsidRPr="009F409B">
        <w:t xml:space="preserve"> results presented in Table 5 serve as potential estimates for the policy propensity score.</w:t>
      </w:r>
    </w:p>
  </w:footnote>
  <w:footnote w:id="13">
    <w:p w14:paraId="1E00AB1C" w14:textId="1E0FE5EB" w:rsidR="00544FDC" w:rsidRPr="00544FDC" w:rsidRDefault="00544FDC" w:rsidP="007E34BB">
      <w:pPr>
        <w:pStyle w:val="FootnoteText"/>
        <w:spacing w:before="120"/>
      </w:pPr>
      <w:r>
        <w:rPr>
          <w:rStyle w:val="FootnoteReference"/>
        </w:rPr>
        <w:footnoteRef/>
      </w:r>
      <w:r>
        <w:t xml:space="preserve"> Where the OLS model of </w:t>
      </w: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Pr="006D3CE6">
        <w:rPr>
          <w:bCs/>
          <w:lang w:val="en-US"/>
        </w:rPr>
        <w:t xml:space="preserve">  </w:t>
      </w:r>
      <w:r>
        <w:rPr>
          <w:bCs/>
          <w:lang w:val="en-US"/>
        </w:rPr>
        <w:t>is an alternative to represent the average treatment effect.</w:t>
      </w:r>
    </w:p>
  </w:footnote>
  <w:footnote w:id="14">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5">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6">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00A4F934"/>
    <w:name w:val="Lista numerada 2"/>
    <w:lvl w:ilvl="0">
      <w:start w:val="3"/>
      <w:numFmt w:val="decimal"/>
      <w:lvlText w:val="%1."/>
      <w:lvlJc w:val="left"/>
      <w:pPr>
        <w:ind w:left="360" w:firstLine="0"/>
      </w:pPr>
    </w:lvl>
    <w:lvl w:ilvl="1">
      <w:start w:val="1"/>
      <w:numFmt w:val="decimal"/>
      <w:pStyle w:val="Head2"/>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8FAH2bdWotAAAA"/>
  </w:docVars>
  <w:rsids>
    <w:rsidRoot w:val="006148EE"/>
    <w:rsid w:val="00017FEB"/>
    <w:rsid w:val="00026187"/>
    <w:rsid w:val="000301C7"/>
    <w:rsid w:val="000509C3"/>
    <w:rsid w:val="000601E3"/>
    <w:rsid w:val="00061039"/>
    <w:rsid w:val="00065637"/>
    <w:rsid w:val="0006603D"/>
    <w:rsid w:val="00080028"/>
    <w:rsid w:val="00087EE4"/>
    <w:rsid w:val="00092BD2"/>
    <w:rsid w:val="00093048"/>
    <w:rsid w:val="00096373"/>
    <w:rsid w:val="000A1C86"/>
    <w:rsid w:val="000A2D31"/>
    <w:rsid w:val="000A4BA0"/>
    <w:rsid w:val="000C1452"/>
    <w:rsid w:val="000C1699"/>
    <w:rsid w:val="000C357C"/>
    <w:rsid w:val="000C75B5"/>
    <w:rsid w:val="000E2337"/>
    <w:rsid w:val="000E4A42"/>
    <w:rsid w:val="000F6E3E"/>
    <w:rsid w:val="00101FF7"/>
    <w:rsid w:val="00102A23"/>
    <w:rsid w:val="00104D33"/>
    <w:rsid w:val="00105279"/>
    <w:rsid w:val="00114446"/>
    <w:rsid w:val="001169E2"/>
    <w:rsid w:val="00116A00"/>
    <w:rsid w:val="00122D4A"/>
    <w:rsid w:val="00123D0E"/>
    <w:rsid w:val="00125634"/>
    <w:rsid w:val="00131F08"/>
    <w:rsid w:val="001359B7"/>
    <w:rsid w:val="00135C43"/>
    <w:rsid w:val="001453DD"/>
    <w:rsid w:val="00154397"/>
    <w:rsid w:val="00162B15"/>
    <w:rsid w:val="001745D2"/>
    <w:rsid w:val="00175228"/>
    <w:rsid w:val="0017722D"/>
    <w:rsid w:val="001828A5"/>
    <w:rsid w:val="001948B7"/>
    <w:rsid w:val="00194EA3"/>
    <w:rsid w:val="001A1517"/>
    <w:rsid w:val="001A3A98"/>
    <w:rsid w:val="001B22CE"/>
    <w:rsid w:val="001B592E"/>
    <w:rsid w:val="001C3BE7"/>
    <w:rsid w:val="001C672D"/>
    <w:rsid w:val="001F6ECF"/>
    <w:rsid w:val="002140E4"/>
    <w:rsid w:val="00215E0B"/>
    <w:rsid w:val="00216BD9"/>
    <w:rsid w:val="002330DF"/>
    <w:rsid w:val="002339AD"/>
    <w:rsid w:val="00236035"/>
    <w:rsid w:val="00242543"/>
    <w:rsid w:val="002662E5"/>
    <w:rsid w:val="002766BB"/>
    <w:rsid w:val="002828F3"/>
    <w:rsid w:val="00283B0C"/>
    <w:rsid w:val="002849EA"/>
    <w:rsid w:val="00292C7B"/>
    <w:rsid w:val="00294699"/>
    <w:rsid w:val="002C458E"/>
    <w:rsid w:val="002D4EDB"/>
    <w:rsid w:val="002F33AF"/>
    <w:rsid w:val="00300287"/>
    <w:rsid w:val="003035DC"/>
    <w:rsid w:val="00310C3F"/>
    <w:rsid w:val="003257FE"/>
    <w:rsid w:val="00340E5D"/>
    <w:rsid w:val="00366905"/>
    <w:rsid w:val="0037236D"/>
    <w:rsid w:val="00384507"/>
    <w:rsid w:val="00394BFC"/>
    <w:rsid w:val="003B1F01"/>
    <w:rsid w:val="003B1F81"/>
    <w:rsid w:val="003D3E79"/>
    <w:rsid w:val="003F5B5E"/>
    <w:rsid w:val="003F77CF"/>
    <w:rsid w:val="00406A99"/>
    <w:rsid w:val="00407662"/>
    <w:rsid w:val="00412C2B"/>
    <w:rsid w:val="0042235D"/>
    <w:rsid w:val="00425A3A"/>
    <w:rsid w:val="00426B8C"/>
    <w:rsid w:val="00430D97"/>
    <w:rsid w:val="00434981"/>
    <w:rsid w:val="00437607"/>
    <w:rsid w:val="0044385A"/>
    <w:rsid w:val="004525E8"/>
    <w:rsid w:val="004565D7"/>
    <w:rsid w:val="004756E4"/>
    <w:rsid w:val="004C248E"/>
    <w:rsid w:val="004D41CE"/>
    <w:rsid w:val="004E1E49"/>
    <w:rsid w:val="004F7911"/>
    <w:rsid w:val="00513B74"/>
    <w:rsid w:val="00520CEC"/>
    <w:rsid w:val="00544FDC"/>
    <w:rsid w:val="00554ADE"/>
    <w:rsid w:val="0055518B"/>
    <w:rsid w:val="00572941"/>
    <w:rsid w:val="00585240"/>
    <w:rsid w:val="005A45A7"/>
    <w:rsid w:val="005A48B3"/>
    <w:rsid w:val="005E1C5A"/>
    <w:rsid w:val="005E5A50"/>
    <w:rsid w:val="005E5C63"/>
    <w:rsid w:val="005F305F"/>
    <w:rsid w:val="005F5127"/>
    <w:rsid w:val="005F589E"/>
    <w:rsid w:val="00605382"/>
    <w:rsid w:val="00607F25"/>
    <w:rsid w:val="006148EE"/>
    <w:rsid w:val="00624EA4"/>
    <w:rsid w:val="006324DA"/>
    <w:rsid w:val="00647981"/>
    <w:rsid w:val="00651064"/>
    <w:rsid w:val="00656295"/>
    <w:rsid w:val="00667E9F"/>
    <w:rsid w:val="0067272C"/>
    <w:rsid w:val="0068350A"/>
    <w:rsid w:val="0069369C"/>
    <w:rsid w:val="006C0DB6"/>
    <w:rsid w:val="006C41D2"/>
    <w:rsid w:val="006D3CE6"/>
    <w:rsid w:val="006E2EF0"/>
    <w:rsid w:val="00717554"/>
    <w:rsid w:val="00720711"/>
    <w:rsid w:val="0072468A"/>
    <w:rsid w:val="007279CB"/>
    <w:rsid w:val="00731902"/>
    <w:rsid w:val="007512A1"/>
    <w:rsid w:val="00763943"/>
    <w:rsid w:val="007818D4"/>
    <w:rsid w:val="00782347"/>
    <w:rsid w:val="00785483"/>
    <w:rsid w:val="007952E6"/>
    <w:rsid w:val="00797B3A"/>
    <w:rsid w:val="007C6B3C"/>
    <w:rsid w:val="007D3BDA"/>
    <w:rsid w:val="007E34BB"/>
    <w:rsid w:val="007F0C7F"/>
    <w:rsid w:val="007F34B7"/>
    <w:rsid w:val="00810944"/>
    <w:rsid w:val="00816BF9"/>
    <w:rsid w:val="008323D5"/>
    <w:rsid w:val="00856E08"/>
    <w:rsid w:val="00864B90"/>
    <w:rsid w:val="008909A9"/>
    <w:rsid w:val="008A7917"/>
    <w:rsid w:val="008B1823"/>
    <w:rsid w:val="008B5715"/>
    <w:rsid w:val="008E0C3F"/>
    <w:rsid w:val="008F01AE"/>
    <w:rsid w:val="009077F9"/>
    <w:rsid w:val="009117D7"/>
    <w:rsid w:val="00924D68"/>
    <w:rsid w:val="009327EA"/>
    <w:rsid w:val="00936F3E"/>
    <w:rsid w:val="00941AB5"/>
    <w:rsid w:val="009502A0"/>
    <w:rsid w:val="00957812"/>
    <w:rsid w:val="00960F01"/>
    <w:rsid w:val="0099423F"/>
    <w:rsid w:val="009B635E"/>
    <w:rsid w:val="009F1605"/>
    <w:rsid w:val="009F409B"/>
    <w:rsid w:val="00A0625F"/>
    <w:rsid w:val="00A07DAF"/>
    <w:rsid w:val="00A12D7A"/>
    <w:rsid w:val="00A15425"/>
    <w:rsid w:val="00A16DA7"/>
    <w:rsid w:val="00A335BC"/>
    <w:rsid w:val="00A37202"/>
    <w:rsid w:val="00A80391"/>
    <w:rsid w:val="00AB684E"/>
    <w:rsid w:val="00AC0817"/>
    <w:rsid w:val="00AC78F4"/>
    <w:rsid w:val="00AE2474"/>
    <w:rsid w:val="00AF2BAF"/>
    <w:rsid w:val="00AF2D72"/>
    <w:rsid w:val="00AF3370"/>
    <w:rsid w:val="00B104F7"/>
    <w:rsid w:val="00B2129B"/>
    <w:rsid w:val="00B23BAD"/>
    <w:rsid w:val="00B36297"/>
    <w:rsid w:val="00B513D4"/>
    <w:rsid w:val="00B51EC7"/>
    <w:rsid w:val="00B52E7B"/>
    <w:rsid w:val="00B66C0C"/>
    <w:rsid w:val="00B72023"/>
    <w:rsid w:val="00B97AFC"/>
    <w:rsid w:val="00BA73B2"/>
    <w:rsid w:val="00BB5831"/>
    <w:rsid w:val="00BC0F94"/>
    <w:rsid w:val="00BC5D5E"/>
    <w:rsid w:val="00BE2EC1"/>
    <w:rsid w:val="00BE58CD"/>
    <w:rsid w:val="00BF5C12"/>
    <w:rsid w:val="00BF6035"/>
    <w:rsid w:val="00BF7005"/>
    <w:rsid w:val="00C12142"/>
    <w:rsid w:val="00C5420A"/>
    <w:rsid w:val="00C729B0"/>
    <w:rsid w:val="00C87353"/>
    <w:rsid w:val="00C87740"/>
    <w:rsid w:val="00C9126A"/>
    <w:rsid w:val="00C975A3"/>
    <w:rsid w:val="00CA0D94"/>
    <w:rsid w:val="00CC1165"/>
    <w:rsid w:val="00CD1D67"/>
    <w:rsid w:val="00CD375B"/>
    <w:rsid w:val="00CD4F18"/>
    <w:rsid w:val="00CE0501"/>
    <w:rsid w:val="00CE33B3"/>
    <w:rsid w:val="00CF21D5"/>
    <w:rsid w:val="00CF5BF8"/>
    <w:rsid w:val="00CF7118"/>
    <w:rsid w:val="00D13A9A"/>
    <w:rsid w:val="00D2058B"/>
    <w:rsid w:val="00D27BD7"/>
    <w:rsid w:val="00D31723"/>
    <w:rsid w:val="00D358D3"/>
    <w:rsid w:val="00D43674"/>
    <w:rsid w:val="00D436A3"/>
    <w:rsid w:val="00D51C47"/>
    <w:rsid w:val="00D559BB"/>
    <w:rsid w:val="00D63F33"/>
    <w:rsid w:val="00D647FB"/>
    <w:rsid w:val="00D83F9B"/>
    <w:rsid w:val="00D90A0D"/>
    <w:rsid w:val="00D93ABE"/>
    <w:rsid w:val="00DA537B"/>
    <w:rsid w:val="00DB19AA"/>
    <w:rsid w:val="00DB1D32"/>
    <w:rsid w:val="00DC3D19"/>
    <w:rsid w:val="00DC4408"/>
    <w:rsid w:val="00DD53CB"/>
    <w:rsid w:val="00DE1767"/>
    <w:rsid w:val="00DE6DCE"/>
    <w:rsid w:val="00DE7C05"/>
    <w:rsid w:val="00DF00C1"/>
    <w:rsid w:val="00E0559D"/>
    <w:rsid w:val="00E132EA"/>
    <w:rsid w:val="00E15982"/>
    <w:rsid w:val="00E20219"/>
    <w:rsid w:val="00E31A3D"/>
    <w:rsid w:val="00E32DDB"/>
    <w:rsid w:val="00E532CE"/>
    <w:rsid w:val="00E66C90"/>
    <w:rsid w:val="00E67E2E"/>
    <w:rsid w:val="00E87C18"/>
    <w:rsid w:val="00E9731D"/>
    <w:rsid w:val="00EA0F41"/>
    <w:rsid w:val="00EA1730"/>
    <w:rsid w:val="00EA44CB"/>
    <w:rsid w:val="00EB04DA"/>
    <w:rsid w:val="00EB4EDF"/>
    <w:rsid w:val="00EB7E39"/>
    <w:rsid w:val="00F1211D"/>
    <w:rsid w:val="00F17549"/>
    <w:rsid w:val="00F512C4"/>
    <w:rsid w:val="00F55C92"/>
    <w:rsid w:val="00F617CD"/>
    <w:rsid w:val="00F81503"/>
    <w:rsid w:val="00F81697"/>
    <w:rsid w:val="00F8193A"/>
    <w:rsid w:val="00FB5A96"/>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rsid w:val="00104D33"/>
    <w:pPr>
      <w:keepNext/>
      <w:spacing w:before="240" w:after="60"/>
      <w:outlineLvl w:val="0"/>
    </w:pPr>
    <w:rPr>
      <w:rFonts w:cs="Arial"/>
      <w:b/>
      <w:bCs/>
      <w:kern w:val="1"/>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link w:val="ListParagraphChar"/>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 w:type="paragraph" w:customStyle="1" w:styleId="Head2">
    <w:name w:val="Head2"/>
    <w:basedOn w:val="ListParagraph"/>
    <w:link w:val="Head2Char"/>
    <w:qFormat/>
    <w:rsid w:val="000A1C86"/>
    <w:pPr>
      <w:numPr>
        <w:ilvl w:val="1"/>
        <w:numId w:val="2"/>
      </w:numPr>
      <w:spacing w:before="360" w:after="240" w:line="312" w:lineRule="auto"/>
      <w:ind w:left="1157" w:hanging="437"/>
      <w:jc w:val="both"/>
      <w:outlineLvl w:val="1"/>
    </w:pPr>
    <w:rPr>
      <w:rFonts w:ascii="Times New Roman" w:hAnsi="Times New Roman"/>
      <w:b/>
      <w:sz w:val="24"/>
      <w:szCs w:val="24"/>
    </w:rPr>
  </w:style>
  <w:style w:type="character" w:customStyle="1" w:styleId="ListParagraphChar">
    <w:name w:val="List Paragraph Char"/>
    <w:basedOn w:val="DefaultParagraphFont"/>
    <w:link w:val="ListParagraph"/>
    <w:rsid w:val="000A1C86"/>
    <w:rPr>
      <w:rFonts w:ascii="Calibri" w:eastAsia="Calibri" w:hAnsi="Calibri"/>
      <w:sz w:val="22"/>
      <w:szCs w:val="22"/>
      <w:lang w:val="en-US" w:eastAsia="en-US"/>
    </w:rPr>
  </w:style>
  <w:style w:type="character" w:customStyle="1" w:styleId="Head2Char">
    <w:name w:val="Head2 Char"/>
    <w:basedOn w:val="ListParagraphChar"/>
    <w:link w:val="Head2"/>
    <w:rsid w:val="000A1C86"/>
    <w:rPr>
      <w:rFonts w:ascii="Calibri" w:eastAsia="Calibri" w:hAnsi="Calibri"/>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footer" Target="foot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38</Pages>
  <Words>12408</Words>
  <Characters>68249</Characters>
  <Application>Microsoft Office Word</Application>
  <DocSecurity>0</DocSecurity>
  <Lines>568</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89</cp:revision>
  <cp:lastPrinted>2019-05-28T12:31:00Z</cp:lastPrinted>
  <dcterms:created xsi:type="dcterms:W3CDTF">2022-01-23T17:02:00Z</dcterms:created>
  <dcterms:modified xsi:type="dcterms:W3CDTF">2024-03-04T19:29:00Z</dcterms:modified>
</cp:coreProperties>
</file>