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ED2" w14:textId="640E68B5" w:rsidR="00B54F97" w:rsidRPr="00B54F97" w:rsidRDefault="00B54F97" w:rsidP="00B54F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B54F97">
        <w:rPr>
          <w:rFonts w:ascii="Segoe UI" w:eastAsia="Times New Roman" w:hAnsi="Segoe UI" w:cs="Segoe UI"/>
          <w:b/>
          <w:bCs/>
          <w:kern w:val="0"/>
          <w:sz w:val="36"/>
          <w:szCs w:val="36"/>
          <w:u w:val="single"/>
          <w14:ligatures w14:val="none"/>
        </w:rPr>
        <w:t>Summary</w:t>
      </w:r>
    </w:p>
    <w:p w14:paraId="004BBB2C" w14:textId="6EBF7C2D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More men work for companies.</w:t>
      </w:r>
    </w:p>
    <w:p w14:paraId="2AF60E5F" w14:textId="0507FFB3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Most of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the workforce is white, while Native Hawaiians and American Indians are underrepresented. The youngest employee is 20 years old, and the oldest is 57.</w:t>
      </w:r>
    </w:p>
    <w:p w14:paraId="7A98CB59" w14:textId="319EE597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There are now 5 age groups: 18–24, 25–34, 35–44, 45–54, and 55–64. The largest group of workers were in the age range of 25–34, followed by 35–44, and the smallest group was 55–64.</w:t>
      </w:r>
    </w:p>
    <w:p w14:paraId="6166D947" w14:textId="6875CB56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 opposed to working remotely, many people work at the headquarters.</w:t>
      </w:r>
    </w:p>
    <w:p w14:paraId="41AA5375" w14:textId="44B16831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 employee that is fired typically worked there for seven years.</w:t>
      </w:r>
    </w:p>
    <w:p w14:paraId="52D804BC" w14:textId="24D412A8" w:rsidR="00B54F97" w:rsidRPr="00B54F97" w:rsidRDefault="00B54F97" w:rsidP="00B54F9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There are normally more male employees than female employees, although the gender ratio among departments is 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balanced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5B07D963" w14:textId="77777777" w:rsidR="00B54F97" w:rsidRPr="00B54F97" w:rsidRDefault="00B54F97" w:rsidP="00B54F97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B54F97">
        <w:rPr>
          <w:rFonts w:ascii="Segoe UI" w:hAnsi="Segoe UI" w:cs="Segoe UI"/>
          <w:sz w:val="24"/>
          <w:szCs w:val="24"/>
        </w:rPr>
        <w:t>The biggest turnover rate is in the marketing division, followed by training. The departments of support, research and development, and law have the lowest turnover rates.</w:t>
      </w:r>
    </w:p>
    <w:p w14:paraId="572B8A6C" w14:textId="77777777" w:rsidR="00B54F97" w:rsidRPr="00B54F97" w:rsidRDefault="00B54F97" w:rsidP="00B54F97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B54F97">
        <w:rPr>
          <w:rFonts w:ascii="Segoe UI" w:hAnsi="Segoe UI" w:cs="Segoe UI"/>
          <w:sz w:val="24"/>
          <w:szCs w:val="24"/>
        </w:rPr>
        <w:t>The state of Ohio is home to a sizable number of employees.</w:t>
      </w:r>
    </w:p>
    <w:p w14:paraId="3C6A3ACF" w14:textId="77777777" w:rsidR="00B54F97" w:rsidRPr="00B54F97" w:rsidRDefault="00B54F97" w:rsidP="00B54F97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B54F97">
        <w:rPr>
          <w:rFonts w:ascii="Segoe UI" w:hAnsi="Segoe UI" w:cs="Segoe UI"/>
          <w:sz w:val="24"/>
          <w:szCs w:val="24"/>
        </w:rPr>
        <w:t>Over time, there has been an increase in the net change in personnel.</w:t>
      </w:r>
    </w:p>
    <w:p w14:paraId="525EEE6A" w14:textId="77777777" w:rsidR="00B54F97" w:rsidRDefault="00B54F97" w:rsidP="00B54F97">
      <w:pPr>
        <w:pStyle w:val="ListParagraph"/>
        <w:numPr>
          <w:ilvl w:val="0"/>
          <w:numId w:val="3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B54F97">
        <w:rPr>
          <w:rFonts w:ascii="Segoe UI" w:hAnsi="Segoe UI" w:cs="Segoe UI"/>
          <w:sz w:val="24"/>
          <w:szCs w:val="24"/>
        </w:rPr>
        <w:t>With Legal and Auditing having the longest tenures and Services, Sales, and Marketing having the shortest, each department's average tenure is roughly 8 years.</w:t>
      </w:r>
    </w:p>
    <w:p w14:paraId="5F7395CA" w14:textId="77777777" w:rsidR="00B54F97" w:rsidRPr="00B54F97" w:rsidRDefault="00B54F97" w:rsidP="00B54F9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hyperlink r:id="rId5" w:anchor="limitations" w:history="1">
        <w:r w:rsidRPr="00B54F97">
          <w:rPr>
            <w:rFonts w:ascii="Segoe UI" w:eastAsia="Times New Roman" w:hAnsi="Segoe UI" w:cs="Segoe UI"/>
            <w:b/>
            <w:bCs/>
            <w:kern w:val="0"/>
            <w:sz w:val="36"/>
            <w:szCs w:val="36"/>
            <w:u w:val="single"/>
            <w14:ligatures w14:val="none"/>
          </w:rPr>
          <w:t>Limitations</w:t>
        </w:r>
      </w:hyperlink>
    </w:p>
    <w:p w14:paraId="70465D71" w14:textId="3787073A" w:rsidR="00B54F97" w:rsidRPr="00B54F97" w:rsidRDefault="00B54F97" w:rsidP="00B54F9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Some records had negative </w:t>
      </w:r>
      <w:proofErr w:type="gramStart"/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ages</w:t>
      </w:r>
      <w:proofErr w:type="gramEnd"/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these were excluded during 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querying (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967 records). Ages used were 18 years and above.</w:t>
      </w:r>
    </w:p>
    <w:p w14:paraId="1EED42D5" w14:textId="38D38377" w:rsidR="00B54F97" w:rsidRPr="00B54F97" w:rsidRDefault="00B54F97" w:rsidP="00B54F9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Some </w:t>
      </w:r>
      <w:proofErr w:type="spellStart"/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termdates</w:t>
      </w:r>
      <w:proofErr w:type="spellEnd"/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were far into the future and were not included in the 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analysis (</w:t>
      </w:r>
      <w:r w:rsidRPr="00B54F9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1599 records). The only term dates used were those less than or equal to the current date.</w:t>
      </w:r>
    </w:p>
    <w:p w14:paraId="3C9229E1" w14:textId="77777777" w:rsidR="00B54F97" w:rsidRPr="00B54F97" w:rsidRDefault="00B54F97" w:rsidP="00B54F97"/>
    <w:sectPr w:rsidR="00B54F97" w:rsidRPr="00B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6CA1"/>
    <w:multiLevelType w:val="hybridMultilevel"/>
    <w:tmpl w:val="5896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B7375"/>
    <w:multiLevelType w:val="multilevel"/>
    <w:tmpl w:val="4604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B308C"/>
    <w:multiLevelType w:val="hybridMultilevel"/>
    <w:tmpl w:val="2BA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2367A"/>
    <w:multiLevelType w:val="multilevel"/>
    <w:tmpl w:val="320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5629">
    <w:abstractNumId w:val="3"/>
  </w:num>
  <w:num w:numId="2" w16cid:durableId="534193372">
    <w:abstractNumId w:val="2"/>
  </w:num>
  <w:num w:numId="3" w16cid:durableId="1018504939">
    <w:abstractNumId w:val="0"/>
  </w:num>
  <w:num w:numId="4" w16cid:durableId="1250235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97"/>
    <w:rsid w:val="00393CE7"/>
    <w:rsid w:val="00B54F97"/>
    <w:rsid w:val="00C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ECAC"/>
  <w15:chartTrackingRefBased/>
  <w15:docId w15:val="{10DDF54E-65C6-4573-B929-D173D675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4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4F9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54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rene-arch/HR-Dashboard-MySQL-PowerBI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Patel</dc:creator>
  <cp:keywords/>
  <dc:description/>
  <cp:lastModifiedBy>Vedic Patel</cp:lastModifiedBy>
  <cp:revision>1</cp:revision>
  <dcterms:created xsi:type="dcterms:W3CDTF">2023-10-03T01:54:00Z</dcterms:created>
  <dcterms:modified xsi:type="dcterms:W3CDTF">2023-10-03T01:59:00Z</dcterms:modified>
</cp:coreProperties>
</file>