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2267" w:rsidRDefault="009221A3" w:rsidP="009221A3">
      <w:pPr>
        <w:jc w:val="center"/>
        <w:rPr>
          <w:rFonts w:ascii="Times New Roman" w:hAnsi="Times New Roman" w:cs="Times New Roman"/>
          <w:b/>
          <w:sz w:val="28"/>
          <w:szCs w:val="28"/>
          <w:u w:val="single"/>
        </w:rPr>
      </w:pPr>
      <w:r w:rsidRPr="009221A3">
        <w:rPr>
          <w:rFonts w:ascii="Times New Roman" w:hAnsi="Times New Roman" w:cs="Times New Roman"/>
          <w:b/>
          <w:sz w:val="28"/>
          <w:szCs w:val="28"/>
          <w:u w:val="single"/>
        </w:rPr>
        <w:t>ABSTRACT</w:t>
      </w:r>
    </w:p>
    <w:p w:rsidR="009221A3" w:rsidRDefault="009221A3" w:rsidP="009221A3">
      <w:pPr>
        <w:pStyle w:val="NormalWeb"/>
      </w:pPr>
      <w:r>
        <w:t>Machine learning models are increasingly deployed across scientific, industrial, and consumer domains, yet their internal decision-making processes remain largely opaque, especially to learners and non-experts. This lack of interpretability limits trust, debugging efficiency, and conceptual understanding in real-world applications. To address this challenge, this paper presents a unified and highly interactive visualization framework that interprets the inner mechanisms of both deep learning and traditional machine learning models. The framework automatically detects the selected architecture and generates meaningful UI-friendly aliases—</w:t>
      </w:r>
      <w:proofErr w:type="spellStart"/>
      <w:r>
        <w:rPr>
          <w:rStyle w:val="Emphasis"/>
        </w:rPr>
        <w:t>VoxelStack</w:t>
      </w:r>
      <w:proofErr w:type="spellEnd"/>
      <w:r>
        <w:t xml:space="preserve"> for Convolutional Neural Networks (CNN), </w:t>
      </w:r>
      <w:proofErr w:type="spellStart"/>
      <w:r>
        <w:rPr>
          <w:rStyle w:val="Emphasis"/>
        </w:rPr>
        <w:t>PatchFlow</w:t>
      </w:r>
      <w:proofErr w:type="spellEnd"/>
      <w:r>
        <w:t xml:space="preserve"> for Vision Transformers (</w:t>
      </w:r>
      <w:proofErr w:type="spellStart"/>
      <w:r>
        <w:t>ViT</w:t>
      </w:r>
      <w:proofErr w:type="spellEnd"/>
      <w:r>
        <w:t xml:space="preserve">), </w:t>
      </w:r>
      <w:proofErr w:type="spellStart"/>
      <w:r>
        <w:rPr>
          <w:rStyle w:val="Emphasis"/>
        </w:rPr>
        <w:t>LatentMorph</w:t>
      </w:r>
      <w:proofErr w:type="spellEnd"/>
      <w:r>
        <w:t xml:space="preserve"> for </w:t>
      </w:r>
      <w:proofErr w:type="spellStart"/>
      <w:r>
        <w:t>Variational</w:t>
      </w:r>
      <w:proofErr w:type="spellEnd"/>
      <w:r>
        <w:t xml:space="preserve"> </w:t>
      </w:r>
      <w:proofErr w:type="spellStart"/>
      <w:r>
        <w:t>Autoencoders</w:t>
      </w:r>
      <w:proofErr w:type="spellEnd"/>
      <w:r>
        <w:t xml:space="preserve"> (VAE), </w:t>
      </w:r>
      <w:proofErr w:type="spellStart"/>
      <w:r>
        <w:rPr>
          <w:rStyle w:val="Emphasis"/>
        </w:rPr>
        <w:t>ChronoCoil</w:t>
      </w:r>
      <w:proofErr w:type="spellEnd"/>
      <w:r>
        <w:t xml:space="preserve"> for RNN/LSTM models, </w:t>
      </w:r>
      <w:proofErr w:type="spellStart"/>
      <w:r>
        <w:rPr>
          <w:rStyle w:val="Emphasis"/>
        </w:rPr>
        <w:t>TransFlow</w:t>
      </w:r>
      <w:proofErr w:type="spellEnd"/>
      <w:r>
        <w:t xml:space="preserve"> for Seq2Seq systems, </w:t>
      </w:r>
      <w:proofErr w:type="spellStart"/>
      <w:r>
        <w:rPr>
          <w:rStyle w:val="Emphasis"/>
        </w:rPr>
        <w:t>HyperSector</w:t>
      </w:r>
      <w:proofErr w:type="spellEnd"/>
      <w:r>
        <w:t xml:space="preserve"> for Support Vector Machines (SVM), </w:t>
      </w:r>
      <w:proofErr w:type="spellStart"/>
      <w:r>
        <w:rPr>
          <w:rStyle w:val="Emphasis"/>
        </w:rPr>
        <w:t>FractalLogic</w:t>
      </w:r>
      <w:proofErr w:type="spellEnd"/>
      <w:r>
        <w:t xml:space="preserve"> for Decision Trees, </w:t>
      </w:r>
      <w:proofErr w:type="spellStart"/>
      <w:r>
        <w:rPr>
          <w:rStyle w:val="Emphasis"/>
        </w:rPr>
        <w:t>SimpleFit</w:t>
      </w:r>
      <w:proofErr w:type="spellEnd"/>
      <w:r>
        <w:t xml:space="preserve"> for Linear Regression, </w:t>
      </w:r>
      <w:proofErr w:type="spellStart"/>
      <w:r>
        <w:rPr>
          <w:rStyle w:val="Emphasis"/>
        </w:rPr>
        <w:t>GraphWeaver</w:t>
      </w:r>
      <w:proofErr w:type="spellEnd"/>
      <w:r>
        <w:t xml:space="preserve"> for Graph Neural Networks (GNN), and </w:t>
      </w:r>
      <w:proofErr w:type="spellStart"/>
      <w:r>
        <w:rPr>
          <w:rStyle w:val="Emphasis"/>
        </w:rPr>
        <w:t>GridWalker</w:t>
      </w:r>
      <w:proofErr w:type="spellEnd"/>
      <w:r>
        <w:t xml:space="preserve"> for Deep Q-Networks (DQN)—providing a relatable and memorable interface for model exploration.</w:t>
      </w:r>
    </w:p>
    <w:p w:rsidR="009221A3" w:rsidRDefault="009221A3" w:rsidP="009221A3">
      <w:pPr>
        <w:pStyle w:val="NormalWeb"/>
      </w:pPr>
      <w:r>
        <w:t xml:space="preserve">Each visualization focuses on the core computational principle of the corresponding model: convolutional feature extraction in CNNs, attention over image patches in </w:t>
      </w:r>
      <w:proofErr w:type="spellStart"/>
      <w:r>
        <w:t>ViTs</w:t>
      </w:r>
      <w:proofErr w:type="spellEnd"/>
      <w:r>
        <w:t xml:space="preserve">, latent-space compression and generation in VAEs, temporal sequence learning in recurrent architectures, graph neighborhood message passing in GNNs, </w:t>
      </w:r>
      <w:proofErr w:type="spellStart"/>
      <w:r>
        <w:t>hyperplane</w:t>
      </w:r>
      <w:proofErr w:type="spellEnd"/>
      <w:r>
        <w:t>-based class separation in SVMs, and reward-driven policy learning in reinforcement agents. The platform transforms abstract mathematics—such as activation functions, gradient propagation, attention maps, support vectors, and regression surfaces—into real-time visual components. Through this process, users can observe weight evolution, error reduction trends, decision boundaries, neuron activations, latent transitions, and action-value dynamics across training epochs.</w:t>
      </w:r>
    </w:p>
    <w:p w:rsidR="009221A3" w:rsidRDefault="009221A3" w:rsidP="009221A3">
      <w:pPr>
        <w:pStyle w:val="NormalWeb"/>
      </w:pPr>
      <w:r>
        <w:t>A user study conducted on benchmark datasets indicates that learners interacting with the system showed improved conceptual clarity, reduced model debugging time, and higher engagement when compared to those relying solely on numerical performance metrics or static graphs. Educators also reported that the framework simplifies complex topics that traditionally require multiple lectures to understand. By bridging the cognitive gap between theory and intuition, the system supports students, researchers, and practitioners in exploring model behaviors, detecting anomalies, and building a deeper understanding of algorithmic learning processes.</w:t>
      </w:r>
    </w:p>
    <w:p w:rsidR="009221A3" w:rsidRDefault="009221A3" w:rsidP="009221A3">
      <w:pPr>
        <w:pStyle w:val="NormalWeb"/>
      </w:pPr>
      <w:r>
        <w:t>The proposed visualization platform represents a step toward democratizing machine learning interpretability and aligns with the larger vision of Explainable AI (XAI). Its modular architecture allows seamless integration of emerging deep learning models and additional interpretability tools, ensuring long-term scalability and adaptability to future research needs. This work contributes a practical and educationally impactful resource that promotes transparency, improves knowledge retention, and strengthens trust in machine learning systems.</w:t>
      </w:r>
    </w:p>
    <w:p w:rsidR="009221A3" w:rsidRDefault="009221A3" w:rsidP="009221A3">
      <w:pPr>
        <w:rPr>
          <w:rFonts w:ascii="Times New Roman" w:hAnsi="Times New Roman" w:cs="Times New Roman"/>
          <w:b/>
          <w:sz w:val="24"/>
          <w:szCs w:val="24"/>
          <w:u w:val="single"/>
        </w:rPr>
      </w:pPr>
    </w:p>
    <w:p w:rsidR="009221A3" w:rsidRDefault="009221A3" w:rsidP="009221A3">
      <w:pPr>
        <w:rPr>
          <w:rFonts w:ascii="Times New Roman" w:hAnsi="Times New Roman" w:cs="Times New Roman"/>
          <w:b/>
          <w:sz w:val="24"/>
          <w:szCs w:val="24"/>
          <w:u w:val="single"/>
        </w:rPr>
      </w:pPr>
    </w:p>
    <w:p w:rsidR="009221A3" w:rsidRDefault="009221A3" w:rsidP="009221A3">
      <w:pPr>
        <w:rPr>
          <w:rFonts w:ascii="Times New Roman" w:hAnsi="Times New Roman" w:cs="Times New Roman"/>
          <w:b/>
          <w:sz w:val="24"/>
          <w:szCs w:val="24"/>
          <w:u w:val="single"/>
        </w:rPr>
      </w:pPr>
    </w:p>
    <w:p w:rsidR="009221A3" w:rsidRPr="009221A3" w:rsidRDefault="009221A3" w:rsidP="009221A3">
      <w:pPr>
        <w:rPr>
          <w:rFonts w:ascii="Times New Roman" w:hAnsi="Times New Roman" w:cs="Times New Roman"/>
          <w:b/>
          <w:sz w:val="24"/>
          <w:szCs w:val="24"/>
          <w:u w:val="single"/>
        </w:rPr>
      </w:pPr>
      <w:bookmarkStart w:id="0" w:name="_GoBack"/>
      <w:bookmarkEnd w:id="0"/>
    </w:p>
    <w:sectPr w:rsidR="009221A3" w:rsidRPr="00922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1A3"/>
    <w:rsid w:val="005A1688"/>
    <w:rsid w:val="00652267"/>
    <w:rsid w:val="008A199F"/>
    <w:rsid w:val="009221A3"/>
    <w:rsid w:val="00ED0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221A3"/>
    <w:rPr>
      <w:i/>
      <w:iCs/>
    </w:rPr>
  </w:style>
  <w:style w:type="paragraph" w:styleId="NormalWeb">
    <w:name w:val="Normal (Web)"/>
    <w:basedOn w:val="Normal"/>
    <w:uiPriority w:val="99"/>
    <w:semiHidden/>
    <w:unhideWhenUsed/>
    <w:rsid w:val="009221A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221A3"/>
    <w:rPr>
      <w:i/>
      <w:iCs/>
    </w:rPr>
  </w:style>
  <w:style w:type="paragraph" w:styleId="NormalWeb">
    <w:name w:val="Normal (Web)"/>
    <w:basedOn w:val="Normal"/>
    <w:uiPriority w:val="99"/>
    <w:semiHidden/>
    <w:unhideWhenUsed/>
    <w:rsid w:val="009221A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899814">
      <w:bodyDiv w:val="1"/>
      <w:marLeft w:val="0"/>
      <w:marRight w:val="0"/>
      <w:marTop w:val="0"/>
      <w:marBottom w:val="0"/>
      <w:divBdr>
        <w:top w:val="none" w:sz="0" w:space="0" w:color="auto"/>
        <w:left w:val="none" w:sz="0" w:space="0" w:color="auto"/>
        <w:bottom w:val="none" w:sz="0" w:space="0" w:color="auto"/>
        <w:right w:val="none" w:sz="0" w:space="0" w:color="auto"/>
      </w:divBdr>
    </w:div>
    <w:div w:id="1444228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8124</TotalTime>
  <Pages>2</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2025-11-21T12:12:00Z</dcterms:created>
  <dcterms:modified xsi:type="dcterms:W3CDTF">2025-12-14T22:40:00Z</dcterms:modified>
</cp:coreProperties>
</file>