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44"/>
        </w:rPr>
        <w:t>FinSight Analytics</w:t>
        <w:br/>
        <w:t>Full-Stack &amp; FinTech Engineering Interview Guide</w:t>
      </w:r>
    </w:p>
    <w:p>
      <w:pPr>
        <w:jc w:val="center"/>
      </w:pPr>
      <w:r>
        <w:rPr>
          <w:i/>
          <w:color w:val="10B981"/>
          <w:sz w:val="24"/>
        </w:rPr>
        <w:t>Comprehensive Technical Mastery, System Architecture &amp; Q&amp;A Playbook</w:t>
      </w:r>
    </w:p>
    <w:p>
      <w:pPr>
        <w:spacing w:after="240"/>
      </w:pPr>
    </w:p>
    <w:p>
      <w:pPr>
        <w:spacing w:before="320" w:after="120"/>
      </w:pPr>
      <w:r>
        <w:rPr>
          <w:rFonts w:ascii="Arial" w:hAnsi="Arial"/>
          <w:b/>
          <w:color w:val="0F172A"/>
          <w:sz w:val="30"/>
        </w:rPr>
        <w:t>1. Project Executive Summary &amp; Architecture Overview</w:t>
      </w:r>
    </w:p>
    <w:p>
      <w:r>
        <w:t>FinSight Analytics is a production-grade full-stack FinTech application that transforms raw digital transaction telemetry into meaningful, actionable financial intelligence. Unlike basic expense trackers, FinSight incorporates advanced mathematical forecasting, statistical anomaly detection (Z-Score &amp; IQR), category drift momentum, and 90-day cash flow liquidity modeling.</w:t>
      </w:r>
    </w:p>
    <w:p>
      <w:pPr>
        <w:spacing w:before="240" w:after="80"/>
      </w:pPr>
      <w:r>
        <w:rPr>
          <w:rFonts w:ascii="Arial" w:hAnsi="Arial"/>
          <w:b/>
          <w:color w:val="2563EB"/>
          <w:sz w:val="25"/>
        </w:rPr>
        <w:t>Architecture &amp; Deployment Topology</w:t>
      </w:r>
    </w:p>
    <w:tbl>
      <w:tblPr>
        <w:tblW w:type="auto" w:w="0"/>
        <w:jc w:val="center"/>
        <w:tblLook w:firstColumn="1" w:firstRow="1" w:lastColumn="0" w:lastRow="0" w:noHBand="0" w:noVBand="1" w:val="04A0"/>
      </w:tblPr>
      <w:tblGrid>
        <w:gridCol w:w="3312"/>
        <w:gridCol w:w="3312"/>
        <w:gridCol w:w="3312"/>
      </w:tblGrid>
      <w:tr>
        <w:tc>
          <w:tcPr>
            <w:tcW w:type="dxa" w:w="3312"/>
            <w:shd w:val="clear" w:color="auto" w:fill="0F172A"/>
          </w:tcPr>
          <w:p>
            <w:r>
              <w:rPr>
                <w:b/>
                <w:color w:val="FFFFFF"/>
              </w:rPr>
              <w:t>Component Layer</w:t>
            </w:r>
          </w:p>
        </w:tc>
        <w:tc>
          <w:tcPr>
            <w:tcW w:type="dxa" w:w="3312"/>
            <w:shd w:val="clear" w:color="auto" w:fill="0F172A"/>
          </w:tcPr>
          <w:p>
            <w:r>
              <w:rPr>
                <w:b/>
                <w:color w:val="FFFFFF"/>
              </w:rPr>
              <w:t>Technology Stack</w:t>
            </w:r>
          </w:p>
        </w:tc>
        <w:tc>
          <w:tcPr>
            <w:tcW w:type="dxa" w:w="3312"/>
            <w:shd w:val="clear" w:color="auto" w:fill="0F172A"/>
          </w:tcPr>
          <w:p>
            <w:r>
              <w:rPr>
                <w:b/>
                <w:color w:val="FFFFFF"/>
              </w:rPr>
              <w:t>Production Hosting &amp; Purpose</w:t>
            </w:r>
          </w:p>
        </w:tc>
      </w:tr>
      <w:tr>
        <w:tc>
          <w:tcPr>
            <w:tcW w:type="dxa" w:w="3312"/>
            <w:shd w:val="clear" w:color="auto" w:fill="F8FAFC"/>
          </w:tcPr>
          <w:p>
            <w:r>
              <w:t>Frontend Web App</w:t>
            </w:r>
          </w:p>
        </w:tc>
        <w:tc>
          <w:tcPr>
            <w:tcW w:type="dxa" w:w="3312"/>
            <w:shd w:val="clear" w:color="auto" w:fill="F8FAFC"/>
          </w:tcPr>
          <w:p>
            <w:r>
              <w:t>React 19, Vite, TanStack Router/Start, Tailwind CSS, Recharts</w:t>
            </w:r>
          </w:p>
        </w:tc>
        <w:tc>
          <w:tcPr>
            <w:tcW w:type="dxa" w:w="3312"/>
            <w:shd w:val="clear" w:color="auto" w:fill="F8FAFC"/>
          </w:tcPr>
          <w:p>
            <w:r>
              <w:t>Deployed on Vercel (Edge SPA Routing)</w:t>
            </w:r>
          </w:p>
        </w:tc>
      </w:tr>
      <w:tr>
        <w:tc>
          <w:tcPr>
            <w:tcW w:type="dxa" w:w="3312"/>
            <w:shd w:val="clear" w:color="auto" w:fill="FFFFFF"/>
          </w:tcPr>
          <w:p>
            <w:r>
              <w:t>Backend REST API</w:t>
            </w:r>
          </w:p>
        </w:tc>
        <w:tc>
          <w:tcPr>
            <w:tcW w:type="dxa" w:w="3312"/>
            <w:shd w:val="clear" w:color="auto" w:fill="FFFFFF"/>
          </w:tcPr>
          <w:p>
            <w:r>
              <w:t>Node.js, Express.js, Multer, Cors, Morgan</w:t>
            </w:r>
          </w:p>
        </w:tc>
        <w:tc>
          <w:tcPr>
            <w:tcW w:type="dxa" w:w="3312"/>
            <w:shd w:val="clear" w:color="auto" w:fill="FFFFFF"/>
          </w:tcPr>
          <w:p>
            <w:r>
              <w:t>Deployed on Render (Stateless Web Service)</w:t>
            </w:r>
          </w:p>
        </w:tc>
      </w:tr>
      <w:tr>
        <w:tc>
          <w:tcPr>
            <w:tcW w:type="dxa" w:w="3312"/>
            <w:shd w:val="clear" w:color="auto" w:fill="F8FAFC"/>
          </w:tcPr>
          <w:p>
            <w:r>
              <w:t>Database &amp; Auth</w:t>
            </w:r>
          </w:p>
        </w:tc>
        <w:tc>
          <w:tcPr>
            <w:tcW w:type="dxa" w:w="3312"/>
            <w:shd w:val="clear" w:color="auto" w:fill="F8FAFC"/>
          </w:tcPr>
          <w:p>
            <w:r>
              <w:t>PostgreSQL, Supabase Auth, Row-Level Security (RLS)</w:t>
            </w:r>
          </w:p>
        </w:tc>
        <w:tc>
          <w:tcPr>
            <w:tcW w:type="dxa" w:w="3312"/>
            <w:shd w:val="clear" w:color="auto" w:fill="F8FAFC"/>
          </w:tcPr>
          <w:p>
            <w:r>
              <w:t>Cloud Supabase (Managed Postgres Cluster)</w:t>
            </w:r>
          </w:p>
        </w:tc>
      </w:tr>
      <w:tr>
        <w:tc>
          <w:tcPr>
            <w:tcW w:type="dxa" w:w="3312"/>
            <w:shd w:val="clear" w:color="auto" w:fill="FFFFFF"/>
          </w:tcPr>
          <w:p>
            <w:r>
              <w:t>Media &amp; Receipt Engine</w:t>
            </w:r>
          </w:p>
        </w:tc>
        <w:tc>
          <w:tcPr>
            <w:tcW w:type="dxa" w:w="3312"/>
            <w:shd w:val="clear" w:color="auto" w:fill="FFFFFF"/>
          </w:tcPr>
          <w:p>
            <w:r>
              <w:t>Cloudinary Node SDK, Multipart Stream Buffer</w:t>
            </w:r>
          </w:p>
        </w:tc>
        <w:tc>
          <w:tcPr>
            <w:tcW w:type="dxa" w:w="3312"/>
            <w:shd w:val="clear" w:color="auto" w:fill="FFFFFF"/>
          </w:tcPr>
          <w:p>
            <w:r>
              <w:t>Cloudinary CDN (Receipts &amp; Avatars)</w:t>
            </w:r>
          </w:p>
        </w:tc>
      </w:tr>
    </w:tbl>
    <w:p>
      <w:pPr>
        <w:spacing w:after="160"/>
      </w:pPr>
    </w:p>
    <w:p>
      <w:pPr>
        <w:spacing w:before="320" w:after="120"/>
      </w:pPr>
      <w:r>
        <w:rPr>
          <w:rFonts w:ascii="Arial" w:hAnsi="Arial"/>
          <w:b/>
          <w:color w:val="0F172A"/>
          <w:sz w:val="30"/>
        </w:rPr>
        <w:t>2. Full Feature Matrix — What Has Been Implemented</w:t>
      </w:r>
    </w:p>
    <w:p>
      <w:pPr>
        <w:pStyle w:val="ListBullet"/>
        <w:spacing w:after="80"/>
      </w:pPr>
      <w:r>
        <w:rPr>
          <w:b/>
          <w:color w:val="0F172A"/>
        </w:rPr>
        <w:t xml:space="preserve">1. User Authentication &amp; Security: </w:t>
      </w:r>
      <w:r>
        <w:t>Full-stack authentication with protected routes, password resets, and session persistence.</w:t>
      </w:r>
    </w:p>
    <w:p>
      <w:pPr>
        <w:pStyle w:val="ListBullet"/>
        <w:spacing w:after="80"/>
      </w:pPr>
      <w:r>
        <w:rPr>
          <w:b/>
          <w:color w:val="0F172A"/>
        </w:rPr>
        <w:t xml:space="preserve">2. Financial Account Management: </w:t>
      </w:r>
      <w:r>
        <w:t>Multi-account aggregation (Checking, Credit, Savings, Shared), real-time balance calculations.</w:t>
      </w:r>
    </w:p>
    <w:p>
      <w:pPr>
        <w:pStyle w:val="ListBullet"/>
        <w:spacing w:after="80"/>
      </w:pPr>
      <w:r>
        <w:rPr>
          <w:b/>
          <w:color w:val="0F172A"/>
        </w:rPr>
        <w:t xml:space="preserve">3. Transaction Engine: </w:t>
      </w:r>
      <w:r>
        <w:t>Comprehensive ledger supporting search, multi-filter by category/date/type, CSV bulk import (PapaParse), and PDF summary downloads (jsPDF).</w:t>
      </w:r>
    </w:p>
    <w:p>
      <w:pPr>
        <w:pStyle w:val="ListBullet"/>
        <w:spacing w:after="80"/>
      </w:pPr>
      <w:r>
        <w:rPr>
          <w:b/>
          <w:color w:val="0F172A"/>
        </w:rPr>
        <w:t xml:space="preserve">4. Recurring Transactions: </w:t>
      </w:r>
      <w:r>
        <w:t>Subcriptions, salary, and utility automation with active/inactive frequency schedules.</w:t>
      </w:r>
    </w:p>
    <w:p>
      <w:pPr>
        <w:pStyle w:val="ListBullet"/>
        <w:spacing w:after="80"/>
      </w:pPr>
      <w:r>
        <w:rPr>
          <w:b/>
          <w:color w:val="0F172A"/>
        </w:rPr>
        <w:t xml:space="preserve">5. Split Expenses &amp; Shared Balances: </w:t>
      </w:r>
      <w:r>
        <w:t>Shared expense groups, percentage &amp; equal split calculation logic, member permissions.</w:t>
      </w:r>
    </w:p>
    <w:p>
      <w:pPr>
        <w:pStyle w:val="ListBullet"/>
        <w:spacing w:after="80"/>
      </w:pPr>
      <w:r>
        <w:rPr>
          <w:b/>
          <w:color w:val="0F172A"/>
        </w:rPr>
        <w:t xml:space="preserve">6. Category Drift Engine: </w:t>
      </w:r>
      <w:r>
        <w:t>Month-over-month category spending drift &amp; momentum analysis with velocity indicators (+15% MoM thresholds).</w:t>
      </w:r>
    </w:p>
    <w:p>
      <w:pPr>
        <w:pStyle w:val="ListBullet"/>
        <w:spacing w:after="80"/>
      </w:pPr>
      <w:r>
        <w:rPr>
          <w:b/>
          <w:color w:val="0F172A"/>
        </w:rPr>
        <w:t xml:space="preserve">7. 90-Day Cash-Flow Projection: </w:t>
      </w:r>
      <w:r>
        <w:t>Combines live balances, recurring salary, fixed subscription bills, and active goal targets over +30D, +60D, and +90D intervals.</w:t>
      </w:r>
    </w:p>
    <w:p>
      <w:pPr>
        <w:pStyle w:val="ListBullet"/>
        <w:spacing w:after="80"/>
      </w:pPr>
      <w:r>
        <w:rPr>
          <w:b/>
          <w:color w:val="0F172A"/>
        </w:rPr>
        <w:t xml:space="preserve">8. Anomaly Radar: </w:t>
      </w:r>
      <w:r>
        <w:t>Statistical outlier detection using Z-Score variance against category historical means (Z &gt; 2.2σ) with severity badges.</w:t>
      </w:r>
    </w:p>
    <w:p>
      <w:pPr>
        <w:pStyle w:val="ListBullet"/>
        <w:spacing w:after="80"/>
      </w:pPr>
      <w:r>
        <w:rPr>
          <w:b/>
          <w:color w:val="0F172A"/>
        </w:rPr>
        <w:t xml:space="preserve">9. Cloudinary Media Pipelines: </w:t>
      </w:r>
      <w:r>
        <w:t>Multipart form data uploads via Express memory storage proxy to Cloudinary SDK.</w:t>
      </w:r>
    </w:p>
    <w:p>
      <w:pPr>
        <w:spacing w:before="320" w:after="120"/>
      </w:pPr>
      <w:r>
        <w:rPr>
          <w:rFonts w:ascii="Arial" w:hAnsi="Arial"/>
          <w:b/>
          <w:color w:val="0F172A"/>
          <w:sz w:val="30"/>
        </w:rPr>
        <w:t>3. Core Technical Concepts &amp; System Design Deep Dives</w:t>
      </w:r>
    </w:p>
    <w:p>
      <w:pPr>
        <w:spacing w:before="240" w:after="80"/>
      </w:pPr>
      <w:r>
        <w:rPr>
          <w:rFonts w:ascii="Arial" w:hAnsi="Arial"/>
          <w:b/>
          <w:color w:val="2563EB"/>
          <w:sz w:val="25"/>
        </w:rPr>
        <w:t>A. Z-Score Statistical Anomaly Detection Algorithm</w:t>
      </w:r>
    </w:p>
    <w:p>
      <w:r>
        <w:t>To flag unusual transactions without hardcoding arbitrary rupee thresholds, FinSight calculates standard deviation variance per category:</w:t>
        <w:br/>
      </w:r>
    </w:p>
    <w:p>
      <w:pPr>
        <w:pStyle w:val="Quote"/>
      </w:pPr>
      <w:r>
        <w:t>Formula: Z = (x - μ) / σ</w:t>
      </w:r>
    </w:p>
    <w:p>
      <w:pPr>
        <w:pStyle w:val="ListBullet"/>
        <w:spacing w:after="80"/>
      </w:pPr>
      <w:r>
        <w:rPr>
          <w:b/>
          <w:color w:val="0F172A"/>
        </w:rPr>
        <w:t xml:space="preserve">Mean (μ): </w:t>
      </w:r>
      <w:r>
        <w:t>Calculated as the total category spend divided by the number of transactions in that category.</w:t>
      </w:r>
    </w:p>
    <w:p>
      <w:pPr>
        <w:pStyle w:val="ListBullet"/>
        <w:spacing w:after="80"/>
      </w:pPr>
      <w:r>
        <w:rPr>
          <w:b/>
          <w:color w:val="0F172A"/>
        </w:rPr>
        <w:t xml:space="preserve">Standard Deviation (σ): </w:t>
      </w:r>
      <w:r>
        <w:t>Square root of the average squared differences from the Mean.</w:t>
      </w:r>
    </w:p>
    <w:p>
      <w:pPr>
        <w:pStyle w:val="ListBullet"/>
        <w:spacing w:after="80"/>
      </w:pPr>
      <w:r>
        <w:rPr>
          <w:b/>
          <w:color w:val="0F172A"/>
        </w:rPr>
        <w:t xml:space="preserve">Outlier Condition: </w:t>
      </w:r>
      <w:r>
        <w:t>If Z &gt;= 2.2σ, the transaction is flagged. If Z &gt;= 3.5σ or amount &gt;= 3x mean, it is marked as High Severity.</w:t>
      </w:r>
    </w:p>
    <w:p>
      <w:pPr>
        <w:pStyle w:val="ListBullet"/>
        <w:spacing w:after="80"/>
      </w:pPr>
      <w:r>
        <w:rPr>
          <w:b/>
          <w:color w:val="0F172A"/>
        </w:rPr>
        <w:t xml:space="preserve">Small-Sample Guardrail: </w:t>
      </w:r>
      <w:r>
        <w:t>Requires at least 3 historical transactions per group before computing Z-scores, preventing false positives on new categories.</w:t>
      </w:r>
    </w:p>
    <w:p>
      <w:pPr>
        <w:spacing w:before="240" w:after="80"/>
      </w:pPr>
      <w:r>
        <w:rPr>
          <w:rFonts w:ascii="Arial" w:hAnsi="Arial"/>
          <w:b/>
          <w:color w:val="2563EB"/>
          <w:sz w:val="25"/>
        </w:rPr>
        <w:t>B. Secure Cloudinary Media Upload Architecture</w:t>
      </w:r>
    </w:p>
    <w:p>
      <w:r>
        <w:t>Instead of exposing Cloudinary API Secrets on the client-side Vercel frontend, FinSight implements a secure backend buffer pipeline:</w:t>
        <w:br/>
        <w:t>1. Client sends multipart form data file (receipt/avatar) to Render Backend (/api/upload/receipt).</w:t>
        <w:br/>
        <w:t>2. Express uses Multer in memoryStorage() mode to receive the buffer in RAM (no disk writing).</w:t>
        <w:br/>
        <w:t>3. Backend converts file buffer to base64 Data URI and streams it directly to Cloudinary SDK.</w:t>
        <w:br/>
        <w:t>4. Cloudinary returns secure HTTPS CDN URL which is returned to the client and stored in Postgres.</w:t>
      </w:r>
    </w:p>
    <w:p>
      <w:pPr>
        <w:spacing w:before="240" w:after="80"/>
      </w:pPr>
      <w:r>
        <w:rPr>
          <w:rFonts w:ascii="Arial" w:hAnsi="Arial"/>
          <w:b/>
          <w:color w:val="2563EB"/>
          <w:sz w:val="25"/>
        </w:rPr>
        <w:t>C. Row-Level Security (RLS) &amp; PostgreSQL Isolation</w:t>
      </w:r>
    </w:p>
    <w:p>
      <w:r>
        <w:t>Database security is enforced directly at the PostgreSQL layer using Supabase Row Level Security policies:</w:t>
        <w:br/>
        <w:t>• CREATE POLICY 'Users can only view their own transactions' ON transactions FOR SELECT USING (auth.uid() = user_id);</w:t>
        <w:br/>
        <w:t>This guarantees that even if an attacker bypasses application-level filters, PostgreSQL blocks unauthorized database access at the database kernel level.</w:t>
      </w:r>
    </w:p>
    <w:p>
      <w:pPr>
        <w:spacing w:before="320" w:after="120"/>
      </w:pPr>
      <w:r>
        <w:rPr>
          <w:rFonts w:ascii="Arial" w:hAnsi="Arial"/>
          <w:b/>
          <w:color w:val="0F172A"/>
          <w:sz w:val="30"/>
        </w:rPr>
        <w:t>4. High-Impact Interview Q&amp;A Playbook (Top Questions)</w:t>
      </w:r>
    </w:p>
    <w:p>
      <w:pPr>
        <w:spacing w:before="240" w:after="80"/>
      </w:pPr>
      <w:r>
        <w:rPr>
          <w:rFonts w:ascii="Arial" w:hAnsi="Arial"/>
          <w:b/>
          <w:color w:val="2563EB"/>
          <w:sz w:val="25"/>
        </w:rPr>
        <w:t>Q1: How would you describe the architecture of FinSight to a technical interviewer?</w:t>
      </w:r>
    </w:p>
    <w:p>
      <w:r>
        <w:t>FinSight is built as a decoupled, multi-tier cloud application. The frontend is a React 19 SPA built with Vite and TanStack Router, deployed on Vercel. The backend is a stateless Node.js / Express REST API deployed on Render. Data persistence and authentication are handled by Supabase (PostgreSQL with Row Level Security), and media assets are managed via Cloudinary using Express memory storage proxies. This separation ensures independent scaling, high security, and zero vendor lock-in.</w:t>
      </w:r>
    </w:p>
    <w:p>
      <w:pPr>
        <w:spacing w:before="240" w:after="80"/>
      </w:pPr>
      <w:r>
        <w:rPr>
          <w:rFonts w:ascii="Arial" w:hAnsi="Arial"/>
          <w:b/>
          <w:color w:val="2563EB"/>
          <w:sz w:val="25"/>
        </w:rPr>
        <w:t>Q2: How did you implement anomaly detection in financial transactions?</w:t>
      </w:r>
    </w:p>
    <w:p>
      <w:r>
        <w:t>Instead of using fixed rupee thresholds which don't scale across different spending habits, I implemented a per-category statistical Z-score algorithm. The engine computes the mean and standard deviation for each category group. Transactions exceeding 2.2 standard deviations above the category mean are flagged. I also implemented a sample size guardrail requiring at least 3 transactions per category to eliminate small-sample variance noise.</w:t>
      </w:r>
    </w:p>
    <w:p>
      <w:pPr>
        <w:spacing w:before="240" w:after="80"/>
      </w:pPr>
      <w:r>
        <w:rPr>
          <w:rFonts w:ascii="Arial" w:hAnsi="Arial"/>
          <w:b/>
          <w:color w:val="2563EB"/>
          <w:sz w:val="25"/>
        </w:rPr>
        <w:t>Q3: Why did you route Cloudinary file uploads through the Express backend instead of direct client uploads?</w:t>
      </w:r>
    </w:p>
    <w:p>
      <w:r>
        <w:t>Routing uploads through the backend protects sensitive Cloudinary API Secrets from exposure in client-side JavaScript bundles. The Express server uses Multer memory storage to capture the file in RAM and streams it directly to Cloudinary via the official SDK. For public unsigned scenarios, I also built a fallback client service in src/lib/cloudinary.ts.</w:t>
      </w:r>
    </w:p>
    <w:p>
      <w:pPr>
        <w:spacing w:before="240" w:after="80"/>
      </w:pPr>
      <w:r>
        <w:rPr>
          <w:rFonts w:ascii="Arial" w:hAnsi="Arial"/>
          <w:b/>
          <w:color w:val="2563EB"/>
          <w:sz w:val="25"/>
        </w:rPr>
        <w:t>Q4: How do you handle CORS and security across Vercel and Render?</w:t>
      </w:r>
    </w:p>
    <w:p>
      <w:r>
        <w:t>CORS is configured on the Express backend using regex-matched origins. The server checks incoming request headers against allowed frontend origins (e.g., Vercel production domain and localhost). Additionally, standard security headers (X-Content-Type-Options, X-Frame-Options, X-XSS-Protection) are enforced at the Vercel edge level via vercel.json.</w:t>
      </w:r>
    </w:p>
    <w:p>
      <w:pPr>
        <w:spacing w:before="240" w:after="80"/>
      </w:pPr>
      <w:r>
        <w:rPr>
          <w:rFonts w:ascii="Arial" w:hAnsi="Arial"/>
          <w:b/>
          <w:color w:val="2563EB"/>
          <w:sz w:val="25"/>
        </w:rPr>
        <w:t>Q5: How does the 90-day cash flow projection algorithm work?</w:t>
      </w:r>
    </w:p>
    <w:p>
      <w:r>
        <w:t>The projection model aggregates four key financial vectors: current liquid balance across all accounts, active recurring income (salaries/dividends), active recurring expenses (rent/subscriptions), and target monthly allocations for savings goals. It calculates a net monthly cash delta and computes projected balances at +30D, +60D, and +90D intervals, which are rendered on an interactive area curve.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