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Times New Roman" w:cs="Times New Roman" w:eastAsia="Times New Roman" w:hAnsi="Times New Roman"/>
          <w:b/>
          <w:bCs/>
          <w:sz w:val="24"/>
          <w:szCs w:val="24"/>
        </w:rPr>
        <w:t xml:space="preserve">MKSSS's</w:t>
      </w:r>
    </w:p>
    <w:p>
      <w:pPr>
        <w:spacing w:after="120" w:before="0"/>
        <w:jc w:val="center"/>
      </w:pPr>
      <w:r>
        <w:rPr>
          <w:rFonts w:ascii="Times New Roman" w:cs="Times New Roman" w:eastAsia="Times New Roman" w:hAnsi="Times New Roman"/>
          <w:b/>
          <w:bCs/>
          <w:sz w:val="24"/>
          <w:szCs w:val="24"/>
        </w:rPr>
        <w:t xml:space="preserve">Cummins College of Engineering for Women, Pune</w:t>
      </w:r>
    </w:p>
    <w:p>
      <w:pPr>
        <w:spacing w:after="480" w:before="0"/>
        <w:jc w:val="center"/>
      </w:pPr>
      <w:r>
        <w:rPr>
          <w:rFonts w:ascii="Times New Roman" w:cs="Times New Roman" w:eastAsia="Times New Roman" w:hAnsi="Times New Roman"/>
          <w:b/>
          <w:bCs/>
          <w:sz w:val="24"/>
          <w:szCs w:val="24"/>
        </w:rPr>
        <w:t xml:space="preserve">(An Autonomous Institute Affiliated to Savitribai Phule Pune University)</w:t>
      </w:r>
    </w:p>
    <w:p>
      <w:pPr>
        <w:spacing w:after="600" w:before="0"/>
        <w:jc w:val="center"/>
      </w:pPr>
      <w:r>
        <w:rPr>
          <w:rFonts w:ascii="Times New Roman" w:cs="Times New Roman" w:eastAsia="Times New Roman" w:hAnsi="Times New Roman"/>
          <w:b/>
          <w:bCs/>
          <w:sz w:val="24"/>
          <w:szCs w:val="24"/>
        </w:rPr>
        <w:t xml:space="preserve">Third Year B. Tech (Computer Engineering)</w:t>
      </w:r>
    </w:p>
    <w:p>
      <w:pPr>
        <w:spacing w:after="360" w:before="0"/>
        <w:jc w:val="center"/>
      </w:pPr>
      <w:r>
        <w:rPr>
          <w:rFonts w:ascii="Times New Roman" w:cs="Times New Roman" w:eastAsia="Times New Roman" w:hAnsi="Times New Roman"/>
          <w:b/>
          <w:bCs/>
          <w:sz w:val="44"/>
          <w:szCs w:val="44"/>
        </w:rPr>
        <w:t xml:space="preserve">MINI PROJECT REPORT</w:t>
      </w:r>
    </w:p>
    <w:p>
      <w:pPr>
        <w:spacing w:after="240" w:before="0"/>
        <w:jc w:val="center"/>
      </w:pPr>
      <w:r>
        <w:rPr>
          <w:rFonts w:ascii="Times New Roman" w:cs="Times New Roman" w:eastAsia="Times New Roman" w:hAnsi="Times New Roman"/>
          <w:sz w:val="24"/>
          <w:szCs w:val="24"/>
        </w:rPr>
        <w:t xml:space="preserve">On</w:t>
      </w:r>
    </w:p>
    <w:p>
      <w:pPr>
        <w:spacing w:after="600" w:before="0"/>
        <w:jc w:val="center"/>
      </w:pPr>
      <w:r>
        <w:rPr>
          <w:rFonts w:ascii="Times New Roman" w:cs="Times New Roman" w:eastAsia="Times New Roman" w:hAnsi="Times New Roman"/>
          <w:b/>
          <w:bCs/>
          <w:sz w:val="32"/>
          <w:szCs w:val="32"/>
        </w:rPr>
        <w:t xml:space="preserve">“BioScan: A Reference-Aware DNA Barcode Identification System with Out-of-Reference Detection for Fish Environmental DNA”</w:t>
      </w:r>
    </w:p>
    <w:p>
      <w:pPr>
        <w:spacing w:after="240" w:before="0"/>
        <w:jc w:val="center"/>
      </w:pPr>
      <w:r>
        <w:rPr>
          <w:rFonts w:ascii="Times New Roman" w:cs="Times New Roman" w:eastAsia="Times New Roman" w:hAnsi="Times New Roman"/>
          <w:sz w:val="24"/>
          <w:szCs w:val="24"/>
        </w:rPr>
        <w:t xml:space="preserve">Submitted by</w:t>
      </w:r>
    </w:p>
    <w:p>
      <w:pPr>
        <w:spacing w:after="120" w:before="0"/>
        <w:jc w:val="center"/>
      </w:pPr>
      <w:r>
        <w:rPr>
          <w:rFonts w:ascii="Times New Roman" w:cs="Times New Roman" w:eastAsia="Times New Roman" w:hAnsi="Times New Roman"/>
          <w:b/>
          <w:bCs/>
          <w:sz w:val="24"/>
          <w:szCs w:val="24"/>
        </w:rPr>
        <w:t xml:space="preserve">Student Name: Shreya Jadhav</w:t>
      </w:r>
    </w:p>
    <w:p>
      <w:pPr>
        <w:spacing w:after="120" w:before="0"/>
        <w:jc w:val="center"/>
      </w:pPr>
      <w:r>
        <w:rPr>
          <w:rFonts w:ascii="Times New Roman" w:cs="Times New Roman" w:eastAsia="Times New Roman" w:hAnsi="Times New Roman"/>
          <w:sz w:val="24"/>
          <w:szCs w:val="24"/>
        </w:rPr>
        <w:t xml:space="preserve">U. No.: ______________________</w:t>
      </w:r>
    </w:p>
    <w:p>
      <w:pPr>
        <w:spacing w:after="120" w:before="0"/>
        <w:jc w:val="center"/>
      </w:pPr>
      <w:r>
        <w:rPr>
          <w:rFonts w:ascii="Times New Roman" w:cs="Times New Roman" w:eastAsia="Times New Roman" w:hAnsi="Times New Roman"/>
          <w:sz w:val="24"/>
          <w:szCs w:val="24"/>
        </w:rPr>
        <w:t xml:space="preserve">Class / Division: ______________________</w:t>
      </w:r>
    </w:p>
    <w:p>
      <w:pPr>
        <w:spacing w:after="480" w:before="0"/>
        <w:jc w:val="center"/>
      </w:pPr>
      <w:r>
        <w:rPr>
          <w:rFonts w:ascii="Times New Roman" w:cs="Times New Roman" w:eastAsia="Times New Roman" w:hAnsi="Times New Roman"/>
          <w:sz w:val="24"/>
          <w:szCs w:val="24"/>
        </w:rPr>
        <w:t xml:space="preserve">Roll No.: ______________________</w:t>
      </w:r>
    </w:p>
    <w:p>
      <w:pPr>
        <w:spacing w:after="240" w:before="0"/>
        <w:jc w:val="center"/>
      </w:pPr>
      <w:r>
        <w:rPr>
          <w:rFonts w:ascii="Times New Roman" w:cs="Times New Roman" w:eastAsia="Times New Roman" w:hAnsi="Times New Roman"/>
          <w:sz w:val="24"/>
          <w:szCs w:val="24"/>
        </w:rPr>
        <w:t xml:space="preserve">Under the Guidance of</w:t>
      </w:r>
    </w:p>
    <w:p>
      <w:pPr>
        <w:spacing w:after="360" w:before="0"/>
        <w:jc w:val="center"/>
      </w:pPr>
      <w:r>
        <w:rPr>
          <w:rFonts w:ascii="Times New Roman" w:cs="Times New Roman" w:eastAsia="Times New Roman" w:hAnsi="Times New Roman"/>
          <w:b/>
          <w:bCs/>
          <w:sz w:val="24"/>
          <w:szCs w:val="24"/>
        </w:rPr>
        <w:t xml:space="preserve">Guide Name: ______________________</w:t>
      </w:r>
    </w:p>
    <w:p>
      <w:pPr>
        <w:spacing w:after="240" w:before="0"/>
        <w:jc w:val="center"/>
      </w:pPr>
      <w:r>
        <w:rPr>
          <w:rFonts w:ascii="Times New Roman" w:cs="Times New Roman" w:eastAsia="Times New Roman" w:hAnsi="Times New Roman"/>
          <w:b/>
          <w:bCs/>
          <w:sz w:val="26"/>
          <w:szCs w:val="26"/>
        </w:rPr>
        <w:t xml:space="preserve">Department of Computer Engineering</w:t>
      </w:r>
    </w:p>
    <w:p>
      <w:pPr>
        <w:spacing w:after="120" w:before="0"/>
        <w:jc w:val="center"/>
      </w:pPr>
      <w:r>
        <w:rPr>
          <w:rFonts w:ascii="Times New Roman" w:cs="Times New Roman" w:eastAsia="Times New Roman" w:hAnsi="Times New Roman"/>
          <w:b/>
          <w:bCs/>
          <w:sz w:val="24"/>
          <w:szCs w:val="24"/>
        </w:rPr>
        <w:t xml:space="preserve">Academic Year: 2026–27</w:t>
      </w:r>
    </w:p>
    <w:p>
      <w:r>
        <w:br w:type="page"/>
      </w:r>
    </w:p>
    <w:p>
      <w:pPr>
        <w:spacing w:after="200"/>
      </w:pPr>
      <w:r>
        <w:rPr>
          <w:rFonts w:ascii="Times New Roman" w:cs="Times New Roman" w:eastAsia="Times New Roman" w:hAnsi="Times New Roman"/>
          <w:b/>
          <w:bCs/>
          <w:sz w:val="28"/>
          <w:szCs w:val="28"/>
        </w:rPr>
        <w:t xml:space="preserve">TABLE OF CONTENTS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5726"/>
        <w:gridCol w:w="2000"/>
      </w:tblGrid>
      <w:tr>
        <w:tc>
          <w:tcPr>
            <w:tcW w:type="dxa" w:w="1300"/>
            <w:tcBorders>
              <w:top w:val="single" w:color="808080" w:sz="4"/>
              <w:left w:val="single" w:color="808080" w:sz="4"/>
              <w:bottom w:val="single" w:color="808080" w:sz="4"/>
              <w:right w:val="single" w:color="808080" w:sz="4"/>
            </w:tcBorders>
            <w:shd w:fill="D9E8F5"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2"/>
                <w:szCs w:val="22"/>
              </w:rPr>
              <w:t xml:space="preserve">Sr. No.</w:t>
            </w:r>
          </w:p>
        </w:tc>
        <w:tc>
          <w:tcPr>
            <w:tcW w:type="dxa" w:w="5726"/>
            <w:tcBorders>
              <w:top w:val="single" w:color="808080" w:sz="4"/>
              <w:left w:val="single" w:color="808080" w:sz="4"/>
              <w:bottom w:val="single" w:color="808080" w:sz="4"/>
              <w:right w:val="single" w:color="808080" w:sz="4"/>
            </w:tcBorders>
            <w:shd w:fill="D9E8F5"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2"/>
                <w:szCs w:val="22"/>
              </w:rPr>
              <w:t xml:space="preserve">Contents</w:t>
            </w:r>
          </w:p>
        </w:tc>
        <w:tc>
          <w:tcPr>
            <w:tcW w:type="dxa" w:w="2000"/>
            <w:tcBorders>
              <w:top w:val="single" w:color="808080" w:sz="4"/>
              <w:left w:val="single" w:color="808080" w:sz="4"/>
              <w:bottom w:val="single" w:color="808080" w:sz="4"/>
              <w:right w:val="single" w:color="808080" w:sz="4"/>
            </w:tcBorders>
            <w:shd w:fill="D9E8F5"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2"/>
                <w:szCs w:val="22"/>
              </w:rPr>
              <w:t xml:space="preserve">Page No.</w:t>
            </w:r>
          </w:p>
        </w:tc>
      </w:tr>
      <w:t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2"/>
                <w:szCs w:val="22"/>
              </w:rPr>
              <w:t xml:space="preserve">1</w:t>
            </w:r>
          </w:p>
        </w:tc>
        <w:tc>
          <w:tcPr>
            <w:tcW w:type="dxa" w:w="57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Introduction</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fldChar w:fldCharType="begin" w:dirty="true"/>
              <w:instrText xml:space="preserve">PAGEREF sec_1</w:instrText>
              <w:fldChar w:fldCharType="separate"/>
              <w:fldChar w:fldCharType="end"/>
            </w:r>
          </w:p>
        </w:tc>
      </w:tr>
      <w:t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2"/>
                <w:szCs w:val="22"/>
              </w:rPr>
              <w:t xml:space="preserve">2</w:t>
            </w:r>
          </w:p>
        </w:tc>
        <w:tc>
          <w:tcPr>
            <w:tcW w:type="dxa" w:w="57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Motivation</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fldChar w:fldCharType="begin" w:dirty="true"/>
              <w:instrText xml:space="preserve">PAGEREF sec_2</w:instrText>
              <w:fldChar w:fldCharType="separate"/>
              <w:fldChar w:fldCharType="end"/>
            </w:r>
          </w:p>
        </w:tc>
      </w:tr>
      <w:t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2"/>
                <w:szCs w:val="22"/>
              </w:rPr>
              <w:t xml:space="preserve">3</w:t>
            </w:r>
          </w:p>
        </w:tc>
        <w:tc>
          <w:tcPr>
            <w:tcW w:type="dxa" w:w="57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Literature Survey</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fldChar w:fldCharType="begin" w:dirty="true"/>
              <w:instrText xml:space="preserve">PAGEREF sec_3</w:instrText>
              <w:fldChar w:fldCharType="separate"/>
              <w:fldChar w:fldCharType="end"/>
            </w:r>
          </w:p>
        </w:tc>
      </w:tr>
      <w:t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2"/>
                <w:szCs w:val="22"/>
              </w:rPr>
              <w:t xml:space="preserve">4</w:t>
            </w:r>
          </w:p>
        </w:tc>
        <w:tc>
          <w:tcPr>
            <w:tcW w:type="dxa" w:w="57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Dataset Used</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fldChar w:fldCharType="begin" w:dirty="true"/>
              <w:instrText xml:space="preserve">PAGEREF sec_4</w:instrText>
              <w:fldChar w:fldCharType="separate"/>
              <w:fldChar w:fldCharType="end"/>
            </w:r>
          </w:p>
        </w:tc>
      </w:tr>
      <w:t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2"/>
                <w:szCs w:val="22"/>
              </w:rPr>
              <w:t xml:space="preserve">5</w:t>
            </w:r>
          </w:p>
        </w:tc>
        <w:tc>
          <w:tcPr>
            <w:tcW w:type="dxa" w:w="57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Flow Diagram / Block Diagram</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fldChar w:fldCharType="begin" w:dirty="true"/>
              <w:instrText xml:space="preserve">PAGEREF sec_5</w:instrText>
              <w:fldChar w:fldCharType="separate"/>
              <w:fldChar w:fldCharType="end"/>
            </w:r>
          </w:p>
        </w:tc>
      </w:tr>
      <w:t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2"/>
                <w:szCs w:val="22"/>
              </w:rPr>
              <w:t xml:space="preserve">6</w:t>
            </w:r>
          </w:p>
        </w:tc>
        <w:tc>
          <w:tcPr>
            <w:tcW w:type="dxa" w:w="57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Methods Used / Technology Stack</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fldChar w:fldCharType="begin" w:dirty="true"/>
              <w:instrText xml:space="preserve">PAGEREF sec_6</w:instrText>
              <w:fldChar w:fldCharType="separate"/>
              <w:fldChar w:fldCharType="end"/>
            </w:r>
          </w:p>
        </w:tc>
      </w:tr>
      <w:t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2"/>
                <w:szCs w:val="22"/>
              </w:rPr>
              <w:t xml:space="preserve">7</w:t>
            </w:r>
          </w:p>
        </w:tc>
        <w:tc>
          <w:tcPr>
            <w:tcW w:type="dxa" w:w="57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Model Development</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fldChar w:fldCharType="begin" w:dirty="true"/>
              <w:instrText xml:space="preserve">PAGEREF sec_7</w:instrText>
              <w:fldChar w:fldCharType="separate"/>
              <w:fldChar w:fldCharType="end"/>
            </w:r>
          </w:p>
        </w:tc>
      </w:tr>
      <w:t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2"/>
                <w:szCs w:val="22"/>
              </w:rPr>
              <w:t xml:space="preserve">8</w:t>
            </w:r>
          </w:p>
        </w:tc>
        <w:tc>
          <w:tcPr>
            <w:tcW w:type="dxa" w:w="57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Version Control</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fldChar w:fldCharType="begin" w:dirty="true"/>
              <w:instrText xml:space="preserve">PAGEREF sec_8</w:instrText>
              <w:fldChar w:fldCharType="separate"/>
              <w:fldChar w:fldCharType="end"/>
            </w:r>
          </w:p>
        </w:tc>
      </w:tr>
      <w:t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2"/>
                <w:szCs w:val="22"/>
              </w:rPr>
              <w:t xml:space="preserve">9</w:t>
            </w:r>
          </w:p>
        </w:tc>
        <w:tc>
          <w:tcPr>
            <w:tcW w:type="dxa" w:w="57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Experiment Tracking</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fldChar w:fldCharType="begin" w:dirty="true"/>
              <w:instrText xml:space="preserve">PAGEREF sec_9</w:instrText>
              <w:fldChar w:fldCharType="separate"/>
              <w:fldChar w:fldCharType="end"/>
            </w:r>
          </w:p>
        </w:tc>
      </w:tr>
      <w:t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2"/>
                <w:szCs w:val="22"/>
              </w:rPr>
              <w:t xml:space="preserve">10</w:t>
            </w:r>
          </w:p>
        </w:tc>
        <w:tc>
          <w:tcPr>
            <w:tcW w:type="dxa" w:w="57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AutoML / MLOps</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fldChar w:fldCharType="begin" w:dirty="true"/>
              <w:instrText xml:space="preserve">PAGEREF sec_10</w:instrText>
              <w:fldChar w:fldCharType="separate"/>
              <w:fldChar w:fldCharType="end"/>
            </w:r>
          </w:p>
        </w:tc>
      </w:tr>
      <w:t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2"/>
                <w:szCs w:val="22"/>
              </w:rPr>
              <w:t xml:space="preserve">11</w:t>
            </w:r>
          </w:p>
        </w:tc>
        <w:tc>
          <w:tcPr>
            <w:tcW w:type="dxa" w:w="57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Deployment</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fldChar w:fldCharType="begin" w:dirty="true"/>
              <w:instrText xml:space="preserve">PAGEREF sec_11</w:instrText>
              <w:fldChar w:fldCharType="separate"/>
              <w:fldChar w:fldCharType="end"/>
            </w:r>
          </w:p>
        </w:tc>
      </w:tr>
      <w:t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2"/>
                <w:szCs w:val="22"/>
              </w:rPr>
              <w:t xml:space="preserve">12</w:t>
            </w:r>
          </w:p>
        </w:tc>
        <w:tc>
          <w:tcPr>
            <w:tcW w:type="dxa" w:w="57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Results and Discussions</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fldChar w:fldCharType="begin" w:dirty="true"/>
              <w:instrText xml:space="preserve">PAGEREF sec_12</w:instrText>
              <w:fldChar w:fldCharType="separate"/>
              <w:fldChar w:fldCharType="end"/>
            </w:r>
          </w:p>
        </w:tc>
      </w:tr>
      <w:t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2"/>
                <w:szCs w:val="22"/>
              </w:rPr>
              <w:t xml:space="preserve">13</w:t>
            </w:r>
          </w:p>
        </w:tc>
        <w:tc>
          <w:tcPr>
            <w:tcW w:type="dxa" w:w="57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Future Scope</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fldChar w:fldCharType="begin" w:dirty="true"/>
              <w:instrText xml:space="preserve">PAGEREF sec_13</w:instrText>
              <w:fldChar w:fldCharType="separate"/>
              <w:fldChar w:fldCharType="end"/>
            </w:r>
          </w:p>
        </w:tc>
      </w:tr>
      <w:t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2"/>
                <w:szCs w:val="22"/>
              </w:rPr>
              <w:t xml:space="preserve">14</w:t>
            </w:r>
          </w:p>
        </w:tc>
        <w:tc>
          <w:tcPr>
            <w:tcW w:type="dxa" w:w="57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Conclusion</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fldChar w:fldCharType="begin" w:dirty="true"/>
              <w:instrText xml:space="preserve">PAGEREF sec_14</w:instrText>
              <w:fldChar w:fldCharType="separate"/>
              <w:fldChar w:fldCharType="end"/>
            </w:r>
          </w:p>
        </w:tc>
      </w:tr>
      <w:t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2"/>
                <w:szCs w:val="22"/>
              </w:rPr>
              <w:t xml:space="preserve">15</w:t>
            </w:r>
          </w:p>
        </w:tc>
        <w:tc>
          <w:tcPr>
            <w:tcW w:type="dxa" w:w="57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2"/>
                <w:szCs w:val="22"/>
              </w:rPr>
              <w:t xml:space="preserve">References</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fldChar w:fldCharType="begin" w:dirty="true"/>
              <w:instrText xml:space="preserve">PAGEREF sec_15</w:instrText>
              <w:fldChar w:fldCharType="separate"/>
              <w:fldChar w:fldCharType="end"/>
            </w:r>
          </w:p>
        </w:tc>
      </w:tr>
    </w:tbl>
    <w:p>
      <w:pPr>
        <w:spacing w:after="80" w:before="240"/>
      </w:pPr>
      <w:r>
        <w:rPr>
          <w:rFonts w:ascii="Times New Roman" w:cs="Times New Roman" w:eastAsia="Times New Roman" w:hAnsi="Times New Roman"/>
          <w:b/>
          <w:bCs/>
          <w:sz w:val="24"/>
          <w:szCs w:val="24"/>
        </w:rPr>
        <w:t xml:space="preserve">List of figures and tables</w:t>
      </w:r>
    </w:p>
    <w:p>
      <w:pPr>
        <w:spacing w:line="276"/>
        <w:jc w:val="both"/>
      </w:pPr>
      <w:r>
        <w:rPr>
          <w:rFonts w:ascii="Times New Roman" w:cs="Times New Roman" w:eastAsia="Times New Roman" w:hAnsi="Times New Roman"/>
          <w:sz w:val="22"/>
          <w:szCs w:val="22"/>
        </w:rPr>
        <w:t xml:space="preserve">Figures and tables are numbered sequentially. Figure captions appear below the figure and table captions above the table, as required by the report template.</w:t>
      </w:r>
    </w:p>
    <w:p>
      <w:r>
        <w:br w:type="page"/>
      </w:r>
    </w:p>
    <w:p>
      <w:pPr>
        <w:pStyle w:val="Heading1"/>
        <w:keepNext/>
        <w:spacing w:after="160" w:before="360" w:line="360"/>
      </w:pPr>
      <w:bookmarkStart w:name="sec_1" w:id="1"/>
      <w:r>
        <w:rPr>
          <w:rFonts w:ascii="Times New Roman" w:cs="Times New Roman" w:eastAsia="Times New Roman" w:hAnsi="Times New Roman"/>
          <w:b/>
          <w:bCs/>
          <w:sz w:val="32"/>
          <w:szCs w:val="32"/>
        </w:rPr>
        <w:t xml:space="preserve">1. Introduction</w:t>
      </w:r>
      <w:bookmarkEnd w:id="1"/>
    </w:p>
    <w:p>
      <w:pPr>
        <w:pStyle w:val="Heading2"/>
        <w:keepNext/>
        <w:spacing w:after="120" w:before="240" w:line="360"/>
      </w:pPr>
      <w:r>
        <w:rPr>
          <w:rFonts w:ascii="Times New Roman" w:cs="Times New Roman" w:eastAsia="Times New Roman" w:hAnsi="Times New Roman"/>
          <w:b/>
          <w:bCs/>
          <w:sz w:val="28"/>
          <w:szCs w:val="28"/>
        </w:rPr>
        <w:t xml:space="preserve">1.1 Background</w:t>
      </w:r>
    </w:p>
    <w:p>
      <w:pPr>
        <w:spacing w:after="120" w:before="0" w:line="360"/>
        <w:jc w:val="both"/>
      </w:pPr>
      <w:r>
        <w:rPr>
          <w:rFonts w:ascii="Times New Roman" w:cs="Times New Roman" w:eastAsia="Times New Roman" w:hAnsi="Times New Roman"/>
          <w:sz w:val="24"/>
          <w:szCs w:val="24"/>
        </w:rPr>
        <w:t xml:space="preserve">Every animal sheds traces of its DNA into the water, soil and air around it through skin, mucus, faeces and gametes. Environmental DNA (eDNA) is the genetic material that can be collected from such samples without ever capturing the organism. A litre of seawater can be filtered, the captured DNA amplified with primers aimed at a short, informative gene region (a DNA barcode), and the resulting sequences compared with a library of reference barcodes to learn which species are present. For fishes, a widely used target is a hypervariable region of the mitochondrial 12S ribosomal RNA gene, amplified with the MiFish family of primers [1].</w:t>
      </w:r>
    </w:p>
    <w:p>
      <w:pPr>
        <w:pStyle w:val="Heading2"/>
        <w:keepNext/>
        <w:spacing w:after="120" w:before="240" w:line="360"/>
      </w:pPr>
      <w:r>
        <w:rPr>
          <w:rFonts w:ascii="Times New Roman" w:cs="Times New Roman" w:eastAsia="Times New Roman" w:hAnsi="Times New Roman"/>
          <w:b/>
          <w:bCs/>
          <w:sz w:val="28"/>
          <w:szCs w:val="28"/>
        </w:rPr>
        <w:t xml:space="preserve">1.2 Importance of the problem</w:t>
      </w:r>
    </w:p>
    <w:p>
      <w:pPr>
        <w:spacing w:after="120" w:before="0" w:line="360"/>
        <w:jc w:val="both"/>
      </w:pPr>
      <w:r>
        <w:rPr>
          <w:rFonts w:ascii="Times New Roman" w:cs="Times New Roman" w:eastAsia="Times New Roman" w:hAnsi="Times New Roman"/>
          <w:sz w:val="24"/>
          <w:szCs w:val="24"/>
        </w:rPr>
        <w:t xml:space="preserve">eDNA surveys allow fisheries managers, conservation agencies and ecologists to monitor biodiversity at a scale and frequency that trawling or visual surveys cannot match. They are used to detect rare or endangered species, to follow invasive species and to describe the composition of marine communities [10]. The reliability of these surveys rests on a single step: assigning a taxonomic name to each DNA sequence.</w:t>
      </w:r>
    </w:p>
    <w:p>
      <w:pPr>
        <w:pStyle w:val="Heading2"/>
        <w:keepNext/>
        <w:spacing w:after="120" w:before="240" w:line="360"/>
      </w:pPr>
      <w:r>
        <w:rPr>
          <w:rFonts w:ascii="Times New Roman" w:cs="Times New Roman" w:eastAsia="Times New Roman" w:hAnsi="Times New Roman"/>
          <w:b/>
          <w:bCs/>
          <w:sz w:val="28"/>
          <w:szCs w:val="28"/>
        </w:rPr>
        <w:t xml:space="preserve">1.3 Existing challenges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Incomplete reference libraries. </w:t>
      </w:r>
      <w:r>
        <w:rPr>
          <w:rFonts w:ascii="Times New Roman" w:cs="Times New Roman" w:eastAsia="Times New Roman" w:hAnsi="Times New Roman"/>
          <w:sz w:val="24"/>
          <w:szCs w:val="24"/>
        </w:rPr>
        <w:t xml:space="preserve">No reference library covers every species. A sequence from a species that is missing from the library still has a closest match, and a naive pipeline reports that match as if it were an identification.</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Closed-set classifiers over-claim. </w:t>
      </w:r>
      <w:r>
        <w:rPr>
          <w:rFonts w:ascii="Times New Roman" w:cs="Times New Roman" w:eastAsia="Times New Roman" w:hAnsi="Times New Roman"/>
          <w:sz w:val="24"/>
          <w:szCs w:val="24"/>
        </w:rPr>
        <w:t xml:space="preserve">A supervised classifier must output one of the labels it was trained on. Its probabilities sum to one over the known labels, so an unfamiliar sequence can receive a confident but wrong species name.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Very few examples per species. </w:t>
      </w:r>
      <w:r>
        <w:rPr>
          <w:rFonts w:ascii="Times New Roman" w:cs="Times New Roman" w:eastAsia="Times New Roman" w:hAnsi="Times New Roman"/>
          <w:sz w:val="24"/>
          <w:szCs w:val="24"/>
        </w:rPr>
        <w:t xml:space="preserve">Reference libraries usually hold one or two barcodes per species. This makes species-level machine learning and its honest evaluation difficult.</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Repeated records inflate scores. </w:t>
      </w:r>
      <w:r>
        <w:rPr>
          <w:rFonts w:ascii="Times New Roman" w:cs="Times New Roman" w:eastAsia="Times New Roman" w:hAnsi="Times New Roman"/>
          <w:sz w:val="24"/>
          <w:szCs w:val="24"/>
        </w:rPr>
        <w:t xml:space="preserve">Survey tables repeat each unique sequence across samples and primer replicates. Splitting such rows at random puts identical sequences in both the training and test sets and produces misleadingly high accuracy.</w:t>
      </w:r>
    </w:p>
    <w:p>
      <w:pPr>
        <w:pStyle w:val="Heading2"/>
        <w:keepNext/>
        <w:spacing w:after="120" w:before="240" w:line="360"/>
      </w:pPr>
      <w:r>
        <w:rPr>
          <w:rFonts w:ascii="Times New Roman" w:cs="Times New Roman" w:eastAsia="Times New Roman" w:hAnsi="Times New Roman"/>
          <w:b/>
          <w:bCs/>
          <w:sz w:val="28"/>
          <w:szCs w:val="28"/>
        </w:rPr>
        <w:t xml:space="preserve">1.4 Role of AI/ML and the proposed solution</w:t>
      </w:r>
    </w:p>
    <w:p>
      <w:pPr>
        <w:spacing w:after="120" w:before="0" w:line="360"/>
        <w:jc w:val="both"/>
      </w:pPr>
      <w:r>
        <w:rPr>
          <w:rFonts w:ascii="Times New Roman" w:cs="Times New Roman" w:eastAsia="Times New Roman" w:hAnsi="Times New Roman"/>
          <w:sz w:val="24"/>
          <w:szCs w:val="24"/>
        </w:rPr>
        <w:t xml:space="preserve">This project presents BioScan, a reference-aware identification system for fish 12S barcodes. Instead of asking only “which label is most likely?”, BioScan also asks “is this sequence actually supported by the reference library?”. It combines three kinds of evidence: (i) hierarchical machine-learning classifiers that predict the taxonomy at class, order, family, genus and species level from k-mer features; (ii) an exact edit-distance search against the reference barcodes; and (iii) a Distance Veto, a rule that declares a sequence out-of-reference when its nearest reference is too far away, whatever the classifier says. A Streamlit dashboard presents the result, the evidence and the measured reliability of the method.</w:t>
      </w:r>
    </w:p>
    <w:p>
      <w:pPr>
        <w:pStyle w:val="Heading2"/>
        <w:keepNext/>
        <w:spacing w:after="120" w:before="240" w:line="360"/>
      </w:pPr>
      <w:r>
        <w:rPr>
          <w:rFonts w:ascii="Times New Roman" w:cs="Times New Roman" w:eastAsia="Times New Roman" w:hAnsi="Times New Roman"/>
          <w:b/>
          <w:bCs/>
          <w:sz w:val="28"/>
          <w:szCs w:val="28"/>
        </w:rPr>
        <w:t xml:space="preserve">1.5 Expected outcome</w:t>
      </w:r>
    </w:p>
    <w:p>
      <w:pPr>
        <w:spacing w:after="120" w:before="0" w:line="360"/>
        <w:jc w:val="both"/>
      </w:pPr>
      <w:r>
        <w:rPr>
          <w:rFonts w:ascii="Times New Roman" w:cs="Times New Roman" w:eastAsia="Times New Roman" w:hAnsi="Times New Roman"/>
          <w:sz w:val="24"/>
          <w:szCs w:val="24"/>
        </w:rPr>
        <w:t xml:space="preserve">The expected outcome is a working, tested system that (a) names a taxon only as deep as the evidence supports, (b) refuses to name sequences that fall outside its library, (c) reports its own accuracy using leakage-free, held-out evaluation, and (d) clearly states what the small reference library cannot support, in particular species-level generalisation.</w:t>
      </w:r>
    </w:p>
    <w:p>
      <w:pPr>
        <w:pStyle w:val="Heading1"/>
        <w:keepNext/>
        <w:spacing w:after="160" w:before="360" w:line="360"/>
      </w:pPr>
      <w:bookmarkStart w:name="sec_2" w:id="2"/>
      <w:r>
        <w:rPr>
          <w:rFonts w:ascii="Times New Roman" w:cs="Times New Roman" w:eastAsia="Times New Roman" w:hAnsi="Times New Roman"/>
          <w:b/>
          <w:bCs/>
          <w:sz w:val="32"/>
          <w:szCs w:val="32"/>
        </w:rPr>
        <w:t xml:space="preserve">2. Motivation</w:t>
      </w:r>
      <w:bookmarkEnd w:id="2"/>
    </w:p>
    <w:p>
      <w:pPr>
        <w:spacing w:after="120" w:before="0" w:line="360"/>
        <w:jc w:val="both"/>
      </w:pPr>
      <w:r>
        <w:rPr>
          <w:rFonts w:ascii="Times New Roman" w:cs="Times New Roman" w:eastAsia="Times New Roman" w:hAnsi="Times New Roman"/>
          <w:sz w:val="24"/>
          <w:szCs w:val="24"/>
        </w:rPr>
        <w:t xml:space="preserve">The project was chosen because misidentification in eDNA studies has practical consequences. A wrongly reported species can trigger an invasive-species alarm, hide the presence of a protected species or distort a diversity estimate. The most common failure is not that a classifier is inaccurate on species it knows, but that it is silently overconfident on species it has never seen.</w:t>
      </w:r>
    </w:p>
    <w:p>
      <w:pPr>
        <w:spacing w:after="120" w:before="0" w:line="360"/>
        <w:jc w:val="both"/>
      </w:pPr>
      <w:r>
        <w:rPr>
          <w:rFonts w:ascii="Times New Roman" w:cs="Times New Roman" w:eastAsia="Times New Roman" w:hAnsi="Times New Roman"/>
          <w:sz w:val="24"/>
          <w:szCs w:val="24"/>
        </w:rPr>
        <w:t xml:space="preserve">Existing approaches leave a gap. A BLAST search [2] returns a best hit but leaves the decision of how similar is similar enough to the analyst. A trained classifier [3] returns a label and a score, but the score is relative to the known classes only. A single accuracy figure computed on duplicated rows hides how little independent data there is. An automated, transparent system that combines both kinds of evidence, abstains when evidence is weak and reports honest evaluation addresses all three problems.</w:t>
      </w:r>
    </w:p>
    <w:p>
      <w:pPr>
        <w:spacing w:after="120" w:before="0" w:line="360"/>
        <w:jc w:val="both"/>
      </w:pPr>
      <w:r>
        <w:rPr>
          <w:rFonts w:ascii="Times New Roman" w:cs="Times New Roman" w:eastAsia="Times New Roman" w:hAnsi="Times New Roman"/>
          <w:sz w:val="24"/>
          <w:szCs w:val="24"/>
        </w:rPr>
        <w:t xml:space="preserve">Expected benefits are: (i) fewer silent misidentifications; (ii) a clear, graded answer (species, family, order, or none) instead of a forced species name; (iii) fast batch screening of many sequences from a FASTA file; and (iv) a documented evaluation that others can reproduce. Classical machine-learning models (k-nearest neighbours, random forest, gradient boosting) were selected because the dataset is small and tabular, where they are appropriate and fast, and because an edit-distance search is exact and interpretable at this library size.</w:t>
      </w:r>
    </w:p>
    <w:p>
      <w:pPr>
        <w:pStyle w:val="Heading1"/>
        <w:keepNext/>
        <w:spacing w:after="160" w:before="360" w:line="360"/>
      </w:pPr>
      <w:bookmarkStart w:name="sec_3" w:id="3"/>
      <w:r>
        <w:rPr>
          <w:rFonts w:ascii="Times New Roman" w:cs="Times New Roman" w:eastAsia="Times New Roman" w:hAnsi="Times New Roman"/>
          <w:b/>
          <w:bCs/>
          <w:sz w:val="32"/>
          <w:szCs w:val="32"/>
        </w:rPr>
        <w:t xml:space="preserve">3. Literature Survey</w:t>
      </w:r>
      <w:bookmarkEnd w:id="3"/>
    </w:p>
    <w:p>
      <w:pPr>
        <w:spacing w:after="120" w:before="0" w:line="360"/>
        <w:jc w:val="both"/>
      </w:pPr>
      <w:r>
        <w:rPr>
          <w:rFonts w:ascii="Times New Roman" w:cs="Times New Roman" w:eastAsia="Times New Roman" w:hAnsi="Times New Roman"/>
          <w:sz w:val="24"/>
          <w:szCs w:val="24"/>
        </w:rPr>
        <w:t xml:space="preserve">The literature relevant to BioScan covers three areas: the laboratory marker used for fish eDNA, computational methods for assigning taxonomy to sequences, and methods that recognise inputs from classes that were never seen in training. Table 1 summarises five representative works. Curated reference libraries such as the Barcode of Life Data System [5] and NCBI GenBank provide the sequences against which all of these methods compare.</w:t>
      </w:r>
    </w:p>
    <w:p>
      <w:pPr>
        <w:keepNext/>
        <w:spacing w:after="80" w:before="160" w:line="276"/>
        <w:jc w:val="center"/>
      </w:pPr>
      <w:r>
        <w:rPr>
          <w:rFonts w:ascii="Times New Roman" w:cs="Times New Roman" w:eastAsia="Times New Roman" w:hAnsi="Times New Roman"/>
          <w:b/>
          <w:bCs/>
          <w:sz w:val="22"/>
          <w:szCs w:val="22"/>
        </w:rPr>
        <w:t xml:space="preserve">Table 1. </w:t>
      </w:r>
      <w:r>
        <w:rPr>
          <w:rFonts w:ascii="Times New Roman" w:cs="Times New Roman" w:eastAsia="Times New Roman" w:hAnsi="Times New Roman"/>
          <w:sz w:val="22"/>
          <w:szCs w:val="22"/>
        </w:rPr>
        <w:t xml:space="preserve">Literature survey of related work</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420"/>
        <w:gridCol w:w="1100"/>
        <w:gridCol w:w="560"/>
        <w:gridCol w:w="1500"/>
        <w:gridCol w:w="1300"/>
        <w:gridCol w:w="1450"/>
        <w:gridCol w:w="1496"/>
        <w:gridCol w:w="1200"/>
      </w:tblGrid>
      <w:tr>
        <w:trPr>
          <w:cantSplit/>
          <w:tblHeader/>
        </w:trPr>
        <w:tc>
          <w:tcPr>
            <w:tcW w:type="dxa" w:w="420"/>
            <w:tcBorders>
              <w:top w:val="single" w:color="808080" w:sz="4"/>
              <w:left w:val="single" w:color="808080" w:sz="4"/>
              <w:bottom w:val="single" w:color="808080" w:sz="4"/>
              <w:right w:val="single" w:color="808080" w:sz="4"/>
            </w:tcBorders>
            <w:shd w:fill="D9E8F5"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0"/>
                <w:szCs w:val="20"/>
              </w:rPr>
              <w:t xml:space="preserve">Sr. No.</w:t>
            </w:r>
          </w:p>
        </w:tc>
        <w:tc>
          <w:tcPr>
            <w:tcW w:type="dxa" w:w="1100"/>
            <w:tcBorders>
              <w:top w:val="single" w:color="808080" w:sz="4"/>
              <w:left w:val="single" w:color="808080" w:sz="4"/>
              <w:bottom w:val="single" w:color="808080" w:sz="4"/>
              <w:right w:val="single" w:color="808080" w:sz="4"/>
            </w:tcBorders>
            <w:shd w:fill="D9E8F5"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0"/>
                <w:szCs w:val="20"/>
              </w:rPr>
              <w:t xml:space="preserve">Author(s)</w:t>
            </w:r>
          </w:p>
        </w:tc>
        <w:tc>
          <w:tcPr>
            <w:tcW w:type="dxa" w:w="560"/>
            <w:tcBorders>
              <w:top w:val="single" w:color="808080" w:sz="4"/>
              <w:left w:val="single" w:color="808080" w:sz="4"/>
              <w:bottom w:val="single" w:color="808080" w:sz="4"/>
              <w:right w:val="single" w:color="808080" w:sz="4"/>
            </w:tcBorders>
            <w:shd w:fill="D9E8F5"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0"/>
                <w:szCs w:val="20"/>
              </w:rPr>
              <w:t xml:space="preserve">Year</w:t>
            </w:r>
          </w:p>
        </w:tc>
        <w:tc>
          <w:tcPr>
            <w:tcW w:type="dxa" w:w="1500"/>
            <w:tcBorders>
              <w:top w:val="single" w:color="808080" w:sz="4"/>
              <w:left w:val="single" w:color="808080" w:sz="4"/>
              <w:bottom w:val="single" w:color="808080" w:sz="4"/>
              <w:right w:val="single" w:color="808080" w:sz="4"/>
            </w:tcBorders>
            <w:shd w:fill="D9E8F5"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0"/>
                <w:szCs w:val="20"/>
              </w:rPr>
              <w:t xml:space="preserve">Title / Method</w:t>
            </w:r>
          </w:p>
        </w:tc>
        <w:tc>
          <w:tcPr>
            <w:tcW w:type="dxa" w:w="1300"/>
            <w:tcBorders>
              <w:top w:val="single" w:color="808080" w:sz="4"/>
              <w:left w:val="single" w:color="808080" w:sz="4"/>
              <w:bottom w:val="single" w:color="808080" w:sz="4"/>
              <w:right w:val="single" w:color="808080" w:sz="4"/>
            </w:tcBorders>
            <w:shd w:fill="D9E8F5"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0"/>
                <w:szCs w:val="20"/>
              </w:rPr>
              <w:t xml:space="preserve">Dataset</w:t>
            </w:r>
          </w:p>
        </w:tc>
        <w:tc>
          <w:tcPr>
            <w:tcW w:type="dxa" w:w="1450"/>
            <w:tcBorders>
              <w:top w:val="single" w:color="808080" w:sz="4"/>
              <w:left w:val="single" w:color="808080" w:sz="4"/>
              <w:bottom w:val="single" w:color="808080" w:sz="4"/>
              <w:right w:val="single" w:color="808080" w:sz="4"/>
            </w:tcBorders>
            <w:shd w:fill="D9E8F5"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0"/>
                <w:szCs w:val="20"/>
              </w:rPr>
              <w:t xml:space="preserve">Technique Used</w:t>
            </w:r>
          </w:p>
        </w:tc>
        <w:tc>
          <w:tcPr>
            <w:tcW w:type="dxa" w:w="1496"/>
            <w:tcBorders>
              <w:top w:val="single" w:color="808080" w:sz="4"/>
              <w:left w:val="single" w:color="808080" w:sz="4"/>
              <w:bottom w:val="single" w:color="808080" w:sz="4"/>
              <w:right w:val="single" w:color="808080" w:sz="4"/>
            </w:tcBorders>
            <w:shd w:fill="D9E8F5"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0"/>
                <w:szCs w:val="20"/>
              </w:rPr>
              <w:t xml:space="preserve">Major Findings</w:t>
            </w:r>
          </w:p>
        </w:tc>
        <w:tc>
          <w:tcPr>
            <w:tcW w:type="dxa" w:w="1200"/>
            <w:tcBorders>
              <w:top w:val="single" w:color="808080" w:sz="4"/>
              <w:left w:val="single" w:color="808080" w:sz="4"/>
              <w:bottom w:val="single" w:color="808080" w:sz="4"/>
              <w:right w:val="single" w:color="808080" w:sz="4"/>
            </w:tcBorders>
            <w:shd w:fill="D9E8F5"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0"/>
                <w:szCs w:val="20"/>
              </w:rPr>
              <w:t xml:space="preserve">Limitation</w:t>
            </w:r>
          </w:p>
        </w:tc>
      </w:tr>
      <w:tr>
        <w:trPr>
          <w:cantSplit/>
        </w:trPr>
        <w:tc>
          <w:tcPr>
            <w:tcW w:type="dxa" w:w="4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1</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M. Miya et al. [1]</w:t>
            </w:r>
          </w:p>
        </w:tc>
        <w:tc>
          <w:tcPr>
            <w:tcW w:type="dxa" w:w="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2015</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MiFish universal primers for fish eDNA metabarcoding</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Fish mitochondrial genomes and field water samples</w:t>
            </w:r>
          </w:p>
        </w:tc>
        <w:tc>
          <w:tcPr>
            <w:tcW w:type="dxa" w:w="14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PCR primer design on 12S rRNA, high-throughput sequencing, database matching</w:t>
            </w:r>
          </w:p>
        </w:tc>
        <w:tc>
          <w:tcPr>
            <w:tcW w:type="dxa" w:w="14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A short 12S region can be amplified across diverse fishes and detects hundreds of species in water samples</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Identification depends on the reference database; species absent from it cannot be named</w:t>
            </w:r>
          </w:p>
        </w:tc>
      </w:tr>
      <w:tr>
        <w:trPr>
          <w:cantSplit/>
        </w:trPr>
        <w:tc>
          <w:tcPr>
            <w:tcW w:type="dxa" w:w="4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2</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S. F. Altschul et al. [2]</w:t>
            </w:r>
          </w:p>
        </w:tc>
        <w:tc>
          <w:tcPr>
            <w:tcW w:type="dxa" w:w="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1990</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BLAST: Basic Local Alignment Search Tool</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General nucleotide and protein databases</w:t>
            </w:r>
          </w:p>
        </w:tc>
        <w:tc>
          <w:tcPr>
            <w:tcW w:type="dxa" w:w="14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Heuristic local alignment with statistical scoring</w:t>
            </w:r>
          </w:p>
        </w:tc>
        <w:tc>
          <w:tcPr>
            <w:tcW w:type="dxa" w:w="14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Fast, sensitive similarity search that became the standard for sequence identification</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Reports a best hit even when the true taxon is absent; thresholds are left to the user</w:t>
            </w:r>
          </w:p>
        </w:tc>
      </w:tr>
      <w:tr>
        <w:trPr>
          <w:cantSplit/>
        </w:trPr>
        <w:tc>
          <w:tcPr>
            <w:tcW w:type="dxa" w:w="4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3</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Q. Wang et al. [3]</w:t>
            </w:r>
          </w:p>
        </w:tc>
        <w:tc>
          <w:tcPr>
            <w:tcW w:type="dxa" w:w="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2007</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Naïve Bayesian classifier for rRNA taxonomy (RDP)</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16S rRNA sequences with curated taxonomy</w:t>
            </w:r>
          </w:p>
        </w:tc>
        <w:tc>
          <w:tcPr>
            <w:tcW w:type="dxa" w:w="14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Naive Bayes on 8-mer words with bootstrap confidence</w:t>
            </w:r>
          </w:p>
        </w:tc>
        <w:tc>
          <w:tcPr>
            <w:tcW w:type="dxa" w:w="14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Fast, accurate assignment to genus level with a confidence estimate</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Designed for bacterial 16S; assigns only within its training taxonomy</w:t>
            </w:r>
          </w:p>
        </w:tc>
      </w:tr>
      <w:tr>
        <w:trPr>
          <w:cantSplit/>
        </w:trPr>
        <w:tc>
          <w:tcPr>
            <w:tcW w:type="dxa" w:w="4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4</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B. J. Callahan et al. [4]</w:t>
            </w:r>
          </w:p>
        </w:tc>
        <w:tc>
          <w:tcPr>
            <w:tcW w:type="dxa" w:w="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2016</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DADA2: sample inference from Illumina amplicon data</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Mock and environmental amplicon datasets</w:t>
            </w:r>
          </w:p>
        </w:tc>
        <w:tc>
          <w:tcPr>
            <w:tcW w:type="dxa" w:w="14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Error model and denoising to exact amplicon sequence variants</w:t>
            </w:r>
          </w:p>
        </w:tc>
        <w:tc>
          <w:tcPr>
            <w:tcW w:type="dxa" w:w="14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Resolves single-base differences and reduces spurious sequences</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Pre-processing only; does not decide whether a taxon is in the library</w:t>
            </w:r>
          </w:p>
        </w:tc>
      </w:tr>
      <w:tr>
        <w:trPr>
          <w:cantSplit/>
        </w:trPr>
        <w:tc>
          <w:tcPr>
            <w:tcW w:type="dxa" w:w="4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5</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W. J. Scheirer et al. [11]</w:t>
            </w:r>
          </w:p>
        </w:tc>
        <w:tc>
          <w:tcPr>
            <w:tcW w:type="dxa" w:w="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2013</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Toward open set recognition</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Computer-vision benchmark datasets</w:t>
            </w:r>
          </w:p>
        </w:tc>
        <w:tc>
          <w:tcPr>
            <w:tcW w:type="dxa" w:w="14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Formalises open-space risk; one-vs-set machine</w:t>
            </w:r>
          </w:p>
        </w:tc>
        <w:tc>
          <w:tcPr>
            <w:tcW w:type="dxa" w:w="14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A recogniser should reject inputs from classes unseen in training</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Studied mainly on image data, not biological sequences</w:t>
            </w:r>
          </w:p>
        </w:tc>
      </w:tr>
    </w:tbl>
    <w:p>
      <w:pPr>
        <w:spacing w:after="160"/>
      </w:pPr>
    </w:p>
    <w:p>
      <w:pPr>
        <w:spacing w:after="120" w:before="0" w:line="360"/>
        <w:jc w:val="both"/>
      </w:pPr>
      <w:r>
        <w:rPr>
          <w:rFonts w:ascii="Times New Roman" w:cs="Times New Roman" w:eastAsia="Times New Roman" w:hAnsi="Times New Roman"/>
          <w:sz w:val="24"/>
          <w:szCs w:val="24"/>
        </w:rPr>
        <w:t xml:space="preserve">Commonly used techniques. Alignment-based search [2] is exact and widely trusted but delivers a similarity score and not a decision. k-mer composition classifiers [3] are fast and give a bootstrap confidence but are closed-set. Denoising tools [4] improve the input but do not address coverage. Open-set recognition [11], [12] provides the right conceptual framework, in which a system must reject what it has not seen, but it has seen little use in barcode identification.</w:t>
      </w:r>
    </w:p>
    <w:p>
      <w:pPr>
        <w:spacing w:after="120" w:before="0" w:line="360"/>
        <w:jc w:val="both"/>
      </w:pPr>
      <w:r>
        <w:rPr>
          <w:rFonts w:ascii="Times New Roman" w:cs="Times New Roman" w:eastAsia="Times New Roman" w:hAnsi="Times New Roman"/>
          <w:sz w:val="24"/>
          <w:szCs w:val="24"/>
        </w:rPr>
        <w:t xml:space="preserve">Identified gap. To our knowledge, no commonly used barcode pipeline couples hierarchical learning with an explicit, evaluated rejection rule and reports its performance on held-out, de-duplicated data with the limits of the library stated. BioScan addresses this gap with a transparent distance-based veto, a rank-by-rank answer that stops where the evidence stops, and an evaluation that separates taxonomy accuracy from unknown-sequence detection.</w:t>
      </w:r>
    </w:p>
    <w:p>
      <w:pPr>
        <w:pStyle w:val="Heading1"/>
        <w:keepNext/>
        <w:spacing w:after="160" w:before="360" w:line="360"/>
      </w:pPr>
      <w:bookmarkStart w:name="sec_4" w:id="4"/>
      <w:r>
        <w:rPr>
          <w:rFonts w:ascii="Times New Roman" w:cs="Times New Roman" w:eastAsia="Times New Roman" w:hAnsi="Times New Roman"/>
          <w:b/>
          <w:bCs/>
          <w:sz w:val="32"/>
          <w:szCs w:val="32"/>
        </w:rPr>
        <w:t xml:space="preserve">4. Dataset Used</w:t>
      </w:r>
      <w:bookmarkEnd w:id="4"/>
    </w:p>
    <w:p>
      <w:pPr>
        <w:pStyle w:val="Heading2"/>
        <w:keepNext/>
        <w:spacing w:after="120" w:before="240" w:line="360"/>
      </w:pPr>
      <w:r>
        <w:rPr>
          <w:rFonts w:ascii="Times New Roman" w:cs="Times New Roman" w:eastAsia="Times New Roman" w:hAnsi="Times New Roman"/>
          <w:b/>
          <w:bCs/>
          <w:sz w:val="28"/>
          <w:szCs w:val="28"/>
        </w:rPr>
        <w:t xml:space="preserve">4.1 Source and size</w:t>
      </w:r>
    </w:p>
    <w:p>
      <w:pPr>
        <w:spacing w:after="120" w:before="0" w:line="360"/>
        <w:jc w:val="both"/>
      </w:pPr>
      <w:r>
        <w:rPr>
          <w:rFonts w:ascii="Times New Roman" w:cs="Times New Roman" w:eastAsia="Times New Roman" w:hAnsi="Times New Roman"/>
          <w:sz w:val="24"/>
          <w:szCs w:val="24"/>
        </w:rPr>
        <w:t xml:space="preserve">The data come from the 2019 New Jersey Bureau of Marine Fisheries Ocean Trawl eDNA survey, deposited in the NCBI BioProject PRJNA638560 [15]. The raw table (hackathon_dna_taxonomy_merged.csv) contains 13,736 rows and 59 columns. The marker is the mitochondrial 12S rRNA V5 region amplified with MiFish-style primers. The SHA-256 checksum of the raw file was recorded and re-verified after processing to show that it was never modified.</w:t>
      </w:r>
    </w:p>
    <w:p>
      <w:pPr>
        <w:pStyle w:val="Heading2"/>
        <w:keepNext/>
        <w:spacing w:after="120" w:before="240" w:line="360"/>
      </w:pPr>
      <w:r>
        <w:rPr>
          <w:rFonts w:ascii="Times New Roman" w:cs="Times New Roman" w:eastAsia="Times New Roman" w:hAnsi="Times New Roman"/>
          <w:b/>
          <w:bCs/>
          <w:sz w:val="28"/>
          <w:szCs w:val="28"/>
        </w:rPr>
        <w:t xml:space="preserve">4.2 Duplicate structure</w:t>
      </w:r>
    </w:p>
    <w:p>
      <w:pPr>
        <w:spacing w:after="120" w:before="0" w:line="360"/>
        <w:jc w:val="both"/>
      </w:pPr>
      <w:r>
        <w:rPr>
          <w:rFonts w:ascii="Times New Roman" w:cs="Times New Roman" w:eastAsia="Times New Roman" w:hAnsi="Times New Roman"/>
          <w:sz w:val="24"/>
          <w:szCs w:val="24"/>
        </w:rPr>
        <w:t xml:space="preserve">The 13,736 rows are not independent examples. They contain only 101 unique DNA sequences, each repeated exactly 136 times (101 sequences × 68 sampling events × 2 primer replicates). Treating the rows as independent would place the same sequence in training and test data, so all modelling and evaluation use the 101 unique sequences, and the repeated rows are used only to build occurrence records for the survey map.</w:t>
      </w:r>
    </w:p>
    <w:p>
      <w:pPr>
        <w:keepNext/>
        <w:spacing w:after="40" w:before="120"/>
        <w:jc w:val="center"/>
      </w:pPr>
      <w:r>
        <w:drawing>
          <wp:inline distT="0" distB="0" distL="0" distR="0">
            <wp:extent cx="4752975" cy="2971800"/>
            <wp:effectExtent t="0" r="0" b="0" l="0"/>
            <wp:docPr id="1" name="fig_species_support.png" descr="Raw rows per species: each sequence is repeated 136 times, so the raw table holds only 101 independent barcode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52975" cy="2971800"/>
                    </a:xfrm>
                    <a:prstGeom prst="rect">
                      <a:avLst/>
                    </a:prstGeom>
                  </pic:spPr>
                </pic:pic>
              </a:graphicData>
            </a:graphic>
          </wp:inline>
        </w:drawing>
      </w:r>
    </w:p>
    <w:p>
      <w:pPr>
        <w:keepNext w:val="false"/>
        <w:spacing w:after="200" w:before="60" w:line="276"/>
        <w:jc w:val="center"/>
      </w:pPr>
      <w:r>
        <w:rPr>
          <w:rFonts w:ascii="Times New Roman" w:cs="Times New Roman" w:eastAsia="Times New Roman" w:hAnsi="Times New Roman"/>
          <w:b/>
          <w:bCs/>
          <w:sz w:val="22"/>
          <w:szCs w:val="22"/>
        </w:rPr>
        <w:t xml:space="preserve">Figure 1. </w:t>
      </w:r>
      <w:r>
        <w:rPr>
          <w:rFonts w:ascii="Times New Roman" w:cs="Times New Roman" w:eastAsia="Times New Roman" w:hAnsi="Times New Roman"/>
          <w:sz w:val="22"/>
          <w:szCs w:val="22"/>
        </w:rPr>
        <w:t xml:space="preserve">Raw rows per species: each sequence is repeated 136 times, so the raw table holds only 101 independent barcodes.</w:t>
      </w:r>
    </w:p>
    <w:p>
      <w:pPr>
        <w:pStyle w:val="Heading2"/>
        <w:keepNext/>
        <w:spacing w:after="120" w:before="240" w:line="360"/>
      </w:pPr>
      <w:r>
        <w:rPr>
          <w:rFonts w:ascii="Times New Roman" w:cs="Times New Roman" w:eastAsia="Times New Roman" w:hAnsi="Times New Roman"/>
          <w:b/>
          <w:bCs/>
          <w:sz w:val="28"/>
          <w:szCs w:val="28"/>
        </w:rPr>
        <w:t xml:space="preserve">4.3 Reference library characteristics</w:t>
      </w:r>
    </w:p>
    <w:p>
      <w:pPr>
        <w:keepNext/>
        <w:spacing w:after="80" w:before="160" w:line="276"/>
        <w:jc w:val="center"/>
      </w:pPr>
      <w:r>
        <w:rPr>
          <w:rFonts w:ascii="Times New Roman" w:cs="Times New Roman" w:eastAsia="Times New Roman" w:hAnsi="Times New Roman"/>
          <w:b/>
          <w:bCs/>
          <w:sz w:val="22"/>
          <w:szCs w:val="22"/>
        </w:rPr>
        <w:t xml:space="preserve">Table 2. </w:t>
      </w:r>
      <w:r>
        <w:rPr>
          <w:rFonts w:ascii="Times New Roman" w:cs="Times New Roman" w:eastAsia="Times New Roman" w:hAnsi="Times New Roman"/>
          <w:sz w:val="22"/>
          <w:szCs w:val="22"/>
        </w:rPr>
        <w:t xml:space="preserve">Summary of the reference library</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cantSplit/>
          <w:tblHeader/>
        </w:trPr>
        <w:tc>
          <w:tcPr>
            <w:tcW w:type="dxa" w:w="3400"/>
            <w:tcBorders>
              <w:top w:val="single" w:color="808080" w:sz="4"/>
              <w:left w:val="single" w:color="808080" w:sz="4"/>
              <w:bottom w:val="single" w:color="808080" w:sz="4"/>
              <w:right w:val="single" w:color="808080" w:sz="4"/>
            </w:tcBorders>
            <w:shd w:fill="D9E8F5"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0"/>
                <w:szCs w:val="20"/>
              </w:rPr>
              <w:t xml:space="preserve">Property</w:t>
            </w:r>
          </w:p>
        </w:tc>
        <w:tc>
          <w:tcPr>
            <w:tcW w:type="dxa" w:w="5626"/>
            <w:tcBorders>
              <w:top w:val="single" w:color="808080" w:sz="4"/>
              <w:left w:val="single" w:color="808080" w:sz="4"/>
              <w:bottom w:val="single" w:color="808080" w:sz="4"/>
              <w:right w:val="single" w:color="808080" w:sz="4"/>
            </w:tcBorders>
            <w:shd w:fill="D9E8F5"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0"/>
                <w:szCs w:val="20"/>
              </w:rPr>
              <w:t xml:space="preserve">Value</w:t>
            </w:r>
          </w:p>
        </w:tc>
      </w:tr>
      <w:tr>
        <w:trPr>
          <w:cantSplit/>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Unique reference barcodes</w:t>
            </w:r>
          </w:p>
        </w:tc>
        <w:tc>
          <w:tcPr>
            <w:tcW w:type="dxa" w:w="5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101</w:t>
            </w:r>
          </w:p>
        </w:tc>
      </w:tr>
      <w:tr>
        <w:trPr>
          <w:cantSplit/>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Sequence length</w:t>
            </w:r>
          </w:p>
        </w:tc>
        <w:tc>
          <w:tcPr>
            <w:tcW w:type="dxa" w:w="5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87 to 112 bp (mean 105.7, median 106; 86.1% are 106 bp)</w:t>
            </w:r>
          </w:p>
        </w:tc>
      </w:tr>
      <w:tr>
        <w:trPr>
          <w:cantSplit/>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Alphabet</w:t>
            </w:r>
          </w:p>
        </w:tc>
        <w:tc>
          <w:tcPr>
            <w:tcW w:type="dxa" w:w="5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Only A, C, G, T (no ambiguity codes)</w:t>
            </w:r>
          </w:p>
        </w:tc>
      </w:tr>
      <w:tr>
        <w:trPr>
          <w:cantSplit/>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GC content</w:t>
            </w:r>
          </w:p>
        </w:tc>
        <w:tc>
          <w:tcPr>
            <w:tcW w:type="dxa" w:w="5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46.5% ± 2.6%</w:t>
            </w:r>
          </w:p>
        </w:tc>
      </w:tr>
      <w:tr>
        <w:trPr>
          <w:cantSplit/>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Taxonomy</w:t>
            </w:r>
          </w:p>
        </w:tc>
        <w:tc>
          <w:tcPr>
            <w:tcW w:type="dxa" w:w="5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4 classes, 30 orders, 66 families, 87 genera, 90 named species</w:t>
            </w:r>
          </w:p>
        </w:tc>
      </w:tr>
      <w:tr>
        <w:trPr>
          <w:cantSplit/>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Species labels</w:t>
            </w:r>
          </w:p>
        </w:tc>
        <w:tc>
          <w:tcPr>
            <w:tcW w:type="dxa" w:w="5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91 sequences labelled; 10 sequences lack a species name</w:t>
            </w:r>
          </w:p>
        </w:tc>
      </w:tr>
      <w:tr>
        <w:trPr>
          <w:cantSplit/>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Class balance</w:t>
            </w:r>
          </w:p>
        </w:tc>
        <w:tc>
          <w:tcPr>
            <w:tcW w:type="dxa" w:w="5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Teleostei 82, Elasmobranchii 17, Petromyzonti 1, Chondrostei 1</w:t>
            </w:r>
          </w:p>
        </w:tc>
      </w:tr>
      <w:tr>
        <w:trPr>
          <w:cantSplit/>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Singleton species</w:t>
            </w:r>
          </w:p>
        </w:tc>
        <w:tc>
          <w:tcPr>
            <w:tcW w:type="dxa" w:w="5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89 of 90 species have exactly one sequence</w:t>
            </w:r>
          </w:p>
        </w:tc>
      </w:tr>
      <w:tr>
        <w:trPr>
          <w:cantSplit/>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Survey metadata</w:t>
            </w:r>
          </w:p>
        </w:tc>
        <w:tc>
          <w:tcPr>
            <w:tcW w:type="dxa" w:w="5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36 stations, 1,604 de-duplicated occurrence records, 98 of 101 barcodes detected</w:t>
            </w:r>
          </w:p>
        </w:tc>
      </w:tr>
    </w:tbl>
    <w:p>
      <w:pPr>
        <w:spacing w:after="160"/>
      </w:pPr>
    </w:p>
    <w:p>
      <w:pPr>
        <w:keepNext/>
        <w:spacing w:after="40" w:before="120"/>
        <w:jc w:val="center"/>
      </w:pPr>
      <w:r>
        <w:drawing>
          <wp:inline distT="0" distB="0" distL="0" distR="0">
            <wp:extent cx="4572000" cy="2571750"/>
            <wp:effectExtent t="0" r="0" b="0" l="0"/>
            <wp:docPr id="2" name="fig_seqlen.png" descr="Distribution of reference sequence lengths (87 to 112 bp)."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571750"/>
                    </a:xfrm>
                    <a:prstGeom prst="rect">
                      <a:avLst/>
                    </a:prstGeom>
                  </pic:spPr>
                </pic:pic>
              </a:graphicData>
            </a:graphic>
          </wp:inline>
        </w:drawing>
      </w:r>
    </w:p>
    <w:p>
      <w:pPr>
        <w:keepNext w:val="false"/>
        <w:spacing w:after="200" w:before="60" w:line="276"/>
        <w:jc w:val="center"/>
      </w:pPr>
      <w:r>
        <w:rPr>
          <w:rFonts w:ascii="Times New Roman" w:cs="Times New Roman" w:eastAsia="Times New Roman" w:hAnsi="Times New Roman"/>
          <w:b/>
          <w:bCs/>
          <w:sz w:val="22"/>
          <w:szCs w:val="22"/>
        </w:rPr>
        <w:t xml:space="preserve">Figure 2. </w:t>
      </w:r>
      <w:r>
        <w:rPr>
          <w:rFonts w:ascii="Times New Roman" w:cs="Times New Roman" w:eastAsia="Times New Roman" w:hAnsi="Times New Roman"/>
          <w:sz w:val="22"/>
          <w:szCs w:val="22"/>
        </w:rPr>
        <w:t xml:space="preserve">Distribution of reference sequence lengths (87 to 112 bp).</w:t>
      </w:r>
    </w:p>
    <w:p>
      <w:pPr>
        <w:pStyle w:val="Heading2"/>
        <w:keepNext/>
        <w:spacing w:after="120" w:before="240" w:line="360"/>
      </w:pPr>
      <w:r>
        <w:rPr>
          <w:rFonts w:ascii="Times New Roman" w:cs="Times New Roman" w:eastAsia="Times New Roman" w:hAnsi="Times New Roman"/>
          <w:b/>
          <w:bCs/>
          <w:sz w:val="28"/>
          <w:szCs w:val="28"/>
        </w:rPr>
        <w:t xml:space="preserve">4.4 Feature description</w:t>
      </w:r>
    </w:p>
    <w:p>
      <w:pPr>
        <w:spacing w:after="120" w:before="0" w:line="360"/>
        <w:jc w:val="both"/>
      </w:pPr>
      <w:r>
        <w:rPr>
          <w:rFonts w:ascii="Times New Roman" w:cs="Times New Roman" w:eastAsia="Times New Roman" w:hAnsi="Times New Roman"/>
          <w:sz w:val="24"/>
          <w:szCs w:val="24"/>
        </w:rPr>
        <w:t xml:space="preserve">Machine-learning features were computed only from the nucleotide string. Station, date, depth, coordinates and read counts were excluded from the features to prevent leakage and are used only afterwards, for biodiversity context. There is no missing value in the sequence column.</w:t>
      </w:r>
    </w:p>
    <w:p>
      <w:pPr>
        <w:keepNext/>
        <w:spacing w:after="80" w:before="160" w:line="276"/>
        <w:jc w:val="center"/>
      </w:pPr>
      <w:r>
        <w:rPr>
          <w:rFonts w:ascii="Times New Roman" w:cs="Times New Roman" w:eastAsia="Times New Roman" w:hAnsi="Times New Roman"/>
          <w:b/>
          <w:bCs/>
          <w:sz w:val="22"/>
          <w:szCs w:val="22"/>
        </w:rPr>
        <w:t xml:space="preserve">Table 3. </w:t>
      </w:r>
      <w:r>
        <w:rPr>
          <w:rFonts w:ascii="Times New Roman" w:cs="Times New Roman" w:eastAsia="Times New Roman" w:hAnsi="Times New Roman"/>
          <w:sz w:val="22"/>
          <w:szCs w:val="22"/>
        </w:rPr>
        <w:t xml:space="preserve">Feature description</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4026"/>
        <w:gridCol w:w="1300"/>
      </w:tblGrid>
      <w:tr>
        <w:trPr>
          <w:cantSplit/>
          <w:tblHeader/>
        </w:trPr>
        <w:tc>
          <w:tcPr>
            <w:tcW w:type="dxa" w:w="2500"/>
            <w:tcBorders>
              <w:top w:val="single" w:color="808080" w:sz="4"/>
              <w:left w:val="single" w:color="808080" w:sz="4"/>
              <w:bottom w:val="single" w:color="808080" w:sz="4"/>
              <w:right w:val="single" w:color="808080" w:sz="4"/>
            </w:tcBorders>
            <w:shd w:fill="D9E8F5"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0"/>
                <w:szCs w:val="20"/>
              </w:rPr>
              <w:t xml:space="preserve">Feature</w:t>
            </w:r>
          </w:p>
        </w:tc>
        <w:tc>
          <w:tcPr>
            <w:tcW w:type="dxa" w:w="1200"/>
            <w:tcBorders>
              <w:top w:val="single" w:color="808080" w:sz="4"/>
              <w:left w:val="single" w:color="808080" w:sz="4"/>
              <w:bottom w:val="single" w:color="808080" w:sz="4"/>
              <w:right w:val="single" w:color="808080" w:sz="4"/>
            </w:tcBorders>
            <w:shd w:fill="D9E8F5"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0"/>
                <w:szCs w:val="20"/>
              </w:rPr>
              <w:t xml:space="preserve">Data Type</w:t>
            </w:r>
          </w:p>
        </w:tc>
        <w:tc>
          <w:tcPr>
            <w:tcW w:type="dxa" w:w="4026"/>
            <w:tcBorders>
              <w:top w:val="single" w:color="808080" w:sz="4"/>
              <w:left w:val="single" w:color="808080" w:sz="4"/>
              <w:bottom w:val="single" w:color="808080" w:sz="4"/>
              <w:right w:val="single" w:color="808080" w:sz="4"/>
            </w:tcBorders>
            <w:shd w:fill="D9E8F5"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0"/>
                <w:szCs w:val="20"/>
              </w:rPr>
              <w:t xml:space="preserve">Description</w:t>
            </w:r>
          </w:p>
        </w:tc>
        <w:tc>
          <w:tcPr>
            <w:tcW w:type="dxa" w:w="1300"/>
            <w:tcBorders>
              <w:top w:val="single" w:color="808080" w:sz="4"/>
              <w:left w:val="single" w:color="808080" w:sz="4"/>
              <w:bottom w:val="single" w:color="808080" w:sz="4"/>
              <w:right w:val="single" w:color="808080" w:sz="4"/>
            </w:tcBorders>
            <w:shd w:fill="D9E8F5"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0"/>
                <w:szCs w:val="20"/>
              </w:rPr>
              <w:t xml:space="preserve">Role</w:t>
            </w:r>
          </w:p>
        </w:tc>
      </w:tr>
      <w:tr>
        <w:trPr>
          <w:cantSplit/>
        </w:trPr>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sequence_length</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Integer</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Length of the amplicon in base pairs</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Input</w:t>
            </w:r>
          </w:p>
        </w:tc>
      </w:tr>
      <w:tr>
        <w:trPr>
          <w:cantSplit/>
        </w:trPr>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A/C/G/T count</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Integer</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Number of each nucleotide</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Input</w:t>
            </w:r>
          </w:p>
        </w:tc>
      </w:tr>
      <w:tr>
        <w:trPr>
          <w:cantSplit/>
        </w:trPr>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A/C/G/T frequency</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Float</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Count divided by length</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Input</w:t>
            </w:r>
          </w:p>
        </w:tc>
      </w:tr>
      <w:tr>
        <w:trPr>
          <w:cantSplit/>
        </w:trPr>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GC_content, AT_content</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Float</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Fraction of G+C and of A+T bases</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Input</w:t>
            </w:r>
          </w:p>
        </w:tc>
      </w:tr>
      <w:tr>
        <w:trPr>
          <w:cantSplit/>
        </w:trPr>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unique_base / k2 / k3 count</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Integer</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Number of distinct bases, dinucleotides and trinucleotides observed</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Input</w:t>
            </w:r>
          </w:p>
        </w:tc>
      </w:tr>
      <w:tr>
        <w:trPr>
          <w:cantSplit/>
        </w:trPr>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shannon_entropy</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Float</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Shannon information entropy [14] of the base composition (bits)</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Input</w:t>
            </w:r>
          </w:p>
        </w:tc>
      </w:tr>
      <w:tr>
        <w:trPr>
          <w:cantSplit/>
        </w:trPr>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max / min base frequency</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Float</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Frequency of the most and least frequent base</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Input</w:t>
            </w:r>
          </w:p>
        </w:tc>
      </w:tr>
      <w:tr>
        <w:trPr>
          <w:cantSplit/>
        </w:trPr>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k-mer frequencies (k = 2, 3)</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Float</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16 dinucleotide and 64 trinucleotide relative frequencies</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Input</w:t>
            </w:r>
          </w:p>
        </w:tc>
      </w:tr>
      <w:tr>
        <w:trPr>
          <w:cantSplit/>
        </w:trPr>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class, order, family, genus, species</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Categorical</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Taxonomic labels of the reference barcode</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Target</w:t>
            </w:r>
          </w:p>
        </w:tc>
      </w:tr>
    </w:tbl>
    <w:p>
      <w:pPr>
        <w:spacing w:after="160"/>
      </w:pPr>
    </w:p>
    <w:p>
      <w:pPr>
        <w:pStyle w:val="Heading2"/>
        <w:keepNext/>
        <w:spacing w:after="120" w:before="240" w:line="360"/>
      </w:pPr>
      <w:r>
        <w:rPr>
          <w:rFonts w:ascii="Times New Roman" w:cs="Times New Roman" w:eastAsia="Times New Roman" w:hAnsi="Times New Roman"/>
          <w:b/>
          <w:bCs/>
          <w:sz w:val="28"/>
          <w:szCs w:val="28"/>
        </w:rPr>
        <w:t xml:space="preserve">4.5 Preprocessing and data split</w:t>
      </w:r>
    </w:p>
    <w:p>
      <w:pPr>
        <w:spacing w:after="120" w:before="0" w:line="360"/>
        <w:jc w:val="both"/>
      </w:pPr>
      <w:r>
        <w:rPr>
          <w:rFonts w:ascii="Times New Roman" w:cs="Times New Roman" w:eastAsia="Times New Roman" w:hAnsi="Times New Roman"/>
          <w:sz w:val="24"/>
          <w:szCs w:val="24"/>
        </w:rPr>
        <w:t xml:space="preserve">Preprocessing consisted of upper-casing, whitespace removal, strict validation against the alphabet {A, C, G, T}, de-duplication by normalised sequence, and verification that every duplicate carried identical taxonomy. No outlier removal or imputation was needed. Because 89 of 90 species appear once, conventional k-fold splitting is not possible. Evaluation therefore uses leave-one-sequence-out cross-validation over unique sequences, and singleton classes are reported separately and not scored (Section 7.5).</w:t>
      </w:r>
    </w:p>
    <w:p>
      <w:pPr>
        <w:pStyle w:val="Heading1"/>
        <w:keepNext/>
        <w:spacing w:after="160" w:before="360" w:line="360"/>
      </w:pPr>
      <w:bookmarkStart w:name="sec_5" w:id="5"/>
      <w:r>
        <w:rPr>
          <w:rFonts w:ascii="Times New Roman" w:cs="Times New Roman" w:eastAsia="Times New Roman" w:hAnsi="Times New Roman"/>
          <w:b/>
          <w:bCs/>
          <w:sz w:val="32"/>
          <w:szCs w:val="32"/>
        </w:rPr>
        <w:t xml:space="preserve">5. Flow Diagram / Block Diagram</w:t>
      </w:r>
      <w:bookmarkEnd w:id="5"/>
    </w:p>
    <w:p>
      <w:pPr>
        <w:spacing w:after="120" w:before="0" w:line="360"/>
        <w:jc w:val="both"/>
      </w:pPr>
      <w:r>
        <w:rPr>
          <w:rFonts w:ascii="Times New Roman" w:cs="Times New Roman" w:eastAsia="Times New Roman" w:hAnsi="Times New Roman"/>
          <w:sz w:val="24"/>
          <w:szCs w:val="24"/>
        </w:rPr>
        <w:t xml:space="preserve">Figure 3 shows the overall workflow of BioScan. A sequence passes through quality control, then follows two parallel paths: a feature-based hierarchical classifier and an exact similarity search. The evidence engine combines both, and the Distance Veto makes the final accept or reject decision before the result and its biodiversity context are shown in the dashboard.</w:t>
      </w:r>
    </w:p>
    <w:p>
      <w:pPr>
        <w:keepNext/>
        <w:spacing w:after="40" w:before="120"/>
        <w:jc w:val="center"/>
      </w:pPr>
      <w:r>
        <w:drawing>
          <wp:inline distT="0" distB="0" distL="0" distR="0">
            <wp:extent cx="5667375" cy="2362200"/>
            <wp:effectExtent t="0" r="0" b="0" l="0"/>
            <wp:docPr id="3" name="fig_architecture.png" descr="Block diagram of the BioScan identification pipeline."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2362200"/>
                    </a:xfrm>
                    <a:prstGeom prst="rect">
                      <a:avLst/>
                    </a:prstGeom>
                  </pic:spPr>
                </pic:pic>
              </a:graphicData>
            </a:graphic>
          </wp:inline>
        </w:drawing>
      </w:r>
    </w:p>
    <w:p>
      <w:pPr>
        <w:keepNext w:val="false"/>
        <w:spacing w:after="200" w:before="60" w:line="276"/>
        <w:jc w:val="center"/>
      </w:pPr>
      <w:r>
        <w:rPr>
          <w:rFonts w:ascii="Times New Roman" w:cs="Times New Roman" w:eastAsia="Times New Roman" w:hAnsi="Times New Roman"/>
          <w:b/>
          <w:bCs/>
          <w:sz w:val="22"/>
          <w:szCs w:val="22"/>
        </w:rPr>
        <w:t xml:space="preserve">Figure 3. </w:t>
      </w:r>
      <w:r>
        <w:rPr>
          <w:rFonts w:ascii="Times New Roman" w:cs="Times New Roman" w:eastAsia="Times New Roman" w:hAnsi="Times New Roman"/>
          <w:sz w:val="22"/>
          <w:szCs w:val="22"/>
        </w:rPr>
        <w:t xml:space="preserve">Block diagram of the BioScan identification pipeline.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Sequence QC. </w:t>
      </w:r>
      <w:r>
        <w:rPr>
          <w:rFonts w:ascii="Times New Roman" w:cs="Times New Roman" w:eastAsia="Times New Roman" w:hAnsi="Times New Roman"/>
          <w:sz w:val="24"/>
          <w:szCs w:val="24"/>
        </w:rPr>
        <w:t xml:space="preserve">Uppercases and cleans the input, accepts only A, C, G and T, records length and GC content, and warns about unusual lengths. Records with other characters are rejected without stopping a batch.</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Feature engineering. </w:t>
      </w:r>
      <w:r>
        <w:rPr>
          <w:rFonts w:ascii="Times New Roman" w:cs="Times New Roman" w:eastAsia="Times New Roman" w:hAnsi="Times New Roman"/>
          <w:sz w:val="24"/>
          <w:szCs w:val="24"/>
        </w:rPr>
        <w:t xml:space="preserve">Computes composition, complexity and k-mer frequency features, using the same code at training and prediction time.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Hierarchical classification. </w:t>
      </w:r>
      <w:r>
        <w:rPr>
          <w:rFonts w:ascii="Times New Roman" w:cs="Times New Roman" w:eastAsia="Times New Roman" w:hAnsi="Times New Roman"/>
          <w:sz w:val="24"/>
          <w:szCs w:val="24"/>
        </w:rPr>
        <w:t xml:space="preserve">Separate models predict class, order, family, genus and species. Each rank is restricted to children of the parent rank already chosen, which keeps the lineage consistent.</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Reference similarity search. </w:t>
      </w:r>
      <w:r>
        <w:rPr>
          <w:rFonts w:ascii="Times New Roman" w:cs="Times New Roman" w:eastAsia="Times New Roman" w:hAnsi="Times New Roman"/>
          <w:sz w:val="24"/>
          <w:szCs w:val="24"/>
        </w:rPr>
        <w:t xml:space="preserve">Computes the normalised Levenshtein distance to all 101 reference barcodes and returns the nearest references with their taxonomy.</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Evidence engine. </w:t>
      </w:r>
      <w:r>
        <w:rPr>
          <w:rFonts w:ascii="Times New Roman" w:cs="Times New Roman" w:eastAsia="Times New Roman" w:hAnsi="Times New Roman"/>
          <w:sz w:val="24"/>
          <w:szCs w:val="24"/>
        </w:rPr>
        <w:t xml:space="preserve">Combines classifier probability, margin and entropy, nearest distance, the distance gap to the second-nearest reference and agreement between the classifier and the nearest reference.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Distance Veto. </w:t>
      </w:r>
      <w:r>
        <w:rPr>
          <w:rFonts w:ascii="Times New Roman" w:cs="Times New Roman" w:eastAsia="Times New Roman" w:hAnsi="Times New Roman"/>
          <w:sz w:val="24"/>
          <w:szCs w:val="24"/>
        </w:rPr>
        <w:t xml:space="preserve">If the nearest distance exceeds 0.15 and the match is not exact, the status is out_of_reference regardless of the classifier. No taxonomy or geography is inherited from the nearest reference in that case.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Dashboard. </w:t>
      </w:r>
      <w:r>
        <w:rPr>
          <w:rFonts w:ascii="Times New Roman" w:cs="Times New Roman" w:eastAsia="Times New Roman" w:hAnsi="Times New Roman"/>
          <w:sz w:val="24"/>
          <w:szCs w:val="24"/>
        </w:rPr>
        <w:t xml:space="preserve">Shows the verdict, distance gauge, what the evidence supports, similarity table, diagnostics, survey map and a separate evaluation page.</w:t>
      </w:r>
    </w:p>
    <w:p>
      <w:pPr>
        <w:pStyle w:val="Heading1"/>
        <w:keepNext/>
        <w:spacing w:after="160" w:before="360" w:line="360"/>
      </w:pPr>
      <w:bookmarkStart w:name="sec_6" w:id="6"/>
      <w:r>
        <w:rPr>
          <w:rFonts w:ascii="Times New Roman" w:cs="Times New Roman" w:eastAsia="Times New Roman" w:hAnsi="Times New Roman"/>
          <w:b/>
          <w:bCs/>
          <w:sz w:val="32"/>
          <w:szCs w:val="32"/>
        </w:rPr>
        <w:t xml:space="preserve">6. Methods Used / Technology Stack</w:t>
      </w:r>
      <w:bookmarkEnd w:id="6"/>
    </w:p>
    <w:p>
      <w:pPr>
        <w:pStyle w:val="Heading2"/>
        <w:keepNext/>
        <w:spacing w:after="120" w:before="240" w:line="360"/>
      </w:pPr>
      <w:r>
        <w:rPr>
          <w:rFonts w:ascii="Times New Roman" w:cs="Times New Roman" w:eastAsia="Times New Roman" w:hAnsi="Times New Roman"/>
          <w:b/>
          <w:bCs/>
          <w:sz w:val="28"/>
          <w:szCs w:val="28"/>
        </w:rPr>
        <w:t xml:space="preserve">6.1 Programming language</w:t>
      </w:r>
    </w:p>
    <w:p>
      <w:pPr>
        <w:spacing w:after="120" w:before="0" w:line="360"/>
        <w:jc w:val="both"/>
      </w:pPr>
      <w:r>
        <w:rPr>
          <w:rFonts w:ascii="Times New Roman" w:cs="Times New Roman" w:eastAsia="Times New Roman" w:hAnsi="Times New Roman"/>
          <w:sz w:val="24"/>
          <w:szCs w:val="24"/>
        </w:rPr>
        <w:t xml:space="preserve">Python 3.14 was used for all components: data processing, modelling, the prediction engine, the dashboard and the tests.</w:t>
      </w:r>
    </w:p>
    <w:p>
      <w:pPr>
        <w:pStyle w:val="Heading2"/>
        <w:keepNext/>
        <w:spacing w:after="120" w:before="240" w:line="360"/>
      </w:pPr>
      <w:r>
        <w:rPr>
          <w:rFonts w:ascii="Times New Roman" w:cs="Times New Roman" w:eastAsia="Times New Roman" w:hAnsi="Times New Roman"/>
          <w:b/>
          <w:bCs/>
          <w:sz w:val="28"/>
          <w:szCs w:val="28"/>
        </w:rPr>
        <w:t xml:space="preserve">6.2 Libraries and frameworks</w:t>
      </w:r>
    </w:p>
    <w:p>
      <w:pPr>
        <w:keepNext/>
        <w:spacing w:after="80" w:before="160" w:line="276"/>
        <w:jc w:val="center"/>
      </w:pPr>
      <w:r>
        <w:rPr>
          <w:rFonts w:ascii="Times New Roman" w:cs="Times New Roman" w:eastAsia="Times New Roman" w:hAnsi="Times New Roman"/>
          <w:b/>
          <w:bCs/>
          <w:sz w:val="22"/>
          <w:szCs w:val="22"/>
        </w:rPr>
        <w:t xml:space="preserve">Table 4. </w:t>
      </w:r>
      <w:r>
        <w:rPr>
          <w:rFonts w:ascii="Times New Roman" w:cs="Times New Roman" w:eastAsia="Times New Roman" w:hAnsi="Times New Roman"/>
          <w:sz w:val="22"/>
          <w:szCs w:val="22"/>
        </w:rPr>
        <w:t xml:space="preserve">Technologies and libraries actually used</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808080" w:sz="4"/>
              <w:left w:val="single" w:color="808080" w:sz="4"/>
              <w:bottom w:val="single" w:color="808080" w:sz="4"/>
              <w:right w:val="single" w:color="808080" w:sz="4"/>
            </w:tcBorders>
            <w:shd w:fill="D9E8F5"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0"/>
                <w:szCs w:val="20"/>
              </w:rPr>
              <w:t xml:space="preserve">Technology / Library</w:t>
            </w:r>
          </w:p>
        </w:tc>
        <w:tc>
          <w:tcPr>
            <w:tcW w:type="dxa" w:w="6026"/>
            <w:tcBorders>
              <w:top w:val="single" w:color="808080" w:sz="4"/>
              <w:left w:val="single" w:color="808080" w:sz="4"/>
              <w:bottom w:val="single" w:color="808080" w:sz="4"/>
              <w:right w:val="single" w:color="808080" w:sz="4"/>
            </w:tcBorders>
            <w:shd w:fill="D9E8F5"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0"/>
                <w:szCs w:val="20"/>
              </w:rPr>
              <w:t xml:space="preserve">Purpose and main functions used</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pandas 2.3.3</w:t>
            </w:r>
          </w:p>
        </w:tc>
        <w:tc>
          <w:tcPr>
            <w:tcW w:type="dxa" w:w="6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Loading and grouping tabular data: read_csv, groupby, merge, drop_duplicates, DataFrame styling for the dashboard</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NumPy 2.2.6</w:t>
            </w:r>
          </w:p>
        </w:tc>
        <w:tc>
          <w:tcPr>
            <w:tcW w:type="dxa" w:w="6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Numerical arrays, sampling and distance arithmetic</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scikit-learn 1.7.2 [8]</w:t>
            </w:r>
          </w:p>
        </w:tc>
        <w:tc>
          <w:tcPr>
            <w:tcW w:type="dxa" w:w="6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KNeighborsClassifier, RandomForestClassifier, StandardScaler, LabelEncoder, precision_recall_fscore_support, balanced_accuracy_score, confusion_matrix, roc_auc_score</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XGBoost 3.2.0 [6]</w:t>
            </w:r>
          </w:p>
        </w:tc>
        <w:tc>
          <w:tcPr>
            <w:tcW w:type="dxa" w:w="6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XGBClassifier (gradient-boosted trees, multi:softprob objective)</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joblib 1.6.0</w:t>
            </w:r>
          </w:p>
        </w:tc>
        <w:tc>
          <w:tcPr>
            <w:tcW w:type="dxa" w:w="6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Saving and loading trained model artefacts</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SciPy</w:t>
            </w:r>
          </w:p>
        </w:tc>
        <w:tc>
          <w:tcPr>
            <w:tcW w:type="dxa" w:w="6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Supporting numerical routines</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Matplotlib 3.10.9, Seaborn 0.13.2</w:t>
            </w:r>
          </w:p>
        </w:tc>
        <w:tc>
          <w:tcPr>
            <w:tcW w:type="dxa" w:w="6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Static figures used in the analysis reports and in this report</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Plotly 7.1.0 [17]</w:t>
            </w:r>
          </w:p>
        </w:tc>
        <w:tc>
          <w:tcPr>
            <w:tcW w:type="dxa" w:w="6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Interactive charts in the dashboard: gauges, heatmaps, maps, accuracy-versus-coverage curves</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Streamlit 1.66 [16]</w:t>
            </w:r>
          </w:p>
        </w:tc>
        <w:tc>
          <w:tcPr>
            <w:tcW w:type="dxa" w:w="6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Web dashboard: pages, inputs, file upload, caching of the loaded models</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pytest 9.1.1</w:t>
            </w:r>
          </w:p>
        </w:tc>
        <w:tc>
          <w:tcPr>
            <w:tcW w:type="dxa" w:w="6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Automated tests (172 tests)</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Custom code</w:t>
            </w:r>
          </w:p>
        </w:tc>
        <w:tc>
          <w:tcPr>
            <w:tcW w:type="dxa" w:w="6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Levenshtein dynamic-programming edit distance, k-mer encoder, evidence and Distance Veto logic, evaluation framework</w:t>
            </w:r>
          </w:p>
        </w:tc>
      </w:tr>
    </w:tbl>
    <w:p>
      <w:pPr>
        <w:spacing w:after="160"/>
      </w:pPr>
    </w:p>
    <w:p>
      <w:pPr>
        <w:pStyle w:val="Heading2"/>
        <w:keepNext/>
        <w:spacing w:after="120" w:before="240" w:line="360"/>
      </w:pPr>
      <w:r>
        <w:rPr>
          <w:rFonts w:ascii="Times New Roman" w:cs="Times New Roman" w:eastAsia="Times New Roman" w:hAnsi="Times New Roman"/>
          <w:b/>
          <w:bCs/>
          <w:sz w:val="28"/>
          <w:szCs w:val="28"/>
        </w:rPr>
        <w:t xml:space="preserve">6.3 Development environment</w:t>
      </w:r>
    </w:p>
    <w:p>
      <w:pPr>
        <w:spacing w:after="120" w:before="0" w:line="360"/>
        <w:jc w:val="both"/>
      </w:pPr>
      <w:r>
        <w:rPr>
          <w:rFonts w:ascii="Times New Roman" w:cs="Times New Roman" w:eastAsia="Times New Roman" w:hAnsi="Times New Roman"/>
          <w:sz w:val="24"/>
          <w:szCs w:val="24"/>
        </w:rPr>
        <w:t xml:space="preserve">Development and experiments were carried out on a macOS laptop (CPU only; no GPU or cloud platform was used) with Python 3.14.4 in a virtual environment, Visual Studio Code as the editor, and Git/GitHub for version control. XGBoost requires the OpenMP runtime (libomp) on macOS.</w:t>
      </w:r>
    </w:p>
    <w:p>
      <w:pPr>
        <w:pStyle w:val="Heading1"/>
        <w:keepNext/>
        <w:spacing w:after="160" w:before="360" w:line="360"/>
      </w:pPr>
      <w:bookmarkStart w:name="sec_7" w:id="7"/>
      <w:r>
        <w:rPr>
          <w:rFonts w:ascii="Times New Roman" w:cs="Times New Roman" w:eastAsia="Times New Roman" w:hAnsi="Times New Roman"/>
          <w:b/>
          <w:bCs/>
          <w:sz w:val="32"/>
          <w:szCs w:val="32"/>
        </w:rPr>
        <w:t xml:space="preserve">7. Model Development</w:t>
      </w:r>
      <w:bookmarkEnd w:id="7"/>
    </w:p>
    <w:p>
      <w:pPr>
        <w:pStyle w:val="Heading2"/>
        <w:keepNext/>
        <w:spacing w:after="120" w:before="240" w:line="360"/>
      </w:pPr>
      <w:r>
        <w:rPr>
          <w:rFonts w:ascii="Times New Roman" w:cs="Times New Roman" w:eastAsia="Times New Roman" w:hAnsi="Times New Roman"/>
          <w:b/>
          <w:bCs/>
          <w:sz w:val="28"/>
          <w:szCs w:val="28"/>
        </w:rPr>
        <w:t xml:space="preserve">7.1 Data preprocessing</w:t>
      </w:r>
    </w:p>
    <w:p>
      <w:pPr>
        <w:spacing w:after="120" w:before="0" w:line="360"/>
        <w:jc w:val="both"/>
      </w:pPr>
      <w:r>
        <w:rPr>
          <w:rFonts w:ascii="Times New Roman" w:cs="Times New Roman" w:eastAsia="Times New Roman" w:hAnsi="Times New Roman"/>
          <w:sz w:val="24"/>
          <w:szCs w:val="24"/>
        </w:rPr>
        <w:t xml:space="preserve">Raw sequences were normalised (strip, upper-case), validated against {A, C, G, T}, de-duplicated and linked to their taxonomy. The 136 duplicates of each sequence were collapsed into a single reference record after checking that their taxonomic labels agreed. The raw file was never altered.</w:t>
      </w:r>
    </w:p>
    <w:p>
      <w:pPr>
        <w:pStyle w:val="Heading2"/>
        <w:keepNext/>
        <w:spacing w:after="120" w:before="240" w:line="360"/>
      </w:pPr>
      <w:r>
        <w:rPr>
          <w:rFonts w:ascii="Times New Roman" w:cs="Times New Roman" w:eastAsia="Times New Roman" w:hAnsi="Times New Roman"/>
          <w:b/>
          <w:bCs/>
          <w:sz w:val="28"/>
          <w:szCs w:val="28"/>
        </w:rPr>
        <w:t xml:space="preserve">7.2 Exploratory data analysis</w:t>
      </w:r>
    </w:p>
    <w:p>
      <w:pPr>
        <w:spacing w:after="120" w:before="0" w:line="360"/>
        <w:jc w:val="both"/>
      </w:pPr>
      <w:r>
        <w:rPr>
          <w:rFonts w:ascii="Times New Roman" w:cs="Times New Roman" w:eastAsia="Times New Roman" w:hAnsi="Times New Roman"/>
          <w:sz w:val="24"/>
          <w:szCs w:val="24"/>
        </w:rPr>
        <w:t xml:space="preserve">Analysis established the central facts used in the rest of the project: 101 unique sequences, near-uniform length (86% are 106 bp), a base composition of about 30.5% A, 28.5% C, 23.0% T and 18.0% G, a heavy class imbalance (82 Teleostei, 17 Elasmobranchii and two singleton classes) and a singleton structure at species level (Table 2 and Figures 1 and 2). GC and AT content are perfectly collinear, and most k-mer features are correlated with composition.</w:t>
      </w:r>
    </w:p>
    <w:p>
      <w:pPr>
        <w:pStyle w:val="Heading2"/>
        <w:keepNext/>
        <w:spacing w:after="120" w:before="240" w:line="360"/>
      </w:pPr>
      <w:r>
        <w:rPr>
          <w:rFonts w:ascii="Times New Roman" w:cs="Times New Roman" w:eastAsia="Times New Roman" w:hAnsi="Times New Roman"/>
          <w:b/>
          <w:bCs/>
          <w:sz w:val="28"/>
          <w:szCs w:val="28"/>
        </w:rPr>
        <w:t xml:space="preserve">7.3 Feature engineering / selection</w:t>
      </w:r>
    </w:p>
    <w:p>
      <w:pPr>
        <w:spacing w:after="120" w:before="0" w:line="360"/>
        <w:jc w:val="both"/>
      </w:pPr>
      <w:r>
        <w:rPr>
          <w:rFonts w:ascii="Times New Roman" w:cs="Times New Roman" w:eastAsia="Times New Roman" w:hAnsi="Times New Roman"/>
          <w:sz w:val="24"/>
          <w:szCs w:val="24"/>
        </w:rPr>
        <w:t xml:space="preserve">Four feature representations were compared: 17 basic composition and complexity features; 16 dinucleotide frequencies (k = 2); 64 trinucleotide frequencies (k = 3); and basic features combined with k = 2. Larger k-mer sets (k = 4 and 5, with 256 and 1,024 features) were built and compared in the baseline experiments but dropped from the hierarchical comparison, because with 101 samples the feature-to-sample ratio becomes too high. The feature set used by the production model at each rank was chosen from the leave-one-out results: k = 3 for class, order, family and genus, and k = 2 for species. Features are standardised with a scaler fitted only on the training fold.</w:t>
      </w:r>
    </w:p>
    <w:p>
      <w:pPr>
        <w:pStyle w:val="Heading2"/>
        <w:keepNext/>
        <w:spacing w:after="120" w:before="240" w:line="360"/>
      </w:pPr>
      <w:r>
        <w:rPr>
          <w:rFonts w:ascii="Times New Roman" w:cs="Times New Roman" w:eastAsia="Times New Roman" w:hAnsi="Times New Roman"/>
          <w:b/>
          <w:bCs/>
          <w:sz w:val="28"/>
          <w:szCs w:val="28"/>
        </w:rPr>
        <w:t xml:space="preserve">7.4 Model selection</w:t>
      </w:r>
    </w:p>
    <w:p>
      <w:pPr>
        <w:keepNext/>
        <w:spacing w:after="80" w:before="160" w:line="276"/>
        <w:jc w:val="center"/>
      </w:pPr>
      <w:r>
        <w:rPr>
          <w:rFonts w:ascii="Times New Roman" w:cs="Times New Roman" w:eastAsia="Times New Roman" w:hAnsi="Times New Roman"/>
          <w:b/>
          <w:bCs/>
          <w:sz w:val="22"/>
          <w:szCs w:val="22"/>
        </w:rPr>
        <w:t xml:space="preserve">Table 5. </w:t>
      </w:r>
      <w:r>
        <w:rPr>
          <w:rFonts w:ascii="Times New Roman" w:cs="Times New Roman" w:eastAsia="Times New Roman" w:hAnsi="Times New Roman"/>
          <w:sz w:val="22"/>
          <w:szCs w:val="22"/>
        </w:rPr>
        <w:t xml:space="preserve">Models used and their key parameters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526"/>
      </w:tblGrid>
      <w:tr>
        <w:trPr>
          <w:cantSplit/>
          <w:tblHeader/>
        </w:trPr>
        <w:tc>
          <w:tcPr>
            <w:tcW w:type="dxa" w:w="2200"/>
            <w:tcBorders>
              <w:top w:val="single" w:color="808080" w:sz="4"/>
              <w:left w:val="single" w:color="808080" w:sz="4"/>
              <w:bottom w:val="single" w:color="808080" w:sz="4"/>
              <w:right w:val="single" w:color="808080" w:sz="4"/>
            </w:tcBorders>
            <w:shd w:fill="D9E8F5"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0"/>
                <w:szCs w:val="20"/>
              </w:rPr>
              <w:t xml:space="preserve">Model</w:t>
            </w:r>
          </w:p>
        </w:tc>
        <w:tc>
          <w:tcPr>
            <w:tcW w:type="dxa" w:w="3300"/>
            <w:tcBorders>
              <w:top w:val="single" w:color="808080" w:sz="4"/>
              <w:left w:val="single" w:color="808080" w:sz="4"/>
              <w:bottom w:val="single" w:color="808080" w:sz="4"/>
              <w:right w:val="single" w:color="808080" w:sz="4"/>
            </w:tcBorders>
            <w:shd w:fill="D9E8F5"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0"/>
                <w:szCs w:val="20"/>
              </w:rPr>
              <w:t xml:space="preserve">Purpose</w:t>
            </w:r>
          </w:p>
        </w:tc>
        <w:tc>
          <w:tcPr>
            <w:tcW w:type="dxa" w:w="3526"/>
            <w:tcBorders>
              <w:top w:val="single" w:color="808080" w:sz="4"/>
              <w:left w:val="single" w:color="808080" w:sz="4"/>
              <w:bottom w:val="single" w:color="808080" w:sz="4"/>
              <w:right w:val="single" w:color="808080" w:sz="4"/>
            </w:tcBorders>
            <w:shd w:fill="D9E8F5"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0"/>
                <w:szCs w:val="20"/>
              </w:rPr>
              <w:t xml:space="preserve">Important Parameters</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K-Nearest Neighbours [13]</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Instance-based baseline; classifies by the closest training sequence in feature space</w:t>
            </w:r>
          </w:p>
        </w:tc>
        <w:tc>
          <w:tcPr>
            <w:tcW w:type="dxa" w:w="35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k = 1, Manhattan distance, standardised features</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Random Forest [7]</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Bagged decision trees; robust with little tuning</w:t>
            </w:r>
          </w:p>
        </w:tc>
        <w:tc>
          <w:tcPr>
            <w:tcW w:type="dxa" w:w="35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100 trees, no depth limit, random_state = 42</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XGBoost [6]</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Gradient-boosted trees; tests whether boosting helps</w:t>
            </w:r>
          </w:p>
        </w:tc>
        <w:tc>
          <w:tcPr>
            <w:tcW w:type="dxa" w:w="35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100 estimators, max_depth 3, learning rate 0.1, subsample 0.8, colsample_bytree 0.8, softprob, seed 42</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Levenshtein search [9] (non-learned)</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Exact normalised edit distance to the reference library; drives the Distance Veto</w:t>
            </w:r>
          </w:p>
        </w:tc>
        <w:tc>
          <w:tcPr>
            <w:tcW w:type="dxa" w:w="35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distance = edits / max(length); close ≤ 0.03, veto &gt; 0.15</w:t>
            </w:r>
          </w:p>
        </w:tc>
      </w:tr>
    </w:tbl>
    <w:p>
      <w:pPr>
        <w:spacing w:after="160"/>
      </w:pPr>
    </w:p>
    <w:p>
      <w:pPr>
        <w:spacing w:after="120" w:before="0" w:line="360"/>
        <w:jc w:val="both"/>
      </w:pPr>
      <w:r>
        <w:rPr>
          <w:rFonts w:ascii="Times New Roman" w:cs="Times New Roman" w:eastAsia="Times New Roman" w:hAnsi="Times New Roman"/>
          <w:sz w:val="24"/>
          <w:szCs w:val="24"/>
        </w:rPr>
        <w:t xml:space="preserve">The deployed model at each rank is the best performer by leave-one-out evaluation: Random Forest for class and order, and k-nearest neighbours for family, genus and species. The species classifier is not allowed to name a species on its own; a species is reported only when the nearest reference lies within the close-match distance.</w:t>
      </w:r>
    </w:p>
    <w:p>
      <w:pPr>
        <w:pStyle w:val="Heading2"/>
        <w:keepNext/>
        <w:spacing w:after="120" w:before="240" w:line="360"/>
      </w:pPr>
      <w:r>
        <w:rPr>
          <w:rFonts w:ascii="Times New Roman" w:cs="Times New Roman" w:eastAsia="Times New Roman" w:hAnsi="Times New Roman"/>
          <w:b/>
          <w:bCs/>
          <w:sz w:val="28"/>
          <w:szCs w:val="28"/>
        </w:rPr>
        <w:t xml:space="preserve">7.5 Model training and validation</w:t>
      </w:r>
    </w:p>
    <w:p>
      <w:pPr>
        <w:spacing w:after="120" w:before="0" w:line="360"/>
        <w:jc w:val="both"/>
      </w:pPr>
      <w:r>
        <w:rPr>
          <w:rFonts w:ascii="Times New Roman" w:cs="Times New Roman" w:eastAsia="Times New Roman" w:hAnsi="Times New Roman"/>
          <w:sz w:val="24"/>
          <w:szCs w:val="24"/>
        </w:rPr>
        <w:t xml:space="preserve">Training and validation follow three principles.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Leave-one-sequence-out cross-validation. </w:t>
      </w:r>
      <w:r>
        <w:rPr>
          <w:rFonts w:ascii="Times New Roman" w:cs="Times New Roman" w:eastAsia="Times New Roman" w:hAnsi="Times New Roman"/>
          <w:sz w:val="24"/>
          <w:szCs w:val="24"/>
        </w:rPr>
        <w:t xml:space="preserve">Each unique sequence is held out once and predicted by a model trained on all the others, with the scaler refitted in every fold.</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Singleton handling. </w:t>
      </w:r>
      <w:r>
        <w:rPr>
          <w:rFonts w:ascii="Times New Roman" w:cs="Times New Roman" w:eastAsia="Times New Roman" w:hAnsi="Times New Roman"/>
          <w:sz w:val="24"/>
          <w:szCs w:val="24"/>
        </w:rPr>
        <w:t xml:space="preserve">A sequence whose class has no other member cannot be predicted by a closed-set model. Such sequences are counted and reported but excluded from the metrics. For example, 14 of 30 orders and 49 of 66 families are singletons.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Minimum evidence rule. </w:t>
      </w:r>
      <w:r>
        <w:rPr>
          <w:rFonts w:ascii="Times New Roman" w:cs="Times New Roman" w:eastAsia="Times New Roman" w:hAnsi="Times New Roman"/>
          <w:sz w:val="24"/>
          <w:szCs w:val="24"/>
        </w:rPr>
        <w:t xml:space="preserve">A rank is scored only if at least 20 sequences and two classes can be held out. Genus (19 evaluable sequences) and species (2) therefore show “insufficient data” and no score.</w:t>
      </w:r>
    </w:p>
    <w:p>
      <w:pPr>
        <w:spacing w:after="120" w:before="0" w:line="360"/>
        <w:jc w:val="both"/>
      </w:pPr>
      <w:r>
        <w:rPr>
          <w:rFonts w:ascii="Times New Roman" w:cs="Times New Roman" w:eastAsia="Times New Roman" w:hAnsi="Times New Roman"/>
          <w:sz w:val="24"/>
          <w:szCs w:val="24"/>
        </w:rPr>
        <w:t xml:space="preserve">Hyperparameters were explored with small grids: k ∈ {1, 3, 5} for the nearest-neighbour model, 100 or 300 trees with depth unlimited or 10 for the random forest, and 72 XGBoost runs (8 settings of estimators 100/200, depth 3/5 and learning rate 0.05/0.1, across 9 feature sets). Because the data cannot support a separate tuning set, the grids are small and the headline comparison uses fixed, documented settings. Class imbalance is handled by reporting macro-averaged metrics, which weight every class equally, rather than by resampling, which is not meaningful with singleton classes.</w:t>
      </w:r>
    </w:p>
    <w:p>
      <w:pPr>
        <w:pStyle w:val="Heading2"/>
        <w:keepNext/>
        <w:spacing w:after="120" w:before="240" w:line="360"/>
      </w:pPr>
      <w:r>
        <w:rPr>
          <w:rFonts w:ascii="Times New Roman" w:cs="Times New Roman" w:eastAsia="Times New Roman" w:hAnsi="Times New Roman"/>
          <w:b/>
          <w:bCs/>
          <w:sz w:val="28"/>
          <w:szCs w:val="28"/>
        </w:rPr>
        <w:t xml:space="preserve">7.6 Model evaluation</w:t>
      </w:r>
    </w:p>
    <w:p>
      <w:pPr>
        <w:spacing w:after="120" w:before="0" w:line="360"/>
        <w:jc w:val="both"/>
      </w:pPr>
      <w:r>
        <w:rPr>
          <w:rFonts w:ascii="Times New Roman" w:cs="Times New Roman" w:eastAsia="Times New Roman" w:hAnsi="Times New Roman"/>
          <w:sz w:val="24"/>
          <w:szCs w:val="24"/>
        </w:rPr>
        <w:t xml:space="preserve">Taxonomy classifiers are evaluated with macro precision, macro recall and macro F1 (each class counted equally), weighted F1 (classes weighted by size), balanced accuracy (mean per-class recall), top-1 accuracy and the confusion matrix. Unknown-sequence detection is evaluated separately with out-of-reference as the positive class: precision, recall, F1, specificity, false-positive rate (known sequences wrongly rejected), false-negative rate (unknown sequences wrongly accepted), coverage and abstention rate. Four categories of test sequence are kept separate, because they do not represent the same kind of unknown (Table 5).</w:t>
      </w:r>
    </w:p>
    <w:p>
      <w:pPr>
        <w:keepNext/>
        <w:spacing w:after="80" w:before="160" w:line="276"/>
        <w:jc w:val="center"/>
      </w:pPr>
      <w:r>
        <w:rPr>
          <w:rFonts w:ascii="Times New Roman" w:cs="Times New Roman" w:eastAsia="Times New Roman" w:hAnsi="Times New Roman"/>
          <w:b/>
          <w:bCs/>
          <w:sz w:val="22"/>
          <w:szCs w:val="22"/>
        </w:rPr>
        <w:t xml:space="preserve">Table 6. </w:t>
      </w:r>
      <w:r>
        <w:rPr>
          <w:rFonts w:ascii="Times New Roman" w:cs="Times New Roman" w:eastAsia="Times New Roman" w:hAnsi="Times New Roman"/>
          <w:sz w:val="22"/>
          <w:szCs w:val="22"/>
        </w:rPr>
        <w:t xml:space="preserve">Categories used to evaluate out-of-reference detection</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4426"/>
        <w:gridCol w:w="2300"/>
      </w:tblGrid>
      <w:tr>
        <w:trPr>
          <w:cantSplit/>
          <w:tblHeader/>
        </w:trPr>
        <w:tc>
          <w:tcPr>
            <w:tcW w:type="dxa" w:w="2300"/>
            <w:tcBorders>
              <w:top w:val="single" w:color="808080" w:sz="4"/>
              <w:left w:val="single" w:color="808080" w:sz="4"/>
              <w:bottom w:val="single" w:color="808080" w:sz="4"/>
              <w:right w:val="single" w:color="808080" w:sz="4"/>
            </w:tcBorders>
            <w:shd w:fill="D9E8F5"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0"/>
                <w:szCs w:val="20"/>
              </w:rPr>
              <w:t xml:space="preserve">Test category</w:t>
            </w:r>
          </w:p>
        </w:tc>
        <w:tc>
          <w:tcPr>
            <w:tcW w:type="dxa" w:w="4426"/>
            <w:tcBorders>
              <w:top w:val="single" w:color="808080" w:sz="4"/>
              <w:left w:val="single" w:color="808080" w:sz="4"/>
              <w:bottom w:val="single" w:color="808080" w:sz="4"/>
              <w:right w:val="single" w:color="808080" w:sz="4"/>
            </w:tcBorders>
            <w:shd w:fill="D9E8F5"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0"/>
                <w:szCs w:val="20"/>
              </w:rPr>
              <w:t xml:space="preserve">How it is built</w:t>
            </w:r>
          </w:p>
        </w:tc>
        <w:tc>
          <w:tcPr>
            <w:tcW w:type="dxa" w:w="2300"/>
            <w:tcBorders>
              <w:top w:val="single" w:color="808080" w:sz="4"/>
              <w:left w:val="single" w:color="808080" w:sz="4"/>
              <w:bottom w:val="single" w:color="808080" w:sz="4"/>
              <w:right w:val="single" w:color="808080" w:sz="4"/>
            </w:tcBorders>
            <w:shd w:fill="D9E8F5"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0"/>
                <w:szCs w:val="20"/>
              </w:rPr>
              <w:t xml:space="preserve">True label</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Known reference (exact)</w:t>
            </w:r>
          </w:p>
        </w:tc>
        <w:tc>
          <w:tcPr>
            <w:tcW w:type="dxa" w:w="4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Each reference queried against the library</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Known (sanity check only)</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Altered known</w:t>
            </w:r>
          </w:p>
        </w:tc>
        <w:tc>
          <w:tcPr>
            <w:tcW w:type="dxa" w:w="4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Each reference with 1, 2 or 5 random base substitutions</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Known by construction</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Held-out genus</w:t>
            </w:r>
          </w:p>
        </w:tc>
        <w:tc>
          <w:tcPr>
            <w:tcW w:type="dxa" w:w="4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All sequences of a genus removed from the library, then queried</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Out of reference at genus level</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External non-fish</w:t>
            </w:r>
          </w:p>
        </w:tc>
        <w:tc>
          <w:tcPr>
            <w:tcW w:type="dxa" w:w="4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106-bp windows of NCBI mammal, bird, reptile and amphibian 12S records</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Out of reference</w:t>
            </w:r>
          </w:p>
        </w:tc>
      </w:tr>
    </w:tbl>
    <w:p>
      <w:pPr>
        <w:spacing w:after="160"/>
      </w:pPr>
    </w:p>
    <w:p>
      <w:pPr>
        <w:spacing w:after="120" w:before="0" w:line="360"/>
        <w:jc w:val="both"/>
      </w:pPr>
      <w:r>
        <w:rPr>
          <w:rFonts w:ascii="Times New Roman" w:cs="Times New Roman" w:eastAsia="Times New Roman" w:hAnsi="Times New Roman"/>
          <w:sz w:val="24"/>
          <w:szCs w:val="24"/>
        </w:rPr>
        <w:t xml:space="preserve">References, genera and external organisms are split 50/50 into a calibration half and a test half with a fixed seed; a detection threshold chosen on the calibration half is reported on the test half. All figures reported in Section 12 use the test half.</w:t>
      </w:r>
    </w:p>
    <w:p>
      <w:pPr>
        <w:pStyle w:val="Heading1"/>
        <w:keepNext/>
        <w:spacing w:after="160" w:before="360" w:line="360"/>
      </w:pPr>
      <w:bookmarkStart w:name="sec_8" w:id="8"/>
      <w:r>
        <w:rPr>
          <w:rFonts w:ascii="Times New Roman" w:cs="Times New Roman" w:eastAsia="Times New Roman" w:hAnsi="Times New Roman"/>
          <w:b/>
          <w:bCs/>
          <w:sz w:val="32"/>
          <w:szCs w:val="32"/>
        </w:rPr>
        <w:t xml:space="preserve">8. Version Control</w:t>
      </w:r>
      <w:bookmarkEnd w:id="8"/>
    </w:p>
    <w:p>
      <w:pPr>
        <w:spacing w:after="120" w:before="0" w:line="360"/>
        <w:jc w:val="both"/>
      </w:pPr>
      <w:r>
        <w:rPr>
          <w:rFonts w:ascii="Times New Roman" w:cs="Times New Roman" w:eastAsia="Times New Roman" w:hAnsi="Times New Roman"/>
          <w:sz w:val="24"/>
          <w:szCs w:val="24"/>
        </w:rPr>
        <w:t xml:space="preserve">The source code, documentation, reports and trained model artefacts were managed with Git and hosted on GitHub. A .gitignore excludes the virtual environment and temporary files; a README documents installation, usage, validation results and limitations; and the raw dataset checksum is recorded so that its integrity can be verified.</w:t>
      </w:r>
    </w:p>
    <w:p>
      <w:pPr>
        <w:keepNext/>
        <w:spacing w:after="80" w:before="160" w:line="276"/>
        <w:jc w:val="center"/>
      </w:pPr>
      <w:r>
        <w:rPr>
          <w:rFonts w:ascii="Times New Roman" w:cs="Times New Roman" w:eastAsia="Times New Roman" w:hAnsi="Times New Roman"/>
          <w:b/>
          <w:bCs/>
          <w:sz w:val="22"/>
          <w:szCs w:val="22"/>
        </w:rPr>
        <w:t xml:space="preserve">Table 7. </w:t>
      </w:r>
      <w:r>
        <w:rPr>
          <w:rFonts w:ascii="Times New Roman" w:cs="Times New Roman" w:eastAsia="Times New Roman" w:hAnsi="Times New Roman"/>
          <w:sz w:val="22"/>
          <w:szCs w:val="22"/>
        </w:rPr>
        <w:t xml:space="preserve">Repository summary</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cantSplit/>
          <w:tblHeader/>
        </w:trPr>
        <w:tc>
          <w:tcPr>
            <w:tcW w:type="dxa" w:w="3200"/>
            <w:tcBorders>
              <w:top w:val="single" w:color="808080" w:sz="4"/>
              <w:left w:val="single" w:color="808080" w:sz="4"/>
              <w:bottom w:val="single" w:color="808080" w:sz="4"/>
              <w:right w:val="single" w:color="808080" w:sz="4"/>
            </w:tcBorders>
            <w:shd w:fill="D9E8F5"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0"/>
                <w:szCs w:val="20"/>
              </w:rPr>
              <w:t xml:space="preserve">Parameter</w:t>
            </w:r>
          </w:p>
        </w:tc>
        <w:tc>
          <w:tcPr>
            <w:tcW w:type="dxa" w:w="5826"/>
            <w:tcBorders>
              <w:top w:val="single" w:color="808080" w:sz="4"/>
              <w:left w:val="single" w:color="808080" w:sz="4"/>
              <w:bottom w:val="single" w:color="808080" w:sz="4"/>
              <w:right w:val="single" w:color="808080" w:sz="4"/>
            </w:tcBorders>
            <w:shd w:fill="D9E8F5"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0"/>
                <w:szCs w:val="20"/>
              </w:rPr>
              <w:t xml:space="preserve">Details</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Version Control Tool</w:t>
            </w:r>
          </w:p>
        </w:tc>
        <w:tc>
          <w:tcPr>
            <w:tcW w:type="dxa" w:w="58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Git</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Repository Platform</w:t>
            </w:r>
          </w:p>
        </w:tc>
        <w:tc>
          <w:tcPr>
            <w:tcW w:type="dxa" w:w="58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GitHub</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Repository Name</w:t>
            </w:r>
          </w:p>
        </w:tc>
        <w:tc>
          <w:tcPr>
            <w:tcW w:type="dxa" w:w="58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Vedika-k187/BioScan (https://github.com/Vedika-k187/BioScan)</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Main Branch</w:t>
            </w:r>
          </w:p>
        </w:tc>
        <w:tc>
          <w:tcPr>
            <w:tcW w:type="dxa" w:w="58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main</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Number of Contributors</w:t>
            </w:r>
          </w:p>
        </w:tc>
        <w:tc>
          <w:tcPr>
            <w:tcW w:type="dxa" w:w="58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2 (Vedika Kurhade and Shreya Jadhav)</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Major Versions / Commits</w:t>
            </w:r>
          </w:p>
        </w:tc>
        <w:tc>
          <w:tcPr>
            <w:tcW w:type="dxa" w:w="58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8 commits, 14 to 15 October 2026</w:t>
            </w:r>
          </w:p>
        </w:tc>
      </w:tr>
    </w:tbl>
    <w:p>
      <w:pPr>
        <w:spacing w:after="160"/>
      </w:pPr>
    </w:p>
    <w:p>
      <w:pPr>
        <w:keepNext/>
        <w:spacing w:after="80" w:before="160" w:line="276"/>
        <w:jc w:val="center"/>
      </w:pPr>
      <w:r>
        <w:rPr>
          <w:rFonts w:ascii="Times New Roman" w:cs="Times New Roman" w:eastAsia="Times New Roman" w:hAnsi="Times New Roman"/>
          <w:b/>
          <w:bCs/>
          <w:sz w:val="22"/>
          <w:szCs w:val="22"/>
        </w:rPr>
        <w:t xml:space="preserve">Table 8. </w:t>
      </w:r>
      <w:r>
        <w:rPr>
          <w:rFonts w:ascii="Times New Roman" w:cs="Times New Roman" w:eastAsia="Times New Roman" w:hAnsi="Times New Roman"/>
          <w:sz w:val="22"/>
          <w:szCs w:val="22"/>
        </w:rPr>
        <w:t xml:space="preserve">Principal commits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5626"/>
      </w:tblGrid>
      <w:tr>
        <w:trPr>
          <w:cantSplit/>
          <w:tblHeader/>
        </w:trPr>
        <w:tc>
          <w:tcPr>
            <w:tcW w:type="dxa" w:w="1500"/>
            <w:tcBorders>
              <w:top w:val="single" w:color="808080" w:sz="4"/>
              <w:left w:val="single" w:color="808080" w:sz="4"/>
              <w:bottom w:val="single" w:color="808080" w:sz="4"/>
              <w:right w:val="single" w:color="808080" w:sz="4"/>
            </w:tcBorders>
            <w:shd w:fill="D9E8F5"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0"/>
                <w:szCs w:val="20"/>
              </w:rPr>
              <w:t xml:space="preserve">Date</w:t>
            </w:r>
          </w:p>
        </w:tc>
        <w:tc>
          <w:tcPr>
            <w:tcW w:type="dxa" w:w="1900"/>
            <w:tcBorders>
              <w:top w:val="single" w:color="808080" w:sz="4"/>
              <w:left w:val="single" w:color="808080" w:sz="4"/>
              <w:bottom w:val="single" w:color="808080" w:sz="4"/>
              <w:right w:val="single" w:color="808080" w:sz="4"/>
            </w:tcBorders>
            <w:shd w:fill="D9E8F5"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0"/>
                <w:szCs w:val="20"/>
              </w:rPr>
              <w:t xml:space="preserve">Author</w:t>
            </w:r>
          </w:p>
        </w:tc>
        <w:tc>
          <w:tcPr>
            <w:tcW w:type="dxa" w:w="5626"/>
            <w:tcBorders>
              <w:top w:val="single" w:color="808080" w:sz="4"/>
              <w:left w:val="single" w:color="808080" w:sz="4"/>
              <w:bottom w:val="single" w:color="808080" w:sz="4"/>
              <w:right w:val="single" w:color="808080" w:sz="4"/>
            </w:tcBorders>
            <w:shd w:fill="D9E8F5"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0"/>
                <w:szCs w:val="20"/>
              </w:rPr>
              <w:t xml:space="preserve">Commit message</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2026-10-14</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Vedika</w:t>
            </w:r>
          </w:p>
        </w:tc>
        <w:tc>
          <w:tcPr>
            <w:tcW w:type="dxa" w:w="5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Initial commit: BioScan AI-powered DNA biodiversity identification and monitoring system (Phases 1 to 10)</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2026-10-14</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Vedika</w:t>
            </w:r>
          </w:p>
        </w:tc>
        <w:tc>
          <w:tcPr>
            <w:tcW w:type="dxa" w:w="5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Add Phase 10 final release milestone report</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2026-10-14</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Vedika</w:t>
            </w:r>
          </w:p>
        </w:tc>
        <w:tc>
          <w:tcPr>
            <w:tcW w:type="dxa" w:w="5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Complete UI polish and pre-GitHub release audit</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2026-10-14</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Vedika</w:t>
            </w:r>
          </w:p>
        </w:tc>
        <w:tc>
          <w:tcPr>
            <w:tcW w:type="dxa" w:w="5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README updates and architecture diagram</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2026-10-15</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Shreya Jadhav</w:t>
            </w:r>
          </w:p>
        </w:tc>
        <w:tc>
          <w:tcPr>
            <w:tcW w:type="dxa" w:w="5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Fix species assignment, add unknown-detection validation, dark single-report UI</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2026-10-15</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Shreya Jadhav</w:t>
            </w:r>
          </w:p>
        </w:tc>
        <w:tc>
          <w:tcPr>
            <w:tcW w:type="dxa" w:w="5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Add evaluation dashboard, rank-resolution block, batch fixes and UI polish</w:t>
            </w:r>
          </w:p>
        </w:tc>
      </w:tr>
    </w:tbl>
    <w:p>
      <w:pPr>
        <w:spacing w:after="160"/>
      </w:pPr>
    </w:p>
    <w:p>
      <w:pPr>
        <w:pBdr>
          <w:top w:val="single" w:color="808080" w:sz="4"/>
          <w:left w:val="single" w:color="808080" w:sz="4"/>
          <w:bottom w:val="single" w:color="808080" w:sz="4"/>
          <w:right w:val="single" w:color="808080" w:sz="4"/>
        </w:pBdr>
        <w:spacing w:after="160" w:before="120" w:line="276"/>
        <w:jc w:val="center"/>
      </w:pPr>
      <w:r>
        <w:rPr>
          <w:rFonts w:ascii="Times New Roman" w:cs="Times New Roman" w:eastAsia="Times New Roman" w:hAnsi="Times New Roman"/>
          <w:i/>
          <w:iCs/>
          <w:color w:val="555555"/>
          <w:sz w:val="22"/>
          <w:szCs w:val="22"/>
        </w:rPr>
        <w:t xml:space="preserve">[Insert a screenshot of the GitHub repository page here before submission.]</w:t>
      </w:r>
    </w:p>
    <w:p>
      <w:pPr>
        <w:pStyle w:val="Heading1"/>
        <w:keepNext/>
        <w:spacing w:after="160" w:before="360" w:line="360"/>
      </w:pPr>
      <w:bookmarkStart w:name="sec_9" w:id="9"/>
      <w:r>
        <w:rPr>
          <w:rFonts w:ascii="Times New Roman" w:cs="Times New Roman" w:eastAsia="Times New Roman" w:hAnsi="Times New Roman"/>
          <w:b/>
          <w:bCs/>
          <w:sz w:val="32"/>
          <w:szCs w:val="32"/>
        </w:rPr>
        <w:t xml:space="preserve">9. Experiment Tracking</w:t>
      </w:r>
      <w:bookmarkEnd w:id="9"/>
    </w:p>
    <w:p>
      <w:pPr>
        <w:spacing w:after="120" w:before="0" w:line="360"/>
        <w:jc w:val="both"/>
      </w:pPr>
      <w:r>
        <w:rPr>
          <w:rFonts w:ascii="Times New Roman" w:cs="Times New Roman" w:eastAsia="Times New Roman" w:hAnsi="Times New Roman"/>
          <w:sz w:val="24"/>
          <w:szCs w:val="24"/>
        </w:rPr>
        <w:t xml:space="preserve">No dedicated experiment-tracking platform (such as MLflow or Weights &amp; Biases) was used. Experiments were recorded manually and reproducibly: every run writes its parameters and metrics to CSV or JSON files in the reports directory (for example phase3_model_results.csv, phase5_taxonomy_results.csv and evaluation_results.json), and each experiment has a written report. The best model per rank was selected from these tables. Table 8 lists the main experiments.</w:t>
      </w:r>
    </w:p>
    <w:p>
      <w:pPr>
        <w:keepNext/>
        <w:spacing w:after="80" w:before="160" w:line="276"/>
        <w:jc w:val="center"/>
      </w:pPr>
      <w:r>
        <w:rPr>
          <w:rFonts w:ascii="Times New Roman" w:cs="Times New Roman" w:eastAsia="Times New Roman" w:hAnsi="Times New Roman"/>
          <w:b/>
          <w:bCs/>
          <w:sz w:val="22"/>
          <w:szCs w:val="22"/>
        </w:rPr>
        <w:t xml:space="preserve">Table 9. </w:t>
      </w:r>
      <w:r>
        <w:rPr>
          <w:rFonts w:ascii="Times New Roman" w:cs="Times New Roman" w:eastAsia="Times New Roman" w:hAnsi="Times New Roman"/>
          <w:sz w:val="22"/>
          <w:szCs w:val="22"/>
        </w:rPr>
        <w:t xml:space="preserve">Summary of experiments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900"/>
        <w:gridCol w:w="1800"/>
        <w:gridCol w:w="1300"/>
        <w:gridCol w:w="1626"/>
      </w:tblGrid>
      <w:tr>
        <w:trPr>
          <w:cantSplit/>
          <w:tblHeader/>
        </w:trPr>
        <w:tc>
          <w:tcPr>
            <w:tcW w:type="dxa" w:w="900"/>
            <w:tcBorders>
              <w:top w:val="single" w:color="808080" w:sz="4"/>
              <w:left w:val="single" w:color="808080" w:sz="4"/>
              <w:bottom w:val="single" w:color="808080" w:sz="4"/>
              <w:right w:val="single" w:color="808080" w:sz="4"/>
            </w:tcBorders>
            <w:shd w:fill="D9E8F5"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0"/>
                <w:szCs w:val="20"/>
              </w:rPr>
              <w:t xml:space="preserve">Experiment</w:t>
            </w:r>
          </w:p>
        </w:tc>
        <w:tc>
          <w:tcPr>
            <w:tcW w:type="dxa" w:w="1500"/>
            <w:tcBorders>
              <w:top w:val="single" w:color="808080" w:sz="4"/>
              <w:left w:val="single" w:color="808080" w:sz="4"/>
              <w:bottom w:val="single" w:color="808080" w:sz="4"/>
              <w:right w:val="single" w:color="808080" w:sz="4"/>
            </w:tcBorders>
            <w:shd w:fill="D9E8F5"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0"/>
                <w:szCs w:val="20"/>
              </w:rPr>
              <w:t xml:space="preserve">Model</w:t>
            </w:r>
          </w:p>
        </w:tc>
        <w:tc>
          <w:tcPr>
            <w:tcW w:type="dxa" w:w="1900"/>
            <w:tcBorders>
              <w:top w:val="single" w:color="808080" w:sz="4"/>
              <w:left w:val="single" w:color="808080" w:sz="4"/>
              <w:bottom w:val="single" w:color="808080" w:sz="4"/>
              <w:right w:val="single" w:color="808080" w:sz="4"/>
            </w:tcBorders>
            <w:shd w:fill="D9E8F5"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0"/>
                <w:szCs w:val="20"/>
              </w:rPr>
              <w:t xml:space="preserve">Parameters</w:t>
            </w:r>
          </w:p>
        </w:tc>
        <w:tc>
          <w:tcPr>
            <w:tcW w:type="dxa" w:w="1800"/>
            <w:tcBorders>
              <w:top w:val="single" w:color="808080" w:sz="4"/>
              <w:left w:val="single" w:color="808080" w:sz="4"/>
              <w:bottom w:val="single" w:color="808080" w:sz="4"/>
              <w:right w:val="single" w:color="808080" w:sz="4"/>
            </w:tcBorders>
            <w:shd w:fill="D9E8F5"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0"/>
                <w:szCs w:val="20"/>
              </w:rPr>
              <w:t xml:space="preserve">Accuracy</w:t>
            </w:r>
          </w:p>
        </w:tc>
        <w:tc>
          <w:tcPr>
            <w:tcW w:type="dxa" w:w="1300"/>
            <w:tcBorders>
              <w:top w:val="single" w:color="808080" w:sz="4"/>
              <w:left w:val="single" w:color="808080" w:sz="4"/>
              <w:bottom w:val="single" w:color="808080" w:sz="4"/>
              <w:right w:val="single" w:color="808080" w:sz="4"/>
            </w:tcBorders>
            <w:shd w:fill="D9E8F5"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0"/>
                <w:szCs w:val="20"/>
              </w:rPr>
              <w:t xml:space="preserve">F1 Score</w:t>
            </w:r>
          </w:p>
        </w:tc>
        <w:tc>
          <w:tcPr>
            <w:tcW w:type="dxa" w:w="1626"/>
            <w:tcBorders>
              <w:top w:val="single" w:color="808080" w:sz="4"/>
              <w:left w:val="single" w:color="808080" w:sz="4"/>
              <w:bottom w:val="single" w:color="808080" w:sz="4"/>
              <w:right w:val="single" w:color="808080" w:sz="4"/>
            </w:tcBorders>
            <w:shd w:fill="D9E8F5"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0"/>
                <w:szCs w:val="20"/>
              </w:rPr>
              <w:t xml:space="preserve">Remarks</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Exp-01</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KNN, Random Forest (species)</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9 feature sets; k ∈ {1,3,5}; 100/300 trees</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LOOCV 0.022</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n/a</w:t>
            </w:r>
          </w:p>
        </w:tc>
        <w:tc>
          <w:tcPr>
            <w:tcW w:type="dxa" w:w="1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Hits the structural ceiling of 2/91: 89 species have one sequence</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Exp-02</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XGBoost (species)</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72 runs: 8 settings × 9 feature sets</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LOOCV 0.000</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n/a</w:t>
            </w:r>
          </w:p>
        </w:tc>
        <w:tc>
          <w:tcPr>
            <w:tcW w:type="dxa" w:w="1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Boosting cannot learn classes with one example</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Exp-03</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KNN, RF, XGBoost per rank</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60 runs: 5 ranks × 4 feature sets × 3 models</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LOOCV total: class 0.98, order 0.64, family 0.45, genus 0.16</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n/a</w:t>
            </w:r>
          </w:p>
        </w:tc>
        <w:tc>
          <w:tcPr>
            <w:tcW w:type="dxa" w:w="1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Accuracy falls with depth; singletons count as errors in these totals</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Exp-04</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Leakage-safe evaluation (final)</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Leave-one-sequence-out, unique sequences</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Top-1: class 1.00, order 0.76, family 0.87</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Macro: class 1.00, order 0.59, family 0.79</w:t>
            </w:r>
          </w:p>
        </w:tc>
        <w:tc>
          <w:tcPr>
            <w:tcW w:type="dxa" w:w="1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Used for all results in Section 12</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Exp-05</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Distance Veto (out-of-reference)</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Close 0.03, veto 0.15; 4 test categories</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Recall 35.2%, FPR 0.0%</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F1 0.52</w:t>
            </w:r>
          </w:p>
        </w:tc>
        <w:tc>
          <w:tcPr>
            <w:tcW w:type="dxa" w:w="1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AUROC of distance 0.90; 100% of non-fish rejected</w:t>
            </w:r>
          </w:p>
        </w:tc>
      </w:tr>
    </w:tbl>
    <w:p>
      <w:pPr>
        <w:spacing w:after="160"/>
      </w:pPr>
    </w:p>
    <w:p>
      <w:pPr>
        <w:pStyle w:val="Heading1"/>
        <w:keepNext/>
        <w:spacing w:after="160" w:before="360" w:line="360"/>
      </w:pPr>
      <w:bookmarkStart w:name="sec_10" w:id="10"/>
      <w:r>
        <w:rPr>
          <w:rFonts w:ascii="Times New Roman" w:cs="Times New Roman" w:eastAsia="Times New Roman" w:hAnsi="Times New Roman"/>
          <w:b/>
          <w:bCs/>
          <w:sz w:val="32"/>
          <w:szCs w:val="32"/>
        </w:rPr>
        <w:t xml:space="preserve">10. AutoML / MLOps</w:t>
      </w:r>
      <w:bookmarkEnd w:id="10"/>
    </w:p>
    <w:p>
      <w:pPr>
        <w:pStyle w:val="Heading2"/>
        <w:keepNext/>
        <w:spacing w:after="120" w:before="240" w:line="360"/>
      </w:pPr>
      <w:r>
        <w:rPr>
          <w:rFonts w:ascii="Times New Roman" w:cs="Times New Roman" w:eastAsia="Times New Roman" w:hAnsi="Times New Roman"/>
          <w:b/>
          <w:bCs/>
          <w:sz w:val="28"/>
          <w:szCs w:val="28"/>
        </w:rPr>
        <w:t xml:space="preserve">10.1 AutoML</w:t>
      </w:r>
    </w:p>
    <w:p>
      <w:pPr>
        <w:spacing w:after="120" w:before="0" w:line="360"/>
        <w:jc w:val="both"/>
      </w:pPr>
      <w:r>
        <w:rPr>
          <w:rFonts w:ascii="Times New Roman" w:cs="Times New Roman" w:eastAsia="Times New Roman" w:hAnsi="Times New Roman"/>
          <w:sz w:val="24"/>
          <w:szCs w:val="24"/>
        </w:rPr>
        <w:t xml:space="preserve">AutoML was not used. Model families and hyperparameter grids were chosen manually and are small by design, because the dataset has only 101 independent sequences and an automated search would overfit the validation folds.</w:t>
      </w:r>
    </w:p>
    <w:p>
      <w:pPr>
        <w:pStyle w:val="Heading2"/>
        <w:keepNext/>
        <w:spacing w:after="120" w:before="240" w:line="360"/>
      </w:pPr>
      <w:r>
        <w:rPr>
          <w:rFonts w:ascii="Times New Roman" w:cs="Times New Roman" w:eastAsia="Times New Roman" w:hAnsi="Times New Roman"/>
          <w:b/>
          <w:bCs/>
          <w:sz w:val="28"/>
          <w:szCs w:val="28"/>
        </w:rPr>
        <w:t xml:space="preserve">10.2 MLOps</w:t>
      </w:r>
    </w:p>
    <w:p>
      <w:pPr>
        <w:spacing w:after="120" w:before="0" w:line="360"/>
        <w:jc w:val="both"/>
      </w:pPr>
      <w:r>
        <w:rPr>
          <w:rFonts w:ascii="Times New Roman" w:cs="Times New Roman" w:eastAsia="Times New Roman" w:hAnsi="Times New Roman"/>
          <w:sz w:val="24"/>
          <w:szCs w:val="24"/>
        </w:rPr>
        <w:t xml:space="preserve">A limited set of MLOps practices were implemented; the remaining ones were not.</w:t>
      </w:r>
    </w:p>
    <w:p>
      <w:pPr>
        <w:keepNext/>
        <w:spacing w:after="80" w:before="160" w:line="276"/>
        <w:jc w:val="center"/>
      </w:pPr>
      <w:r>
        <w:rPr>
          <w:rFonts w:ascii="Times New Roman" w:cs="Times New Roman" w:eastAsia="Times New Roman" w:hAnsi="Times New Roman"/>
          <w:b/>
          <w:bCs/>
          <w:sz w:val="22"/>
          <w:szCs w:val="22"/>
        </w:rPr>
        <w:t xml:space="preserve">Table 10. </w:t>
      </w:r>
      <w:r>
        <w:rPr>
          <w:rFonts w:ascii="Times New Roman" w:cs="Times New Roman" w:eastAsia="Times New Roman" w:hAnsi="Times New Roman"/>
          <w:sz w:val="22"/>
          <w:szCs w:val="22"/>
        </w:rPr>
        <w:t xml:space="preserve">MLOps practices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4726"/>
      </w:tblGrid>
      <w:tr>
        <w:trPr>
          <w:cantSplit/>
          <w:tblHeader/>
        </w:trPr>
        <w:tc>
          <w:tcPr>
            <w:tcW w:type="dxa" w:w="2600"/>
            <w:tcBorders>
              <w:top w:val="single" w:color="808080" w:sz="4"/>
              <w:left w:val="single" w:color="808080" w:sz="4"/>
              <w:bottom w:val="single" w:color="808080" w:sz="4"/>
              <w:right w:val="single" w:color="808080" w:sz="4"/>
            </w:tcBorders>
            <w:shd w:fill="D9E8F5"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0"/>
                <w:szCs w:val="20"/>
              </w:rPr>
              <w:t xml:space="preserve">Practice</w:t>
            </w:r>
          </w:p>
        </w:tc>
        <w:tc>
          <w:tcPr>
            <w:tcW w:type="dxa" w:w="1700"/>
            <w:tcBorders>
              <w:top w:val="single" w:color="808080" w:sz="4"/>
              <w:left w:val="single" w:color="808080" w:sz="4"/>
              <w:bottom w:val="single" w:color="808080" w:sz="4"/>
              <w:right w:val="single" w:color="808080" w:sz="4"/>
            </w:tcBorders>
            <w:shd w:fill="D9E8F5"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0"/>
                <w:szCs w:val="20"/>
              </w:rPr>
              <w:t xml:space="preserve">Status</w:t>
            </w:r>
          </w:p>
        </w:tc>
        <w:tc>
          <w:tcPr>
            <w:tcW w:type="dxa" w:w="4726"/>
            <w:tcBorders>
              <w:top w:val="single" w:color="808080" w:sz="4"/>
              <w:left w:val="single" w:color="808080" w:sz="4"/>
              <w:bottom w:val="single" w:color="808080" w:sz="4"/>
              <w:right w:val="single" w:color="808080" w:sz="4"/>
            </w:tcBorders>
            <w:shd w:fill="D9E8F5"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0"/>
                <w:szCs w:val="20"/>
              </w:rPr>
              <w:t xml:space="preserve">Details</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Code versioning</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Implemented</w:t>
            </w:r>
          </w:p>
        </w:tc>
        <w:tc>
          <w:tcPr>
            <w:tcW w:type="dxa" w:w="47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Git and GitHub</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Data versioning / integrity</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Partly</w:t>
            </w:r>
          </w:p>
        </w:tc>
        <w:tc>
          <w:tcPr>
            <w:tcW w:type="dxa" w:w="47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Raw file is never modified and its SHA-256 checksum is verified; no data-versioning tool</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Model versioning</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Partly</w:t>
            </w:r>
          </w:p>
        </w:tc>
        <w:tc>
          <w:tcPr>
            <w:tcW w:type="dxa" w:w="47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Model artefacts (joblib) stored in the repository; no model registry</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Experiment tracking</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Manual</w:t>
            </w:r>
          </w:p>
        </w:tc>
        <w:tc>
          <w:tcPr>
            <w:tcW w:type="dxa" w:w="47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CSV and JSON result files (Section 9)</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Automated testing</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Implemented</w:t>
            </w:r>
          </w:p>
        </w:tc>
        <w:tc>
          <w:tcPr>
            <w:tcW w:type="dxa" w:w="47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172 pytest tests covering data, features, models, prediction, evaluation and the Distance Veto</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Reproducibility</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Implemented</w:t>
            </w:r>
          </w:p>
        </w:tc>
        <w:tc>
          <w:tcPr>
            <w:tcW w:type="dxa" w:w="47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Fixed random seeds, documented splits, regenerable evaluation script</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CI/CD</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Not implemented</w:t>
            </w:r>
          </w:p>
        </w:tc>
        <w:tc>
          <w:tcPr>
            <w:tcW w:type="dxa" w:w="47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Tests are run manually</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Model monitoring</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Not implemented</w:t>
            </w:r>
          </w:p>
        </w:tc>
        <w:tc>
          <w:tcPr>
            <w:tcW w:type="dxa" w:w="47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No production traffic to monitor</w:t>
            </w:r>
          </w:p>
        </w:tc>
      </w:tr>
    </w:tbl>
    <w:p>
      <w:pPr>
        <w:spacing w:after="160"/>
      </w:pPr>
    </w:p>
    <w:p>
      <w:pPr>
        <w:pStyle w:val="Heading1"/>
        <w:keepNext/>
        <w:spacing w:after="160" w:before="360" w:line="360"/>
      </w:pPr>
      <w:bookmarkStart w:name="sec_11" w:id="11"/>
      <w:r>
        <w:rPr>
          <w:rFonts w:ascii="Times New Roman" w:cs="Times New Roman" w:eastAsia="Times New Roman" w:hAnsi="Times New Roman"/>
          <w:b/>
          <w:bCs/>
          <w:sz w:val="32"/>
          <w:szCs w:val="32"/>
        </w:rPr>
        <w:t xml:space="preserve">11. Deployment</w:t>
      </w:r>
      <w:bookmarkEnd w:id="11"/>
    </w:p>
    <w:p>
      <w:pPr>
        <w:spacing w:after="120" w:before="0" w:line="360"/>
        <w:jc w:val="both"/>
      </w:pPr>
      <w:r>
        <w:rPr>
          <w:rFonts w:ascii="Times New Roman" w:cs="Times New Roman" w:eastAsia="Times New Roman" w:hAnsi="Times New Roman"/>
          <w:sz w:val="24"/>
          <w:szCs w:val="24"/>
        </w:rPr>
        <w:t xml:space="preserve">BioScan was developed as a local application. The trained models are saved with joblib and loaded once by the prediction engine; a Streamlit dashboard calls the engine directly, so no separate API server is used. The workflow followed was: train and select models → save artefacts → build the prediction engine → integrate it into the dashboard → test (pytest and manual page checks) → run locally. Public cloud deployment has not been performed.</w:t>
      </w:r>
    </w:p>
    <w:p>
      <w:pPr>
        <w:keepNext/>
        <w:spacing w:after="80" w:before="160" w:line="276"/>
        <w:jc w:val="center"/>
      </w:pPr>
      <w:r>
        <w:rPr>
          <w:rFonts w:ascii="Times New Roman" w:cs="Times New Roman" w:eastAsia="Times New Roman" w:hAnsi="Times New Roman"/>
          <w:b/>
          <w:bCs/>
          <w:sz w:val="22"/>
          <w:szCs w:val="22"/>
        </w:rPr>
        <w:t xml:space="preserve">Table 11. </w:t>
      </w:r>
      <w:r>
        <w:rPr>
          <w:rFonts w:ascii="Times New Roman" w:cs="Times New Roman" w:eastAsia="Times New Roman" w:hAnsi="Times New Roman"/>
          <w:sz w:val="22"/>
          <w:szCs w:val="22"/>
        </w:rPr>
        <w:t xml:space="preserve">Deployment components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cantSplit/>
          <w:tblHeader/>
        </w:trPr>
        <w:tc>
          <w:tcPr>
            <w:tcW w:type="dxa" w:w="3200"/>
            <w:tcBorders>
              <w:top w:val="single" w:color="808080" w:sz="4"/>
              <w:left w:val="single" w:color="808080" w:sz="4"/>
              <w:bottom w:val="single" w:color="808080" w:sz="4"/>
              <w:right w:val="single" w:color="808080" w:sz="4"/>
            </w:tcBorders>
            <w:shd w:fill="D9E8F5"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0"/>
                <w:szCs w:val="20"/>
              </w:rPr>
              <w:t xml:space="preserve">Component</w:t>
            </w:r>
          </w:p>
        </w:tc>
        <w:tc>
          <w:tcPr>
            <w:tcW w:type="dxa" w:w="5826"/>
            <w:tcBorders>
              <w:top w:val="single" w:color="808080" w:sz="4"/>
              <w:left w:val="single" w:color="808080" w:sz="4"/>
              <w:bottom w:val="single" w:color="808080" w:sz="4"/>
              <w:right w:val="single" w:color="808080" w:sz="4"/>
            </w:tcBorders>
            <w:shd w:fill="D9E8F5"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0"/>
                <w:szCs w:val="20"/>
              </w:rPr>
              <w:t xml:space="preserve">Technology</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Application Framework</w:t>
            </w:r>
          </w:p>
        </w:tc>
        <w:tc>
          <w:tcPr>
            <w:tcW w:type="dxa" w:w="58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Streamlit</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API Framework</w:t>
            </w:r>
          </w:p>
        </w:tc>
        <w:tc>
          <w:tcPr>
            <w:tcW w:type="dxa" w:w="58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None (Python module interface: predict_sequence, predict_batch, predict_fasta)</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Containerization</w:t>
            </w:r>
          </w:p>
        </w:tc>
        <w:tc>
          <w:tcPr>
            <w:tcW w:type="dxa" w:w="58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Not used</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Cloud Platform</w:t>
            </w:r>
          </w:p>
        </w:tc>
        <w:tc>
          <w:tcPr>
            <w:tcW w:type="dxa" w:w="58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Not used</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Deployment Method</w:t>
            </w:r>
          </w:p>
        </w:tc>
        <w:tc>
          <w:tcPr>
            <w:tcW w:type="dxa" w:w="58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Local execution with: streamlit run app/app.py</w:t>
            </w:r>
          </w:p>
        </w:tc>
      </w:tr>
    </w:tbl>
    <w:p>
      <w:pPr>
        <w:spacing w:after="160"/>
      </w:pPr>
    </w:p>
    <w:p>
      <w:pPr>
        <w:spacing w:after="120" w:before="0" w:line="360"/>
        <w:jc w:val="both"/>
      </w:pPr>
      <w:r>
        <w:rPr>
          <w:rFonts w:ascii="Times New Roman" w:cs="Times New Roman" w:eastAsia="Times New Roman" w:hAnsi="Times New Roman"/>
          <w:sz w:val="24"/>
          <w:szCs w:val="24"/>
        </w:rPr>
        <w:t xml:space="preserve">On a development laptop the models and reference data load in about one second and a single sequence is classified in under 0.1 seconds, with a peak memory use of about 250 MB. Figures 4 to 10 show the deployed application.</w:t>
      </w:r>
    </w:p>
    <w:p>
      <w:pPr>
        <w:keepNext/>
        <w:spacing w:after="40" w:before="120"/>
        <w:jc w:val="center"/>
      </w:pPr>
      <w:r>
        <w:drawing>
          <wp:inline distT="0" distB="0" distL="0" distR="0">
            <wp:extent cx="5667375" cy="2200275"/>
            <wp:effectExtent t="0" r="0" b="0" l="0"/>
            <wp:docPr id="4" name="ui_identify_empty.png" descr="Identify page with sidebar navigation, library summary and result legend."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2200275"/>
                    </a:xfrm>
                    <a:prstGeom prst="rect">
                      <a:avLst/>
                    </a:prstGeom>
                  </pic:spPr>
                </pic:pic>
              </a:graphicData>
            </a:graphic>
          </wp:inline>
        </w:drawing>
      </w:r>
    </w:p>
    <w:p>
      <w:pPr>
        <w:keepNext w:val="false"/>
        <w:spacing w:after="200" w:before="60" w:line="276"/>
        <w:jc w:val="center"/>
      </w:pPr>
      <w:r>
        <w:rPr>
          <w:rFonts w:ascii="Times New Roman" w:cs="Times New Roman" w:eastAsia="Times New Roman" w:hAnsi="Times New Roman"/>
          <w:b/>
          <w:bCs/>
          <w:sz w:val="22"/>
          <w:szCs w:val="22"/>
        </w:rPr>
        <w:t xml:space="preserve">Figure 4. </w:t>
      </w:r>
      <w:r>
        <w:rPr>
          <w:rFonts w:ascii="Times New Roman" w:cs="Times New Roman" w:eastAsia="Times New Roman" w:hAnsi="Times New Roman"/>
          <w:sz w:val="22"/>
          <w:szCs w:val="22"/>
        </w:rPr>
        <w:t xml:space="preserve">Identify page with sidebar navigation, library summary and result legend.</w:t>
      </w:r>
    </w:p>
    <w:p>
      <w:pPr>
        <w:keepNext/>
        <w:spacing w:after="40" w:before="120"/>
        <w:jc w:val="center"/>
      </w:pPr>
      <w:r>
        <w:drawing>
          <wp:inline distT="0" distB="0" distL="0" distR="0">
            <wp:extent cx="5124450" cy="4762500"/>
            <wp:effectExtent t="0" r="0" b="0" l="0"/>
            <wp:docPr id="5" name="s_low_main.png" descr="Result for a diverged sequence: low-confidence verdict, distance gauge and the rank the evidence supports (family)."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24450" cy="4762500"/>
                    </a:xfrm>
                    <a:prstGeom prst="rect">
                      <a:avLst/>
                    </a:prstGeom>
                  </pic:spPr>
                </pic:pic>
              </a:graphicData>
            </a:graphic>
          </wp:inline>
        </w:drawing>
      </w:r>
    </w:p>
    <w:p>
      <w:pPr>
        <w:keepNext w:val="false"/>
        <w:spacing w:after="200" w:before="60" w:line="276"/>
        <w:jc w:val="center"/>
      </w:pPr>
      <w:r>
        <w:rPr>
          <w:rFonts w:ascii="Times New Roman" w:cs="Times New Roman" w:eastAsia="Times New Roman" w:hAnsi="Times New Roman"/>
          <w:b/>
          <w:bCs/>
          <w:sz w:val="22"/>
          <w:szCs w:val="22"/>
        </w:rPr>
        <w:t xml:space="preserve">Figure 5. </w:t>
      </w:r>
      <w:r>
        <w:rPr>
          <w:rFonts w:ascii="Times New Roman" w:cs="Times New Roman" w:eastAsia="Times New Roman" w:hAnsi="Times New Roman"/>
          <w:sz w:val="22"/>
          <w:szCs w:val="22"/>
        </w:rPr>
        <w:t xml:space="preserve">Result for a diverged sequence: low-confidence verdict, distance gauge and the rank the evidence supports (family).</w:t>
      </w:r>
    </w:p>
    <w:p>
      <w:pPr>
        <w:keepNext/>
        <w:spacing w:after="40" w:before="120"/>
        <w:jc w:val="center"/>
      </w:pPr>
      <w:r>
        <w:drawing>
          <wp:inline distT="0" distB="0" distL="0" distR="0">
            <wp:extent cx="5124450" cy="3581400"/>
            <wp:effectExtent t="0" r="0" b="0" l="0"/>
            <wp:docPr id="6" name="s_low_tables.png" descr="Reference similarity table and model diagnostics for the same sequence."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24450" cy="3581400"/>
                    </a:xfrm>
                    <a:prstGeom prst="rect">
                      <a:avLst/>
                    </a:prstGeom>
                  </pic:spPr>
                </pic:pic>
              </a:graphicData>
            </a:graphic>
          </wp:inline>
        </w:drawing>
      </w:r>
    </w:p>
    <w:p>
      <w:pPr>
        <w:keepNext w:val="false"/>
        <w:spacing w:after="200" w:before="60" w:line="276"/>
        <w:jc w:val="center"/>
      </w:pPr>
      <w:r>
        <w:rPr>
          <w:rFonts w:ascii="Times New Roman" w:cs="Times New Roman" w:eastAsia="Times New Roman" w:hAnsi="Times New Roman"/>
          <w:b/>
          <w:bCs/>
          <w:sz w:val="22"/>
          <w:szCs w:val="22"/>
        </w:rPr>
        <w:t xml:space="preserve">Figure 6. </w:t>
      </w:r>
      <w:r>
        <w:rPr>
          <w:rFonts w:ascii="Times New Roman" w:cs="Times New Roman" w:eastAsia="Times New Roman" w:hAnsi="Times New Roman"/>
          <w:sz w:val="22"/>
          <w:szCs w:val="22"/>
        </w:rPr>
        <w:t xml:space="preserve">Reference similarity table and model diagnostics for the same sequence.</w:t>
      </w:r>
    </w:p>
    <w:p>
      <w:pPr>
        <w:keepNext/>
        <w:spacing w:after="40" w:before="120"/>
        <w:jc w:val="center"/>
      </w:pPr>
      <w:r>
        <w:drawing>
          <wp:inline distT="0" distB="0" distL="0" distR="0">
            <wp:extent cx="5124450" cy="2914650"/>
            <wp:effectExtent t="0" r="0" b="0" l="0"/>
            <wp:docPr id="7" name="s_known.png" descr="Result for a known reference sequence: exact match with the species named."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24450" cy="2914650"/>
                    </a:xfrm>
                    <a:prstGeom prst="rect">
                      <a:avLst/>
                    </a:prstGeom>
                  </pic:spPr>
                </pic:pic>
              </a:graphicData>
            </a:graphic>
          </wp:inline>
        </w:drawing>
      </w:r>
    </w:p>
    <w:p>
      <w:pPr>
        <w:keepNext w:val="false"/>
        <w:spacing w:after="200" w:before="60" w:line="276"/>
        <w:jc w:val="center"/>
      </w:pPr>
      <w:r>
        <w:rPr>
          <w:rFonts w:ascii="Times New Roman" w:cs="Times New Roman" w:eastAsia="Times New Roman" w:hAnsi="Times New Roman"/>
          <w:b/>
          <w:bCs/>
          <w:sz w:val="22"/>
          <w:szCs w:val="22"/>
        </w:rPr>
        <w:t xml:space="preserve">Figure 7. </w:t>
      </w:r>
      <w:r>
        <w:rPr>
          <w:rFonts w:ascii="Times New Roman" w:cs="Times New Roman" w:eastAsia="Times New Roman" w:hAnsi="Times New Roman"/>
          <w:sz w:val="22"/>
          <w:szCs w:val="22"/>
        </w:rPr>
        <w:t xml:space="preserve">Result for a known reference sequence: exact match with the species named.</w:t>
      </w:r>
    </w:p>
    <w:p>
      <w:pPr>
        <w:keepNext/>
        <w:spacing w:after="40" w:before="120"/>
        <w:jc w:val="center"/>
      </w:pPr>
      <w:r>
        <w:drawing>
          <wp:inline distT="0" distB="0" distL="0" distR="0">
            <wp:extent cx="5124450" cy="3486150"/>
            <wp:effectExtent t="0" r="0" b="0" l="0"/>
            <wp:docPr id="8" name="s_oor.png" descr="Result for a non-fish sequence: the Distance Veto rejects it and withholds all taxonomy."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24450" cy="3486150"/>
                    </a:xfrm>
                    <a:prstGeom prst="rect">
                      <a:avLst/>
                    </a:prstGeom>
                  </pic:spPr>
                </pic:pic>
              </a:graphicData>
            </a:graphic>
          </wp:inline>
        </w:drawing>
      </w:r>
    </w:p>
    <w:p>
      <w:pPr>
        <w:keepNext w:val="false"/>
        <w:spacing w:after="200" w:before="60" w:line="276"/>
        <w:jc w:val="center"/>
      </w:pPr>
      <w:r>
        <w:rPr>
          <w:rFonts w:ascii="Times New Roman" w:cs="Times New Roman" w:eastAsia="Times New Roman" w:hAnsi="Times New Roman"/>
          <w:b/>
          <w:bCs/>
          <w:sz w:val="22"/>
          <w:szCs w:val="22"/>
        </w:rPr>
        <w:t xml:space="preserve">Figure 8. </w:t>
      </w:r>
      <w:r>
        <w:rPr>
          <w:rFonts w:ascii="Times New Roman" w:cs="Times New Roman" w:eastAsia="Times New Roman" w:hAnsi="Times New Roman"/>
          <w:sz w:val="22"/>
          <w:szCs w:val="22"/>
        </w:rPr>
        <w:t xml:space="preserve">Result for a non-fish sequence: the Distance Veto rejects it and withholds all taxonomy.</w:t>
      </w:r>
    </w:p>
    <w:p>
      <w:pPr>
        <w:keepNext/>
        <w:spacing w:after="40" w:before="120"/>
        <w:jc w:val="center"/>
      </w:pPr>
      <w:r>
        <w:drawing>
          <wp:inline distT="0" distB="0" distL="0" distR="0">
            <wp:extent cx="5124450" cy="5534025"/>
            <wp:effectExtent t="0" r="0" b="0" l="0"/>
            <wp:docPr id="9" name="s_batch.png" descr="Batch analysis of a five-record FASTA file, showing per-record status and CSV export."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24450" cy="5534025"/>
                    </a:xfrm>
                    <a:prstGeom prst="rect">
                      <a:avLst/>
                    </a:prstGeom>
                  </pic:spPr>
                </pic:pic>
              </a:graphicData>
            </a:graphic>
          </wp:inline>
        </w:drawing>
      </w:r>
    </w:p>
    <w:p>
      <w:pPr>
        <w:keepNext w:val="false"/>
        <w:spacing w:after="200" w:before="60" w:line="276"/>
        <w:jc w:val="center"/>
      </w:pPr>
      <w:r>
        <w:rPr>
          <w:rFonts w:ascii="Times New Roman" w:cs="Times New Roman" w:eastAsia="Times New Roman" w:hAnsi="Times New Roman"/>
          <w:b/>
          <w:bCs/>
          <w:sz w:val="22"/>
          <w:szCs w:val="22"/>
        </w:rPr>
        <w:t xml:space="preserve">Figure 9. </w:t>
      </w:r>
      <w:r>
        <w:rPr>
          <w:rFonts w:ascii="Times New Roman" w:cs="Times New Roman" w:eastAsia="Times New Roman" w:hAnsi="Times New Roman"/>
          <w:sz w:val="22"/>
          <w:szCs w:val="22"/>
        </w:rPr>
        <w:t xml:space="preserve">Batch analysis of a five-record FASTA file, showing per-record status and CSV export.</w:t>
      </w:r>
    </w:p>
    <w:p>
      <w:pPr>
        <w:keepNext/>
        <w:spacing w:after="40" w:before="120"/>
        <w:jc w:val="center"/>
      </w:pPr>
      <w:r>
        <w:drawing>
          <wp:inline distT="0" distB="0" distL="0" distR="0">
            <wp:extent cx="5124450" cy="5534025"/>
            <wp:effectExtent t="0" r="0" b="0" l="0"/>
            <wp:docPr id="10" name="s_bio.png" descr="Biodiversity explorer showing survey stations and taxonomic composition."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24450" cy="5534025"/>
                    </a:xfrm>
                    <a:prstGeom prst="rect">
                      <a:avLst/>
                    </a:prstGeom>
                  </pic:spPr>
                </pic:pic>
              </a:graphicData>
            </a:graphic>
          </wp:inline>
        </w:drawing>
      </w:r>
    </w:p>
    <w:p>
      <w:pPr>
        <w:keepNext w:val="false"/>
        <w:spacing w:after="200" w:before="60" w:line="276"/>
        <w:jc w:val="center"/>
      </w:pPr>
      <w:r>
        <w:rPr>
          <w:rFonts w:ascii="Times New Roman" w:cs="Times New Roman" w:eastAsia="Times New Roman" w:hAnsi="Times New Roman"/>
          <w:b/>
          <w:bCs/>
          <w:sz w:val="22"/>
          <w:szCs w:val="22"/>
        </w:rPr>
        <w:t xml:space="preserve">Figure 10. </w:t>
      </w:r>
      <w:r>
        <w:rPr>
          <w:rFonts w:ascii="Times New Roman" w:cs="Times New Roman" w:eastAsia="Times New Roman" w:hAnsi="Times New Roman"/>
          <w:sz w:val="22"/>
          <w:szCs w:val="22"/>
        </w:rPr>
        <w:t xml:space="preserve">Biodiversity explorer showing survey stations and taxonomic composition.</w:t>
      </w:r>
    </w:p>
    <w:p>
      <w:pPr>
        <w:pStyle w:val="Heading1"/>
        <w:keepNext/>
        <w:spacing w:after="160" w:before="360" w:line="360"/>
      </w:pPr>
      <w:bookmarkStart w:name="sec_12" w:id="12"/>
      <w:r>
        <w:rPr>
          <w:rFonts w:ascii="Times New Roman" w:cs="Times New Roman" w:eastAsia="Times New Roman" w:hAnsi="Times New Roman"/>
          <w:b/>
          <w:bCs/>
          <w:sz w:val="32"/>
          <w:szCs w:val="32"/>
        </w:rPr>
        <w:t xml:space="preserve">12. Results and Discussions</w:t>
      </w:r>
      <w:bookmarkEnd w:id="12"/>
    </w:p>
    <w:p>
      <w:pPr>
        <w:pStyle w:val="Heading2"/>
        <w:keepNext/>
        <w:spacing w:after="120" w:before="240" w:line="360"/>
      </w:pPr>
      <w:r>
        <w:rPr>
          <w:rFonts w:ascii="Times New Roman" w:cs="Times New Roman" w:eastAsia="Times New Roman" w:hAnsi="Times New Roman"/>
          <w:b/>
          <w:bCs/>
          <w:sz w:val="28"/>
          <w:szCs w:val="28"/>
        </w:rPr>
        <w:t xml:space="preserve">12.1 Taxonomy classification</w:t>
      </w:r>
    </w:p>
    <w:p>
      <w:pPr>
        <w:spacing w:after="120" w:before="0" w:line="360"/>
        <w:jc w:val="both"/>
      </w:pPr>
      <w:r>
        <w:rPr>
          <w:rFonts w:ascii="Times New Roman" w:cs="Times New Roman" w:eastAsia="Times New Roman" w:hAnsi="Times New Roman"/>
          <w:sz w:val="24"/>
          <w:szCs w:val="24"/>
        </w:rPr>
        <w:t xml:space="preserve">Table 11 reports held-out performance for the three model families at each rank on unique sequences. Genus and species are omitted because too few sequences can be held out to give a meaningful score. Class-level results come from only two testable classes (Teleostei and Elasmobranchii), so they describe an almost binary task.</w:t>
      </w:r>
    </w:p>
    <w:p>
      <w:pPr>
        <w:keepNext/>
        <w:spacing w:after="80" w:before="160" w:line="276"/>
        <w:jc w:val="center"/>
      </w:pPr>
      <w:r>
        <w:rPr>
          <w:rFonts w:ascii="Times New Roman" w:cs="Times New Roman" w:eastAsia="Times New Roman" w:hAnsi="Times New Roman"/>
          <w:b/>
          <w:bCs/>
          <w:sz w:val="22"/>
          <w:szCs w:val="22"/>
        </w:rPr>
        <w:t xml:space="preserve">Table 12. </w:t>
      </w:r>
      <w:r>
        <w:rPr>
          <w:rFonts w:ascii="Times New Roman" w:cs="Times New Roman" w:eastAsia="Times New Roman" w:hAnsi="Times New Roman"/>
          <w:sz w:val="22"/>
          <w:szCs w:val="22"/>
        </w:rPr>
        <w:t xml:space="preserve">Held-out taxonomy performance (leave-one-sequence-out). * = model used in the application</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800"/>
        <w:gridCol w:w="800"/>
        <w:gridCol w:w="850"/>
        <w:gridCol w:w="950"/>
        <w:gridCol w:w="1126"/>
        <w:gridCol w:w="1100"/>
      </w:tblGrid>
      <w:tr>
        <w:trPr>
          <w:cantSplit/>
          <w:tblHeader/>
        </w:trPr>
        <w:tc>
          <w:tcPr>
            <w:tcW w:type="dxa" w:w="1900"/>
            <w:tcBorders>
              <w:top w:val="single" w:color="808080" w:sz="4"/>
              <w:left w:val="single" w:color="808080" w:sz="4"/>
              <w:bottom w:val="single" w:color="808080" w:sz="4"/>
              <w:right w:val="single" w:color="808080" w:sz="4"/>
            </w:tcBorders>
            <w:shd w:fill="D9E8F5"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0"/>
                <w:szCs w:val="20"/>
              </w:rPr>
              <w:t xml:space="preserve">Rank (test n, classes)</w:t>
            </w:r>
          </w:p>
        </w:tc>
        <w:tc>
          <w:tcPr>
            <w:tcW w:type="dxa" w:w="1500"/>
            <w:tcBorders>
              <w:top w:val="single" w:color="808080" w:sz="4"/>
              <w:left w:val="single" w:color="808080" w:sz="4"/>
              <w:bottom w:val="single" w:color="808080" w:sz="4"/>
              <w:right w:val="single" w:color="808080" w:sz="4"/>
            </w:tcBorders>
            <w:shd w:fill="D9E8F5"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0"/>
                <w:szCs w:val="20"/>
              </w:rPr>
              <w:t xml:space="preserve">Model</w:t>
            </w:r>
          </w:p>
        </w:tc>
        <w:tc>
          <w:tcPr>
            <w:tcW w:type="dxa" w:w="800"/>
            <w:tcBorders>
              <w:top w:val="single" w:color="808080" w:sz="4"/>
              <w:left w:val="single" w:color="808080" w:sz="4"/>
              <w:bottom w:val="single" w:color="808080" w:sz="4"/>
              <w:right w:val="single" w:color="808080" w:sz="4"/>
            </w:tcBorders>
            <w:shd w:fill="D9E8F5"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0"/>
                <w:szCs w:val="20"/>
              </w:rPr>
              <w:t xml:space="preserve">Macro P</w:t>
            </w:r>
          </w:p>
        </w:tc>
        <w:tc>
          <w:tcPr>
            <w:tcW w:type="dxa" w:w="800"/>
            <w:tcBorders>
              <w:top w:val="single" w:color="808080" w:sz="4"/>
              <w:left w:val="single" w:color="808080" w:sz="4"/>
              <w:bottom w:val="single" w:color="808080" w:sz="4"/>
              <w:right w:val="single" w:color="808080" w:sz="4"/>
            </w:tcBorders>
            <w:shd w:fill="D9E8F5"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0"/>
                <w:szCs w:val="20"/>
              </w:rPr>
              <w:t xml:space="preserve">Macro R</w:t>
            </w:r>
          </w:p>
        </w:tc>
        <w:tc>
          <w:tcPr>
            <w:tcW w:type="dxa" w:w="850"/>
            <w:tcBorders>
              <w:top w:val="single" w:color="808080" w:sz="4"/>
              <w:left w:val="single" w:color="808080" w:sz="4"/>
              <w:bottom w:val="single" w:color="808080" w:sz="4"/>
              <w:right w:val="single" w:color="808080" w:sz="4"/>
            </w:tcBorders>
            <w:shd w:fill="D9E8F5"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0"/>
                <w:szCs w:val="20"/>
              </w:rPr>
              <w:t xml:space="preserve">Macro F1</w:t>
            </w:r>
          </w:p>
        </w:tc>
        <w:tc>
          <w:tcPr>
            <w:tcW w:type="dxa" w:w="950"/>
            <w:tcBorders>
              <w:top w:val="single" w:color="808080" w:sz="4"/>
              <w:left w:val="single" w:color="808080" w:sz="4"/>
              <w:bottom w:val="single" w:color="808080" w:sz="4"/>
              <w:right w:val="single" w:color="808080" w:sz="4"/>
            </w:tcBorders>
            <w:shd w:fill="D9E8F5"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0"/>
                <w:szCs w:val="20"/>
              </w:rPr>
              <w:t xml:space="preserve">Weighted F1</w:t>
            </w:r>
          </w:p>
        </w:tc>
        <w:tc>
          <w:tcPr>
            <w:tcW w:type="dxa" w:w="1126"/>
            <w:tcBorders>
              <w:top w:val="single" w:color="808080" w:sz="4"/>
              <w:left w:val="single" w:color="808080" w:sz="4"/>
              <w:bottom w:val="single" w:color="808080" w:sz="4"/>
              <w:right w:val="single" w:color="808080" w:sz="4"/>
            </w:tcBorders>
            <w:shd w:fill="D9E8F5"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0"/>
                <w:szCs w:val="20"/>
              </w:rPr>
              <w:t xml:space="preserve">Balanced acc.</w:t>
            </w:r>
          </w:p>
        </w:tc>
        <w:tc>
          <w:tcPr>
            <w:tcW w:type="dxa" w:w="1100"/>
            <w:tcBorders>
              <w:top w:val="single" w:color="808080" w:sz="4"/>
              <w:left w:val="single" w:color="808080" w:sz="4"/>
              <w:bottom w:val="single" w:color="808080" w:sz="4"/>
              <w:right w:val="single" w:color="808080" w:sz="4"/>
            </w:tcBorders>
            <w:shd w:fill="D9E8F5"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0"/>
                <w:szCs w:val="20"/>
              </w:rPr>
              <w:t xml:space="preserve">Top-1 acc.</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Class (99, 2 of 4)</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KNN</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1.000</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0.994</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0.997</w:t>
            </w:r>
          </w:p>
        </w:tc>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0.995</w:t>
            </w:r>
          </w:p>
        </w:tc>
        <w:tc>
          <w:tcPr>
            <w:tcW w:type="dxa" w:w="11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0.994</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0.990</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Random Forest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1.000</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1.000</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1.000</w:t>
            </w:r>
          </w:p>
        </w:tc>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1.000</w:t>
            </w:r>
          </w:p>
        </w:tc>
        <w:tc>
          <w:tcPr>
            <w:tcW w:type="dxa" w:w="11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1.000</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1.000</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XGBoost</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0.972</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0.994</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0.983</w:t>
            </w:r>
          </w:p>
        </w:tc>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0.990</w:t>
            </w:r>
          </w:p>
        </w:tc>
        <w:tc>
          <w:tcPr>
            <w:tcW w:type="dxa" w:w="11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0.994</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0.990</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Order (87, 16 of 30)</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KNN</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0.642</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0.647</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0.630</w:t>
            </w:r>
          </w:p>
        </w:tc>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0.720</w:t>
            </w:r>
          </w:p>
        </w:tc>
        <w:tc>
          <w:tcPr>
            <w:tcW w:type="dxa" w:w="11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0.647</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0.736</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Random Forest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0.593</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0.601</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0.586</w:t>
            </w:r>
          </w:p>
        </w:tc>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0.705</w:t>
            </w:r>
          </w:p>
        </w:tc>
        <w:tc>
          <w:tcPr>
            <w:tcW w:type="dxa" w:w="11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0.601</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0.759</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XGBoost</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0.360</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0.423</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0.383</w:t>
            </w:r>
          </w:p>
        </w:tc>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0.616</w:t>
            </w:r>
          </w:p>
        </w:tc>
        <w:tc>
          <w:tcPr>
            <w:tcW w:type="dxa" w:w="11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0.423</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0.667</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Family (52, 17 of 66)</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KNN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0.804</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0.794</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0.792</w:t>
            </w:r>
          </w:p>
        </w:tc>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0.864</w:t>
            </w:r>
          </w:p>
        </w:tc>
        <w:tc>
          <w:tcPr>
            <w:tcW w:type="dxa" w:w="11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0.794</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0.865</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Random Forest</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0.722</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0.681</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0.685</w:t>
            </w:r>
          </w:p>
        </w:tc>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0.749</w:t>
            </w:r>
          </w:p>
        </w:tc>
        <w:tc>
          <w:tcPr>
            <w:tcW w:type="dxa" w:w="11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0.681</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0.769</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XGBoost</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0.347</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0.402</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0.367</w:t>
            </w:r>
          </w:p>
        </w:tc>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0.552</w:t>
            </w:r>
          </w:p>
        </w:tc>
        <w:tc>
          <w:tcPr>
            <w:tcW w:type="dxa" w:w="11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0.402</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0.596</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Genus (19, 9 classes)</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Not scored</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w:t>
            </w:r>
          </w:p>
        </w:tc>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w:t>
            </w:r>
          </w:p>
        </w:tc>
        <w:tc>
          <w:tcPr>
            <w:tcW w:type="dxa" w:w="11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Species (2, 1 class)</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Not scored</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w:t>
            </w:r>
          </w:p>
        </w:tc>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w:t>
            </w:r>
          </w:p>
        </w:tc>
        <w:tc>
          <w:tcPr>
            <w:tcW w:type="dxa" w:w="11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w:t>
            </w:r>
          </w:p>
        </w:tc>
      </w:tr>
    </w:tbl>
    <w:p>
      <w:pPr>
        <w:spacing w:after="160"/>
      </w:pPr>
    </w:p>
    <w:p>
      <w:pPr>
        <w:keepNext/>
        <w:spacing w:after="40" w:before="120"/>
        <w:jc w:val="center"/>
      </w:pPr>
      <w:r>
        <w:drawing>
          <wp:inline distT="0" distB="0" distL="0" distR="0">
            <wp:extent cx="4752975" cy="2524125"/>
            <wp:effectExtent t="0" r="0" b="0" l="0"/>
            <wp:docPr id="11" name="fig_macro_f1.png" descr="Macro F1 by model and rank on held-out sequences."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52975" cy="2524125"/>
                    </a:xfrm>
                    <a:prstGeom prst="rect">
                      <a:avLst/>
                    </a:prstGeom>
                  </pic:spPr>
                </pic:pic>
              </a:graphicData>
            </a:graphic>
          </wp:inline>
        </w:drawing>
      </w:r>
    </w:p>
    <w:p>
      <w:pPr>
        <w:keepNext w:val="false"/>
        <w:spacing w:after="200" w:before="60" w:line="276"/>
        <w:jc w:val="center"/>
      </w:pPr>
      <w:r>
        <w:rPr>
          <w:rFonts w:ascii="Times New Roman" w:cs="Times New Roman" w:eastAsia="Times New Roman" w:hAnsi="Times New Roman"/>
          <w:b/>
          <w:bCs/>
          <w:sz w:val="22"/>
          <w:szCs w:val="22"/>
        </w:rPr>
        <w:t xml:space="preserve">Figure 11. </w:t>
      </w:r>
      <w:r>
        <w:rPr>
          <w:rFonts w:ascii="Times New Roman" w:cs="Times New Roman" w:eastAsia="Times New Roman" w:hAnsi="Times New Roman"/>
          <w:sz w:val="22"/>
          <w:szCs w:val="22"/>
        </w:rPr>
        <w:t xml:space="preserve">Macro F1 by model and rank on held-out sequences.</w:t>
      </w:r>
    </w:p>
    <w:p>
      <w:pPr>
        <w:keepNext/>
        <w:spacing w:after="40" w:before="120"/>
        <w:jc w:val="center"/>
      </w:pPr>
      <w:r>
        <w:drawing>
          <wp:inline distT="0" distB="0" distL="0" distR="0">
            <wp:extent cx="5667375" cy="2695575"/>
            <wp:effectExtent t="0" r="0" b="0" l="0"/>
            <wp:docPr id="12" name="fig_confusion.png" descr="Confusion matrices for class (left) and order (right), Random Forest."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67375" cy="2695575"/>
                    </a:xfrm>
                    <a:prstGeom prst="rect">
                      <a:avLst/>
                    </a:prstGeom>
                  </pic:spPr>
                </pic:pic>
              </a:graphicData>
            </a:graphic>
          </wp:inline>
        </w:drawing>
      </w:r>
    </w:p>
    <w:p>
      <w:pPr>
        <w:keepNext w:val="false"/>
        <w:spacing w:after="200" w:before="60" w:line="276"/>
        <w:jc w:val="center"/>
      </w:pPr>
      <w:r>
        <w:rPr>
          <w:rFonts w:ascii="Times New Roman" w:cs="Times New Roman" w:eastAsia="Times New Roman" w:hAnsi="Times New Roman"/>
          <w:b/>
          <w:bCs/>
          <w:sz w:val="22"/>
          <w:szCs w:val="22"/>
        </w:rPr>
        <w:t xml:space="preserve">Figure 12. </w:t>
      </w:r>
      <w:r>
        <w:rPr>
          <w:rFonts w:ascii="Times New Roman" w:cs="Times New Roman" w:eastAsia="Times New Roman" w:hAnsi="Times New Roman"/>
          <w:sz w:val="22"/>
          <w:szCs w:val="22"/>
        </w:rPr>
        <w:t xml:space="preserve">Confusion matrices for class (left) and order (right), Random Forest.</w:t>
      </w:r>
    </w:p>
    <w:p>
      <w:pPr>
        <w:spacing w:after="120" w:before="0" w:line="360"/>
        <w:jc w:val="both"/>
      </w:pPr>
      <w:r>
        <w:rPr>
          <w:rFonts w:ascii="Times New Roman" w:cs="Times New Roman" w:eastAsia="Times New Roman" w:hAnsi="Times New Roman"/>
          <w:sz w:val="24"/>
          <w:szCs w:val="24"/>
        </w:rPr>
        <w:t xml:space="preserve">Discussion. Accuracy falls from class to family, which mirrors the data: the number of classes grows and the number of examples per class shrinks. XGBoost is clearly the weakest at order and family (macro F1 0.38 and 0.37), as boosting needs more examples per class than are available. Random forest is best at class and order, and the one-nearest-neighbour model is best at family. At order level a macro F1 of 0.59 against a top-1 accuracy of 0.76 shows that rare orders are missed more often than common ones, which is the reason macro metrics are reported.</w:t>
      </w:r>
    </w:p>
    <w:p>
      <w:pPr>
        <w:spacing w:after="120" w:before="0" w:line="360"/>
        <w:jc w:val="both"/>
      </w:pPr>
      <w:r>
        <w:rPr>
          <w:rFonts w:ascii="Times New Roman" w:cs="Times New Roman" w:eastAsia="Times New Roman" w:hAnsi="Times New Roman"/>
          <w:sz w:val="24"/>
          <w:szCs w:val="24"/>
        </w:rPr>
        <w:t xml:space="preserve">An important finding is that a plain nearest-reference search (leave-one-out) labels 100%, 81.6% and 90.4% of sequences correctly at class, order and family, which is comparable to or better than the trained models (class 100%, order 75.9%, family 86.5%). The machine-learning layer therefore adds little beyond class level on this library, and the value of BioScan lies in the evidence combination and the Distance Veto rather than in a better classifier. Figure 13 shows how label accuracy depends on how close the nearest reference is.</w:t>
      </w:r>
    </w:p>
    <w:p>
      <w:pPr>
        <w:keepNext/>
        <w:spacing w:after="40" w:before="120"/>
        <w:jc w:val="center"/>
      </w:pPr>
      <w:r>
        <w:drawing>
          <wp:inline distT="0" distB="0" distL="0" distR="0">
            <wp:extent cx="4752975" cy="2447925"/>
            <wp:effectExtent t="0" r="0" b="0" l="0"/>
            <wp:docPr id="13" name="fig_acc_distance.png" descr="Accuracy of the nearest-reference label as a function of the allowed distance (leave-one-out)."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52975" cy="2447925"/>
                    </a:xfrm>
                    <a:prstGeom prst="rect">
                      <a:avLst/>
                    </a:prstGeom>
                  </pic:spPr>
                </pic:pic>
              </a:graphicData>
            </a:graphic>
          </wp:inline>
        </w:drawing>
      </w:r>
    </w:p>
    <w:p>
      <w:pPr>
        <w:keepNext w:val="false"/>
        <w:spacing w:after="200" w:before="60" w:line="276"/>
        <w:jc w:val="center"/>
      </w:pPr>
      <w:r>
        <w:rPr>
          <w:rFonts w:ascii="Times New Roman" w:cs="Times New Roman" w:eastAsia="Times New Roman" w:hAnsi="Times New Roman"/>
          <w:b/>
          <w:bCs/>
          <w:sz w:val="22"/>
          <w:szCs w:val="22"/>
        </w:rPr>
        <w:t xml:space="preserve">Figure 13. </w:t>
      </w:r>
      <w:r>
        <w:rPr>
          <w:rFonts w:ascii="Times New Roman" w:cs="Times New Roman" w:eastAsia="Times New Roman" w:hAnsi="Times New Roman"/>
          <w:sz w:val="22"/>
          <w:szCs w:val="22"/>
        </w:rPr>
        <w:t xml:space="preserve">Accuracy of the nearest-reference label as a function of the allowed distance (leave-one-out).</w:t>
      </w:r>
    </w:p>
    <w:p>
      <w:pPr>
        <w:pStyle w:val="Heading2"/>
        <w:keepNext/>
        <w:spacing w:after="120" w:before="240" w:line="360"/>
      </w:pPr>
      <w:r>
        <w:rPr>
          <w:rFonts w:ascii="Times New Roman" w:cs="Times New Roman" w:eastAsia="Times New Roman" w:hAnsi="Times New Roman"/>
          <w:b/>
          <w:bCs/>
          <w:sz w:val="28"/>
          <w:szCs w:val="28"/>
        </w:rPr>
        <w:t xml:space="preserve">12.2 Out-of-reference detection</w:t>
      </w:r>
    </w:p>
    <w:p>
      <w:pPr>
        <w:spacing w:after="120" w:before="0" w:line="360"/>
        <w:jc w:val="both"/>
      </w:pPr>
      <w:r>
        <w:rPr>
          <w:rFonts w:ascii="Times New Roman" w:cs="Times New Roman" w:eastAsia="Times New Roman" w:hAnsi="Times New Roman"/>
          <w:sz w:val="24"/>
          <w:szCs w:val="24"/>
        </w:rPr>
        <w:t xml:space="preserve">Table 12 gives detection performance on the test half: 153 altered known sequences (negatives) and 71 unknown sequences (52 from held-out genera and 19 non-fish). The production rule flags a sequence as out-of-reference only when its distance exceeds 0.15.</w:t>
      </w:r>
    </w:p>
    <w:p>
      <w:pPr>
        <w:keepNext/>
        <w:spacing w:after="80" w:before="160" w:line="276"/>
        <w:jc w:val="center"/>
      </w:pPr>
      <w:r>
        <w:rPr>
          <w:rFonts w:ascii="Times New Roman" w:cs="Times New Roman" w:eastAsia="Times New Roman" w:hAnsi="Times New Roman"/>
          <w:b/>
          <w:bCs/>
          <w:sz w:val="22"/>
          <w:szCs w:val="22"/>
        </w:rPr>
        <w:t xml:space="preserve">Table 13. </w:t>
      </w:r>
      <w:r>
        <w:rPr>
          <w:rFonts w:ascii="Times New Roman" w:cs="Times New Roman" w:eastAsia="Times New Roman" w:hAnsi="Times New Roman"/>
          <w:sz w:val="22"/>
          <w:szCs w:val="22"/>
        </w:rPr>
        <w:t xml:space="preserve">Out-of-reference detection on the held-out test half (positive = out of reference)</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750"/>
        <w:gridCol w:w="700"/>
        <w:gridCol w:w="950"/>
        <w:gridCol w:w="1000"/>
        <w:gridCol w:w="1000"/>
        <w:gridCol w:w="1426"/>
      </w:tblGrid>
      <w:tr>
        <w:trPr>
          <w:cantSplit/>
          <w:tblHeader/>
        </w:trPr>
        <w:tc>
          <w:tcPr>
            <w:tcW w:type="dxa" w:w="2400"/>
            <w:tcBorders>
              <w:top w:val="single" w:color="808080" w:sz="4"/>
              <w:left w:val="single" w:color="808080" w:sz="4"/>
              <w:bottom w:val="single" w:color="808080" w:sz="4"/>
              <w:right w:val="single" w:color="808080" w:sz="4"/>
            </w:tcBorders>
            <w:shd w:fill="D9E8F5"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0"/>
                <w:szCs w:val="20"/>
              </w:rPr>
              <w:t xml:space="preserve">Rule</w:t>
            </w:r>
          </w:p>
        </w:tc>
        <w:tc>
          <w:tcPr>
            <w:tcW w:type="dxa" w:w="800"/>
            <w:tcBorders>
              <w:top w:val="single" w:color="808080" w:sz="4"/>
              <w:left w:val="single" w:color="808080" w:sz="4"/>
              <w:bottom w:val="single" w:color="808080" w:sz="4"/>
              <w:right w:val="single" w:color="808080" w:sz="4"/>
            </w:tcBorders>
            <w:shd w:fill="D9E8F5"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0"/>
                <w:szCs w:val="20"/>
              </w:rPr>
              <w:t xml:space="preserve">Precision</w:t>
            </w:r>
          </w:p>
        </w:tc>
        <w:tc>
          <w:tcPr>
            <w:tcW w:type="dxa" w:w="750"/>
            <w:tcBorders>
              <w:top w:val="single" w:color="808080" w:sz="4"/>
              <w:left w:val="single" w:color="808080" w:sz="4"/>
              <w:bottom w:val="single" w:color="808080" w:sz="4"/>
              <w:right w:val="single" w:color="808080" w:sz="4"/>
            </w:tcBorders>
            <w:shd w:fill="D9E8F5"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0"/>
                <w:szCs w:val="20"/>
              </w:rPr>
              <w:t xml:space="preserve">Recall</w:t>
            </w:r>
          </w:p>
        </w:tc>
        <w:tc>
          <w:tcPr>
            <w:tcW w:type="dxa" w:w="700"/>
            <w:tcBorders>
              <w:top w:val="single" w:color="808080" w:sz="4"/>
              <w:left w:val="single" w:color="808080" w:sz="4"/>
              <w:bottom w:val="single" w:color="808080" w:sz="4"/>
              <w:right w:val="single" w:color="808080" w:sz="4"/>
            </w:tcBorders>
            <w:shd w:fill="D9E8F5"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0"/>
                <w:szCs w:val="20"/>
              </w:rPr>
              <w:t xml:space="preserve">F1</w:t>
            </w:r>
          </w:p>
        </w:tc>
        <w:tc>
          <w:tcPr>
            <w:tcW w:type="dxa" w:w="950"/>
            <w:tcBorders>
              <w:top w:val="single" w:color="808080" w:sz="4"/>
              <w:left w:val="single" w:color="808080" w:sz="4"/>
              <w:bottom w:val="single" w:color="808080" w:sz="4"/>
              <w:right w:val="single" w:color="808080" w:sz="4"/>
            </w:tcBorders>
            <w:shd w:fill="D9E8F5"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0"/>
                <w:szCs w:val="20"/>
              </w:rPr>
              <w:t xml:space="preserve">Specificity</w:t>
            </w:r>
          </w:p>
        </w:tc>
        <w:tc>
          <w:tcPr>
            <w:tcW w:type="dxa" w:w="1000"/>
            <w:tcBorders>
              <w:top w:val="single" w:color="808080" w:sz="4"/>
              <w:left w:val="single" w:color="808080" w:sz="4"/>
              <w:bottom w:val="single" w:color="808080" w:sz="4"/>
              <w:right w:val="single" w:color="808080" w:sz="4"/>
            </w:tcBorders>
            <w:shd w:fill="D9E8F5"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0"/>
                <w:szCs w:val="20"/>
              </w:rPr>
              <w:t xml:space="preserve">False-positive rate</w:t>
            </w:r>
          </w:p>
        </w:tc>
        <w:tc>
          <w:tcPr>
            <w:tcW w:type="dxa" w:w="1000"/>
            <w:tcBorders>
              <w:top w:val="single" w:color="808080" w:sz="4"/>
              <w:left w:val="single" w:color="808080" w:sz="4"/>
              <w:bottom w:val="single" w:color="808080" w:sz="4"/>
              <w:right w:val="single" w:color="808080" w:sz="4"/>
            </w:tcBorders>
            <w:shd w:fill="D9E8F5"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0"/>
                <w:szCs w:val="20"/>
              </w:rPr>
              <w:t xml:space="preserve">False-negative rate</w:t>
            </w:r>
          </w:p>
        </w:tc>
        <w:tc>
          <w:tcPr>
            <w:tcW w:type="dxa" w:w="1426"/>
            <w:tcBorders>
              <w:top w:val="single" w:color="808080" w:sz="4"/>
              <w:left w:val="single" w:color="808080" w:sz="4"/>
              <w:bottom w:val="single" w:color="808080" w:sz="4"/>
              <w:right w:val="single" w:color="808080" w:sz="4"/>
            </w:tcBorders>
            <w:shd w:fill="D9E8F5"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0"/>
                <w:szCs w:val="20"/>
              </w:rPr>
              <w:t xml:space="preserve">Coverage</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Production veto (flag out of reference)</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1.000</w:t>
            </w:r>
          </w:p>
        </w:tc>
        <w:tc>
          <w:tcPr>
            <w:tcW w:type="dxa" w:w="7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0.352</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0.521</w:t>
            </w:r>
          </w:p>
        </w:tc>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1.000</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0.000</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0.648</w:t>
            </w:r>
          </w:p>
        </w:tc>
        <w:tc>
          <w:tcPr>
            <w:tcW w:type="dxa" w:w="1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0.482</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Reject or abstain (low confidence counts)</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0.560</w:t>
            </w:r>
          </w:p>
        </w:tc>
        <w:tc>
          <w:tcPr>
            <w:tcW w:type="dxa" w:w="7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0.915</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0.695</w:t>
            </w:r>
          </w:p>
        </w:tc>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0.667</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0.333</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0.085</w:t>
            </w:r>
          </w:p>
        </w:tc>
        <w:tc>
          <w:tcPr>
            <w:tcW w:type="dxa" w:w="1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0.482</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0"/>
                <w:szCs w:val="20"/>
              </w:rPr>
              <w:t xml:space="preserve">Threshold 0.05 chosen on calibration half</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0.946</w:t>
            </w:r>
          </w:p>
        </w:tc>
        <w:tc>
          <w:tcPr>
            <w:tcW w:type="dxa" w:w="7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0.746</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0.835</w:t>
            </w:r>
          </w:p>
        </w:tc>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0.980</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0.020</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0.254</w:t>
            </w:r>
          </w:p>
        </w:tc>
        <w:tc>
          <w:tcPr>
            <w:tcW w:type="dxa" w:w="1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0.750</w:t>
            </w:r>
          </w:p>
        </w:tc>
      </w:tr>
    </w:tbl>
    <w:p>
      <w:pPr>
        <w:spacing w:after="160"/>
      </w:pPr>
    </w:p>
    <w:p>
      <w:pPr>
        <w:keepNext/>
        <w:spacing w:after="40" w:before="120"/>
        <w:jc w:val="center"/>
      </w:pPr>
      <w:r>
        <w:drawing>
          <wp:inline distT="0" distB="0" distL="0" distR="0">
            <wp:extent cx="4752975" cy="2447925"/>
            <wp:effectExtent t="0" r="0" b="0" l="0"/>
            <wp:docPr id="14" name="fig_unknown_categories.png" descr="Share of each test category flagged as out of reference (red) or accepted as known (green)."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52975" cy="2447925"/>
                    </a:xfrm>
                    <a:prstGeom prst="rect">
                      <a:avLst/>
                    </a:prstGeom>
                  </pic:spPr>
                </pic:pic>
              </a:graphicData>
            </a:graphic>
          </wp:inline>
        </w:drawing>
      </w:r>
    </w:p>
    <w:p>
      <w:pPr>
        <w:keepNext w:val="false"/>
        <w:spacing w:after="200" w:before="60" w:line="276"/>
        <w:jc w:val="center"/>
      </w:pPr>
      <w:r>
        <w:rPr>
          <w:rFonts w:ascii="Times New Roman" w:cs="Times New Roman" w:eastAsia="Times New Roman" w:hAnsi="Times New Roman"/>
          <w:b/>
          <w:bCs/>
          <w:sz w:val="22"/>
          <w:szCs w:val="22"/>
        </w:rPr>
        <w:t xml:space="preserve">Figure 14. </w:t>
      </w:r>
      <w:r>
        <w:rPr>
          <w:rFonts w:ascii="Times New Roman" w:cs="Times New Roman" w:eastAsia="Times New Roman" w:hAnsi="Times New Roman"/>
          <w:sz w:val="22"/>
          <w:szCs w:val="22"/>
        </w:rPr>
        <w:t xml:space="preserve">Share of each test category flagged as out of reference (red) or accepted as known (green).</w:t>
      </w:r>
    </w:p>
    <w:p>
      <w:pPr>
        <w:keepNext/>
        <w:spacing w:after="40" w:before="120"/>
        <w:jc w:val="center"/>
      </w:pPr>
      <w:r>
        <w:drawing>
          <wp:inline distT="0" distB="0" distL="0" distR="0">
            <wp:extent cx="4752975" cy="2676525"/>
            <wp:effectExtent t="0" r="0" b="0" l="0"/>
            <wp:docPr id="15" name="fig_distance_hist.png" descr="Distance to the nearest reference for altered known (green), held-out genus (orange) and non-fish (red) sequences."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52975" cy="2676525"/>
                    </a:xfrm>
                    <a:prstGeom prst="rect">
                      <a:avLst/>
                    </a:prstGeom>
                  </pic:spPr>
                </pic:pic>
              </a:graphicData>
            </a:graphic>
          </wp:inline>
        </w:drawing>
      </w:r>
    </w:p>
    <w:p>
      <w:pPr>
        <w:keepNext w:val="false"/>
        <w:spacing w:after="200" w:before="60" w:line="276"/>
        <w:jc w:val="center"/>
      </w:pPr>
      <w:r>
        <w:rPr>
          <w:rFonts w:ascii="Times New Roman" w:cs="Times New Roman" w:eastAsia="Times New Roman" w:hAnsi="Times New Roman"/>
          <w:b/>
          <w:bCs/>
          <w:sz w:val="22"/>
          <w:szCs w:val="22"/>
        </w:rPr>
        <w:t xml:space="preserve">Figure 15. </w:t>
      </w:r>
      <w:r>
        <w:rPr>
          <w:rFonts w:ascii="Times New Roman" w:cs="Times New Roman" w:eastAsia="Times New Roman" w:hAnsi="Times New Roman"/>
          <w:sz w:val="22"/>
          <w:szCs w:val="22"/>
        </w:rPr>
        <w:t xml:space="preserve">Distance to the nearest reference for altered known (green), held-out genus (orange) and non-fish (red) sequences.</w:t>
      </w:r>
    </w:p>
    <w:p>
      <w:pPr>
        <w:spacing w:after="120" w:before="0" w:line="360"/>
        <w:jc w:val="both"/>
      </w:pPr>
      <w:r>
        <w:rPr>
          <w:rFonts w:ascii="Times New Roman" w:cs="Times New Roman" w:eastAsia="Times New Roman" w:hAnsi="Times New Roman"/>
          <w:sz w:val="24"/>
          <w:szCs w:val="24"/>
        </w:rPr>
        <w:t xml:space="preserve">Discussion. The veto is highly specific and precise: no altered known sequence was wrongly rejected, and all 19 non-fish sequences were rejected. Its recall of 35.2% is low because most held-out genera still have a relative in the library and fall between the close-match line (0.03) and the veto (0.15). Those sequences are not accepted wrongly: only 11.5% of held-out genera were accepted as known; the rest were abstained on. Counting abstention as a flag, recall rises to 91.5% at the cost of a 33.3% false-positive rate, because sequences with five base changes (distance about 0.05) are also abstained on. The AUROC of the nearest distance as an unknown score is 0.90.</w:t>
      </w:r>
    </w:p>
    <w:p>
      <w:pPr>
        <w:keepNext/>
        <w:spacing w:after="80" w:before="160" w:line="276"/>
        <w:jc w:val="center"/>
      </w:pPr>
      <w:r>
        <w:rPr>
          <w:rFonts w:ascii="Times New Roman" w:cs="Times New Roman" w:eastAsia="Times New Roman" w:hAnsi="Times New Roman"/>
          <w:b/>
          <w:bCs/>
          <w:sz w:val="22"/>
          <w:szCs w:val="22"/>
        </w:rPr>
        <w:t xml:space="preserve">Table 14. </w:t>
      </w:r>
      <w:r>
        <w:rPr>
          <w:rFonts w:ascii="Times New Roman" w:cs="Times New Roman" w:eastAsia="Times New Roman" w:hAnsi="Times New Roman"/>
          <w:sz w:val="22"/>
          <w:szCs w:val="22"/>
        </w:rPr>
        <w:t xml:space="preserve">Robustness to substitution errors (test half)</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700"/>
        <w:gridCol w:w="1400"/>
        <w:gridCol w:w="1300"/>
        <w:gridCol w:w="1450"/>
        <w:gridCol w:w="1500"/>
        <w:gridCol w:w="1376"/>
      </w:tblGrid>
      <w:tr>
        <w:trPr>
          <w:cantSplit/>
          <w:tblHeader/>
        </w:trPr>
        <w:tc>
          <w:tcPr>
            <w:tcW w:type="dxa" w:w="1300"/>
            <w:tcBorders>
              <w:top w:val="single" w:color="808080" w:sz="4"/>
              <w:left w:val="single" w:color="808080" w:sz="4"/>
              <w:bottom w:val="single" w:color="808080" w:sz="4"/>
              <w:right w:val="single" w:color="808080" w:sz="4"/>
            </w:tcBorders>
            <w:shd w:fill="D9E8F5"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0"/>
                <w:szCs w:val="20"/>
              </w:rPr>
              <w:t xml:space="preserve">Substitutions</w:t>
            </w:r>
          </w:p>
        </w:tc>
        <w:tc>
          <w:tcPr>
            <w:tcW w:type="dxa" w:w="700"/>
            <w:tcBorders>
              <w:top w:val="single" w:color="808080" w:sz="4"/>
              <w:left w:val="single" w:color="808080" w:sz="4"/>
              <w:bottom w:val="single" w:color="808080" w:sz="4"/>
              <w:right w:val="single" w:color="808080" w:sz="4"/>
            </w:tcBorders>
            <w:shd w:fill="D9E8F5"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0"/>
                <w:szCs w:val="20"/>
              </w:rPr>
              <w:t xml:space="preserve">n</w:t>
            </w:r>
          </w:p>
        </w:tc>
        <w:tc>
          <w:tcPr>
            <w:tcW w:type="dxa" w:w="1400"/>
            <w:tcBorders>
              <w:top w:val="single" w:color="808080" w:sz="4"/>
              <w:left w:val="single" w:color="808080" w:sz="4"/>
              <w:bottom w:val="single" w:color="808080" w:sz="4"/>
              <w:right w:val="single" w:color="808080" w:sz="4"/>
            </w:tcBorders>
            <w:shd w:fill="D9E8F5"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0"/>
                <w:szCs w:val="20"/>
              </w:rPr>
              <w:t xml:space="preserve">Median distance</w:t>
            </w:r>
          </w:p>
        </w:tc>
        <w:tc>
          <w:tcPr>
            <w:tcW w:type="dxa" w:w="1300"/>
            <w:tcBorders>
              <w:top w:val="single" w:color="808080" w:sz="4"/>
              <w:left w:val="single" w:color="808080" w:sz="4"/>
              <w:bottom w:val="single" w:color="808080" w:sz="4"/>
              <w:right w:val="single" w:color="808080" w:sz="4"/>
            </w:tcBorders>
            <w:shd w:fill="D9E8F5"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0"/>
                <w:szCs w:val="20"/>
              </w:rPr>
              <w:t xml:space="preserve">Max distance</w:t>
            </w:r>
          </w:p>
        </w:tc>
        <w:tc>
          <w:tcPr>
            <w:tcW w:type="dxa" w:w="1450"/>
            <w:tcBorders>
              <w:top w:val="single" w:color="808080" w:sz="4"/>
              <w:left w:val="single" w:color="808080" w:sz="4"/>
              <w:bottom w:val="single" w:color="808080" w:sz="4"/>
              <w:right w:val="single" w:color="808080" w:sz="4"/>
            </w:tcBorders>
            <w:shd w:fill="D9E8F5"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0"/>
                <w:szCs w:val="20"/>
              </w:rPr>
              <w:t xml:space="preserve">Wrongly rejected</w:t>
            </w:r>
          </w:p>
        </w:tc>
        <w:tc>
          <w:tcPr>
            <w:tcW w:type="dxa" w:w="1500"/>
            <w:tcBorders>
              <w:top w:val="single" w:color="808080" w:sz="4"/>
              <w:left w:val="single" w:color="808080" w:sz="4"/>
              <w:bottom w:val="single" w:color="808080" w:sz="4"/>
              <w:right w:val="single" w:color="808080" w:sz="4"/>
            </w:tcBorders>
            <w:shd w:fill="D9E8F5"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0"/>
                <w:szCs w:val="20"/>
              </w:rPr>
              <w:t xml:space="preserve">Accepted as known</w:t>
            </w:r>
          </w:p>
        </w:tc>
        <w:tc>
          <w:tcPr>
            <w:tcW w:type="dxa" w:w="1376"/>
            <w:tcBorders>
              <w:top w:val="single" w:color="808080" w:sz="4"/>
              <w:left w:val="single" w:color="808080" w:sz="4"/>
              <w:bottom w:val="single" w:color="808080" w:sz="4"/>
              <w:right w:val="single" w:color="808080" w:sz="4"/>
            </w:tcBorders>
            <w:shd w:fill="D9E8F5"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0"/>
                <w:szCs w:val="20"/>
              </w:rPr>
              <w:t xml:space="preserve">Abstained</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1</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51</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0.009</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0.011</w:t>
            </w:r>
          </w:p>
        </w:tc>
        <w:tc>
          <w:tcPr>
            <w:tcW w:type="dxa" w:w="14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0.0%</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100%</w:t>
            </w:r>
          </w:p>
        </w:tc>
        <w:tc>
          <w:tcPr>
            <w:tcW w:type="dxa" w:w="13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0%</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2</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51</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0.019</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0.023</w:t>
            </w:r>
          </w:p>
        </w:tc>
        <w:tc>
          <w:tcPr>
            <w:tcW w:type="dxa" w:w="14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0.0%</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100%</w:t>
            </w:r>
          </w:p>
        </w:tc>
        <w:tc>
          <w:tcPr>
            <w:tcW w:type="dxa" w:w="13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0%</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5</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51</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0.047</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0.058</w:t>
            </w:r>
          </w:p>
        </w:tc>
        <w:tc>
          <w:tcPr>
            <w:tcW w:type="dxa" w:w="14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0.0%</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0%</w:t>
            </w:r>
          </w:p>
        </w:tc>
        <w:tc>
          <w:tcPr>
            <w:tcW w:type="dxa" w:w="13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100%</w:t>
            </w:r>
          </w:p>
        </w:tc>
      </w:tr>
    </w:tbl>
    <w:p>
      <w:pPr>
        <w:spacing w:after="160"/>
      </w:pPr>
    </w:p>
    <w:p>
      <w:pPr>
        <w:spacing w:after="120" w:before="0" w:line="360"/>
        <w:jc w:val="both"/>
      </w:pPr>
      <w:r>
        <w:rPr>
          <w:rFonts w:ascii="Times New Roman" w:cs="Times New Roman" w:eastAsia="Times New Roman" w:hAnsi="Times New Roman"/>
          <w:sz w:val="24"/>
          <w:szCs w:val="24"/>
        </w:rPr>
        <w:t xml:space="preserve">Up to two substitutions in a 100 bp sequence are tolerated and still named; with five substitutions every sequence is moved into the abstention band, which is a conservative behaviour. Insertions, deletions and real sequencing errors were not tested.</w:t>
      </w:r>
    </w:p>
    <w:p>
      <w:pPr>
        <w:keepNext/>
        <w:spacing w:after="40" w:before="120"/>
        <w:jc w:val="center"/>
      </w:pPr>
      <w:r>
        <w:drawing>
          <wp:inline distT="0" distB="0" distL="0" distR="0">
            <wp:extent cx="4933950" cy="5162550"/>
            <wp:effectExtent t="0" r="0" b="0" l="0"/>
            <wp:docPr id="16" name="s_eval_top.png" descr="Model Evaluation page of the dashboard: headline cards and coverage by rank."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933950" cy="5162550"/>
                    </a:xfrm>
                    <a:prstGeom prst="rect">
                      <a:avLst/>
                    </a:prstGeom>
                  </pic:spPr>
                </pic:pic>
              </a:graphicData>
            </a:graphic>
          </wp:inline>
        </w:drawing>
      </w:r>
    </w:p>
    <w:p>
      <w:pPr>
        <w:keepNext w:val="false"/>
        <w:spacing w:after="200" w:before="60" w:line="276"/>
        <w:jc w:val="center"/>
      </w:pPr>
      <w:r>
        <w:rPr>
          <w:rFonts w:ascii="Times New Roman" w:cs="Times New Roman" w:eastAsia="Times New Roman" w:hAnsi="Times New Roman"/>
          <w:b/>
          <w:bCs/>
          <w:sz w:val="22"/>
          <w:szCs w:val="22"/>
        </w:rPr>
        <w:t xml:space="preserve">Figure 16. </w:t>
      </w:r>
      <w:r>
        <w:rPr>
          <w:rFonts w:ascii="Times New Roman" w:cs="Times New Roman" w:eastAsia="Times New Roman" w:hAnsi="Times New Roman"/>
          <w:sz w:val="22"/>
          <w:szCs w:val="22"/>
        </w:rPr>
        <w:t xml:space="preserve">Model Evaluation page of the dashboard: headline cards and coverage by rank.</w:t>
      </w:r>
    </w:p>
    <w:p>
      <w:pPr>
        <w:pStyle w:val="Heading2"/>
        <w:keepNext/>
        <w:spacing w:after="120" w:before="240" w:line="360"/>
      </w:pPr>
      <w:r>
        <w:rPr>
          <w:rFonts w:ascii="Times New Roman" w:cs="Times New Roman" w:eastAsia="Times New Roman" w:hAnsi="Times New Roman"/>
          <w:b/>
          <w:bCs/>
          <w:sz w:val="28"/>
          <w:szCs w:val="28"/>
        </w:rPr>
        <w:t xml:space="preserve">12.3 Limitations and suitability</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The library has 101 unique sequences, and 89 of 90 species have one. Genus and species generalisation cannot be evaluated, and the species output is reference matching and not a validated classifier.</w:t>
      </w:r>
    </w:p>
    <w:p>
      <w:pPr>
        <w:pStyle w:val="ListParagraph"/>
        <w:numPr>
          <w:ilvl w:val="0"/>
          <w:numId w:val="2"/>
        </w:numPr>
        <w:spacing w:after="60" w:line="360"/>
        <w:jc w:val="both"/>
      </w:pPr>
      <w:r>
        <w:rPr>
          <w:rFonts w:ascii="Times New Roman" w:cs="Times New Roman" w:eastAsia="Times New Roman" w:hAnsi="Times New Roman"/>
          <w:sz w:val="24"/>
          <w:szCs w:val="24"/>
        </w:rPr>
        <w:t xml:space="preserve">Class-level scores come from two testable classes; order and family have a mean of about five and three test sequences per class, so per-class values are unstable.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The production thresholds (0.03 and 0.15) were originally chosen with these same sequences, so results for them are optimistic; the calibration-half result is the leakage-free estimate.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Held-out genera often have a close relative in the library. The test shows distance to a relative and not true novelty, and out-of-reference does not prove a new species.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Non-fish negatives are windows of full-length records and not amplicon reads. No BLAST comparison and no real eDNA sample were evaluated.</w:t>
      </w:r>
    </w:p>
    <w:p>
      <w:pPr>
        <w:spacing w:after="120" w:before="0" w:line="360"/>
        <w:jc w:val="both"/>
      </w:pPr>
      <w:r>
        <w:rPr>
          <w:rFonts w:ascii="Times New Roman" w:cs="Times New Roman" w:eastAsia="Times New Roman" w:hAnsi="Times New Roman"/>
          <w:sz w:val="24"/>
          <w:szCs w:val="24"/>
        </w:rPr>
        <w:t xml:space="preserve">Suitability. BioScan is suitable as a proof of concept of the decision logic and as a screening aid for a known, small reference set. It is not suitable as a standalone species identifier for field surveys until the library, the read-level pre-processing and the external validation described in Section 13 are in place.</w:t>
      </w:r>
    </w:p>
    <w:p>
      <w:pPr>
        <w:pStyle w:val="Heading1"/>
        <w:keepNext/>
        <w:spacing w:after="160" w:before="360" w:line="360"/>
      </w:pPr>
      <w:bookmarkStart w:name="sec_13" w:id="13"/>
      <w:r>
        <w:rPr>
          <w:rFonts w:ascii="Times New Roman" w:cs="Times New Roman" w:eastAsia="Times New Roman" w:hAnsi="Times New Roman"/>
          <w:b/>
          <w:bCs/>
          <w:sz w:val="32"/>
          <w:szCs w:val="32"/>
        </w:rPr>
        <w:t xml:space="preserve">13. Future Scope</w:t>
      </w:r>
      <w:bookmarkEnd w:id="13"/>
    </w:p>
    <w:p>
      <w:pPr>
        <w:pStyle w:val="ListParagraph"/>
        <w:numPr>
          <w:ilvl w:val="0"/>
          <w:numId w:val="2"/>
        </w:numPr>
        <w:spacing w:after="60" w:line="360"/>
        <w:jc w:val="both"/>
      </w:pPr>
      <w:r>
        <w:rPr>
          <w:rFonts w:ascii="Times New Roman" w:cs="Times New Roman" w:eastAsia="Times New Roman" w:hAnsi="Times New Roman"/>
          <w:sz w:val="24"/>
          <w:szCs w:val="24"/>
        </w:rPr>
        <w:t xml:space="preserve">Expand the reference library with independently sourced, vouchered 12S sequences (several per species) from curated databases, enabling genuine species-level evaluation.</w:t>
      </w:r>
    </w:p>
    <w:p>
      <w:pPr>
        <w:pStyle w:val="ListParagraph"/>
        <w:numPr>
          <w:ilvl w:val="0"/>
          <w:numId w:val="2"/>
        </w:numPr>
        <w:spacing w:after="60" w:line="360"/>
        <w:jc w:val="both"/>
      </w:pPr>
      <w:r>
        <w:rPr>
          <w:rFonts w:ascii="Times New Roman" w:cs="Times New Roman" w:eastAsia="Times New Roman" w:hAnsi="Times New Roman"/>
          <w:sz w:val="24"/>
          <w:szCs w:val="24"/>
        </w:rPr>
        <w:t xml:space="preserve">Benchmark against BLAST or vsearch on the same held-out queries, and compare accepted-identification accuracy and abstention.</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Add a FASTQ-to-ASV front end (primer trimming, denoising, chimera removal) so that real eDNA reads can be analysed directly.</w:t>
      </w:r>
    </w:p>
    <w:p>
      <w:pPr>
        <w:pStyle w:val="ListParagraph"/>
        <w:numPr>
          <w:ilvl w:val="0"/>
          <w:numId w:val="2"/>
        </w:numPr>
        <w:spacing w:after="60" w:line="360"/>
        <w:jc w:val="both"/>
      </w:pPr>
      <w:r>
        <w:rPr>
          <w:rFonts w:ascii="Times New Roman" w:cs="Times New Roman" w:eastAsia="Times New Roman" w:hAnsi="Times New Roman"/>
          <w:sz w:val="24"/>
          <w:szCs w:val="24"/>
        </w:rPr>
        <w:t xml:space="preserve">Re-calibrate the close-match and veto thresholds on larger labelled data, with confidence intervals, and add tolerance for ambiguous bases and reverse-complement reads.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Support additional markers and taxa (for example COI and 16S) with their own reference libraries.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Show an alignment view with mismatches in the dashboard for explainability.</w:t>
      </w:r>
    </w:p>
    <w:p>
      <w:pPr>
        <w:pStyle w:val="ListParagraph"/>
        <w:numPr>
          <w:ilvl w:val="0"/>
          <w:numId w:val="2"/>
        </w:numPr>
        <w:spacing w:after="60" w:line="360"/>
        <w:jc w:val="both"/>
      </w:pPr>
      <w:r>
        <w:rPr>
          <w:rFonts w:ascii="Times New Roman" w:cs="Times New Roman" w:eastAsia="Times New Roman" w:hAnsi="Times New Roman"/>
          <w:sz w:val="24"/>
          <w:szCs w:val="24"/>
        </w:rPr>
        <w:t xml:space="preserve">Containerise the application, add continuous integration for the tests, and deploy it on a public cloud service with input-size limits.</w:t>
      </w:r>
    </w:p>
    <w:p>
      <w:pPr>
        <w:pStyle w:val="Heading1"/>
        <w:keepNext/>
        <w:spacing w:after="160" w:before="360" w:line="360"/>
      </w:pPr>
      <w:bookmarkStart w:name="sec_14" w:id="14"/>
      <w:r>
        <w:rPr>
          <w:rFonts w:ascii="Times New Roman" w:cs="Times New Roman" w:eastAsia="Times New Roman" w:hAnsi="Times New Roman"/>
          <w:b/>
          <w:bCs/>
          <w:sz w:val="32"/>
          <w:szCs w:val="32"/>
        </w:rPr>
        <w:t xml:space="preserve">14. Conclusion</w:t>
      </w:r>
      <w:bookmarkEnd w:id="14"/>
    </w:p>
    <w:p>
      <w:pPr>
        <w:spacing w:after="120" w:before="0" w:line="360"/>
        <w:jc w:val="both"/>
      </w:pPr>
      <w:r>
        <w:rPr>
          <w:rFonts w:ascii="Times New Roman" w:cs="Times New Roman" w:eastAsia="Times New Roman" w:hAnsi="Times New Roman"/>
          <w:sz w:val="24"/>
          <w:szCs w:val="24"/>
        </w:rPr>
        <w:t xml:space="preserve">This project addressed the problem of naming DNA barcodes when the reference library is small and incomplete. BioScan combines hierarchical machine-learning classifiers on k-mer features with an exact edit-distance search and a Distance Veto, so that it names a taxon only as deep as the evidence supports and rejects sequences that fall outside its library. It was built in Python with scikit-learn, XGBoost and Streamlit, and verified with 172 automated tests.</w:t>
      </w:r>
    </w:p>
    <w:p>
      <w:pPr>
        <w:spacing w:after="120" w:before="0" w:line="360"/>
        <w:jc w:val="both"/>
      </w:pPr>
      <w:r>
        <w:rPr>
          <w:rFonts w:ascii="Times New Roman" w:cs="Times New Roman" w:eastAsia="Times New Roman" w:hAnsi="Times New Roman"/>
          <w:sz w:val="24"/>
          <w:szCs w:val="24"/>
        </w:rPr>
        <w:t xml:space="preserve">Evaluated on held-out, de-duplicated sequences, the system classifies class, order and family with macro F1 of 1.00, 0.59 and 0.79, rejects all tested non-fish DNA and never wrongly rejects an altered known sequence, while abstaining on most sequences from unseen genera. The evaluation also shows what the small library cannot support: genus and species cannot be validated, and a simple nearest-reference search is as accurate as the trained models above class level. The main practical contribution is therefore a transparent decision framework and an honest evaluation methodology, which is ready to be strengthened by a larger reference library.</w:t>
      </w:r>
    </w:p>
    <w:p>
      <w:pPr>
        <w:pStyle w:val="Heading1"/>
        <w:keepNext/>
        <w:spacing w:after="160" w:before="360" w:line="360"/>
      </w:pPr>
      <w:bookmarkStart w:name="sec_15" w:id="15"/>
      <w:r>
        <w:rPr>
          <w:rFonts w:ascii="Times New Roman" w:cs="Times New Roman" w:eastAsia="Times New Roman" w:hAnsi="Times New Roman"/>
          <w:b/>
          <w:bCs/>
          <w:sz w:val="32"/>
          <w:szCs w:val="32"/>
        </w:rPr>
        <w:t xml:space="preserve">15. References</w:t>
      </w:r>
      <w:bookmarkEnd w:id="15"/>
    </w:p>
    <w:p>
      <w:pPr>
        <w:spacing w:after="100" w:line="300"/>
        <w:ind w:left="540" w:hanging="540"/>
        <w:jc w:val="both"/>
      </w:pPr>
      <w:r>
        <w:rPr>
          <w:rFonts w:ascii="Times New Roman" w:cs="Times New Roman" w:eastAsia="Times New Roman" w:hAnsi="Times New Roman"/>
          <w:sz w:val="22"/>
          <w:szCs w:val="22"/>
        </w:rPr>
        <w:t xml:space="preserve">[1]  M. Miya, Y. Sato, T. Fukunaga, T. Sado, J. Y. Poulsen, K. Sato, T. Minamoto, S. Yamamoto, H. Yamanaka, H. Araki, M. Kondoh, and W. Iwasaki, “MiFish, a set of universal PCR primers for metabarcoding environmental DNA from fishes: detection of more than 230 subtropical marine species,” Royal Society Open Science, vol. 2, no. 7, p. 150088, 2015.</w:t>
      </w:r>
    </w:p>
    <w:p>
      <w:pPr>
        <w:spacing w:after="100" w:line="300"/>
        <w:ind w:left="540" w:hanging="540"/>
        <w:jc w:val="both"/>
      </w:pPr>
      <w:r>
        <w:rPr>
          <w:rFonts w:ascii="Times New Roman" w:cs="Times New Roman" w:eastAsia="Times New Roman" w:hAnsi="Times New Roman"/>
          <w:sz w:val="22"/>
          <w:szCs w:val="22"/>
        </w:rPr>
        <w:t xml:space="preserve">[2]  S. F. Altschul, W. Gish, W. Miller, E. W. Myers, and D. J. Lipman, “Basic local alignment search tool,” Journal of Molecular Biology, vol. 215, no. 3, pp. 403–410, 1990.</w:t>
      </w:r>
    </w:p>
    <w:p>
      <w:pPr>
        <w:spacing w:after="100" w:line="300"/>
        <w:ind w:left="540" w:hanging="540"/>
        <w:jc w:val="both"/>
      </w:pPr>
      <w:r>
        <w:rPr>
          <w:rFonts w:ascii="Times New Roman" w:cs="Times New Roman" w:eastAsia="Times New Roman" w:hAnsi="Times New Roman"/>
          <w:sz w:val="22"/>
          <w:szCs w:val="22"/>
        </w:rPr>
        <w:t xml:space="preserve">[3]  Q. Wang, G. M. Garrity, J. M. Tiedje, and J. R. Cole, “Naïve Bayesian classifier for rapid assignment of rRNA sequences into the new bacterial taxonomy,” Applied and Environmental Microbiology, vol. 73, no. 16, pp. 5261–5267, 2007.</w:t>
      </w:r>
    </w:p>
    <w:p>
      <w:pPr>
        <w:spacing w:after="100" w:line="300"/>
        <w:ind w:left="540" w:hanging="540"/>
        <w:jc w:val="both"/>
      </w:pPr>
      <w:r>
        <w:rPr>
          <w:rFonts w:ascii="Times New Roman" w:cs="Times New Roman" w:eastAsia="Times New Roman" w:hAnsi="Times New Roman"/>
          <w:sz w:val="22"/>
          <w:szCs w:val="22"/>
        </w:rPr>
        <w:t xml:space="preserve">[4]  B. J. Callahan, P. J. McMurdie, M. J. Rosen, A. W. Han, A. J. A. Johnson, and S. P. Holmes, “DADA2: High-resolution sample inference from Illumina amplicon data,” Nature Methods, vol. 13, no. 7, pp. 581–583, 2016.</w:t>
      </w:r>
    </w:p>
    <w:p>
      <w:pPr>
        <w:spacing w:after="100" w:line="300"/>
        <w:ind w:left="540" w:hanging="540"/>
        <w:jc w:val="both"/>
      </w:pPr>
      <w:r>
        <w:rPr>
          <w:rFonts w:ascii="Times New Roman" w:cs="Times New Roman" w:eastAsia="Times New Roman" w:hAnsi="Times New Roman"/>
          <w:sz w:val="22"/>
          <w:szCs w:val="22"/>
        </w:rPr>
        <w:t xml:space="preserve">[5]  S. Ratnasingham and P. D. N. Hebert, “BOLD: The Barcode of Life Data System,” Molecular Ecology Notes, vol. 7, no. 3, pp. 355–364, 2007.</w:t>
      </w:r>
    </w:p>
    <w:p>
      <w:pPr>
        <w:spacing w:after="100" w:line="300"/>
        <w:ind w:left="540" w:hanging="540"/>
        <w:jc w:val="both"/>
      </w:pPr>
      <w:r>
        <w:rPr>
          <w:rFonts w:ascii="Times New Roman" w:cs="Times New Roman" w:eastAsia="Times New Roman" w:hAnsi="Times New Roman"/>
          <w:sz w:val="22"/>
          <w:szCs w:val="22"/>
        </w:rPr>
        <w:t xml:space="preserve">[6]  T. Chen and C. Guestrin, “XGBoost: A scalable tree boosting system,” in Proc. 22nd ACM SIGKDD Int. Conf. Knowledge Discovery and Data Mining, 2016, pp. 785–794.</w:t>
      </w:r>
    </w:p>
    <w:p>
      <w:pPr>
        <w:spacing w:after="100" w:line="300"/>
        <w:ind w:left="540" w:hanging="540"/>
        <w:jc w:val="both"/>
      </w:pPr>
      <w:r>
        <w:rPr>
          <w:rFonts w:ascii="Times New Roman" w:cs="Times New Roman" w:eastAsia="Times New Roman" w:hAnsi="Times New Roman"/>
          <w:sz w:val="22"/>
          <w:szCs w:val="22"/>
        </w:rPr>
        <w:t xml:space="preserve">[7]  L. Breiman, “Random forests,” Machine Learning, vol. 45, no. 1, pp. 5–32, 2001.</w:t>
      </w:r>
    </w:p>
    <w:p>
      <w:pPr>
        <w:spacing w:after="100" w:line="300"/>
        <w:ind w:left="540" w:hanging="540"/>
        <w:jc w:val="both"/>
      </w:pPr>
      <w:r>
        <w:rPr>
          <w:rFonts w:ascii="Times New Roman" w:cs="Times New Roman" w:eastAsia="Times New Roman" w:hAnsi="Times New Roman"/>
          <w:sz w:val="22"/>
          <w:szCs w:val="22"/>
        </w:rPr>
        <w:t xml:space="preserve">[8]  F. Pedregosa et al., “Scikit-learn: Machine learning in Python,” Journal of Machine Learning Research, vol. 12, pp. 2825–2830, 2011.</w:t>
      </w:r>
    </w:p>
    <w:p>
      <w:pPr>
        <w:spacing w:after="100" w:line="300"/>
        <w:ind w:left="540" w:hanging="540"/>
        <w:jc w:val="both"/>
      </w:pPr>
      <w:r>
        <w:rPr>
          <w:rFonts w:ascii="Times New Roman" w:cs="Times New Roman" w:eastAsia="Times New Roman" w:hAnsi="Times New Roman"/>
          <w:sz w:val="22"/>
          <w:szCs w:val="22"/>
        </w:rPr>
        <w:t xml:space="preserve">[9]  V. I. Levenshtein, “Binary codes capable of correcting deletions, insertions, and reversals,” Soviet Physics Doklady, vol. 10, no. 8, pp. 707–710, 1966.</w:t>
      </w:r>
    </w:p>
    <w:p>
      <w:pPr>
        <w:spacing w:after="100" w:line="300"/>
        <w:ind w:left="540" w:hanging="540"/>
        <w:jc w:val="both"/>
      </w:pPr>
      <w:r>
        <w:rPr>
          <w:rFonts w:ascii="Times New Roman" w:cs="Times New Roman" w:eastAsia="Times New Roman" w:hAnsi="Times New Roman"/>
          <w:sz w:val="22"/>
          <w:szCs w:val="22"/>
        </w:rPr>
        <w:t xml:space="preserve">[10]  K. Deiner, H. M. Bik, E. Mächler, M. Seymour, A. Lacoursière-Roussel, F. Altermatt, S. Creer, I. Bista, D. M. Lodge, N. de Vere, M. E. Pfrender, and L. Bernatchez, “Environmental DNA metabarcoding: Transforming how we survey animal and plant communities,” Molecular Ecology, vol. 26, no. 21, pp. 5872–5895, 2017.</w:t>
      </w:r>
    </w:p>
    <w:p>
      <w:pPr>
        <w:spacing w:after="100" w:line="300"/>
        <w:ind w:left="540" w:hanging="540"/>
        <w:jc w:val="both"/>
      </w:pPr>
      <w:r>
        <w:rPr>
          <w:rFonts w:ascii="Times New Roman" w:cs="Times New Roman" w:eastAsia="Times New Roman" w:hAnsi="Times New Roman"/>
          <w:sz w:val="22"/>
          <w:szCs w:val="22"/>
        </w:rPr>
        <w:t xml:space="preserve">[11]  W. J. Scheirer, A. de Rezende Rocha, A. Sapkota, and T. E. Boult, “Toward open set recognition,” IEEE Transactions on Pattern Analysis and Machine Intelligence, vol. 35, no. 7, pp. 1757–1772, 2013.</w:t>
      </w:r>
    </w:p>
    <w:p>
      <w:pPr>
        <w:spacing w:after="100" w:line="300"/>
        <w:ind w:left="540" w:hanging="540"/>
        <w:jc w:val="both"/>
      </w:pPr>
      <w:r>
        <w:rPr>
          <w:rFonts w:ascii="Times New Roman" w:cs="Times New Roman" w:eastAsia="Times New Roman" w:hAnsi="Times New Roman"/>
          <w:sz w:val="22"/>
          <w:szCs w:val="22"/>
        </w:rPr>
        <w:t xml:space="preserve">[12]  C. Geng, S.-J. Huang, and S. Chen, “Recent advances in open set recognition: A survey,” IEEE Transactions on Pattern Analysis and Machine Intelligence, vol. 43, no. 10, pp. 3614–3631, 2021.</w:t>
      </w:r>
    </w:p>
    <w:p>
      <w:pPr>
        <w:spacing w:after="100" w:line="300"/>
        <w:ind w:left="540" w:hanging="540"/>
        <w:jc w:val="both"/>
      </w:pPr>
      <w:r>
        <w:rPr>
          <w:rFonts w:ascii="Times New Roman" w:cs="Times New Roman" w:eastAsia="Times New Roman" w:hAnsi="Times New Roman"/>
          <w:sz w:val="22"/>
          <w:szCs w:val="22"/>
        </w:rPr>
        <w:t xml:space="preserve">[13]  T. Cover and P. Hart, “Nearest neighbor pattern classification,” IEEE Transactions on Information Theory, vol. 13, no. 1, pp. 21–27, 1967.</w:t>
      </w:r>
    </w:p>
    <w:p>
      <w:pPr>
        <w:spacing w:after="100" w:line="300"/>
        <w:ind w:left="540" w:hanging="540"/>
        <w:jc w:val="both"/>
      </w:pPr>
      <w:r>
        <w:rPr>
          <w:rFonts w:ascii="Times New Roman" w:cs="Times New Roman" w:eastAsia="Times New Roman" w:hAnsi="Times New Roman"/>
          <w:sz w:val="22"/>
          <w:szCs w:val="22"/>
        </w:rPr>
        <w:t xml:space="preserve">[14]  C. E. Shannon, “A mathematical theory of communication,” Bell System Technical Journal, vol. 27, no. 3, pp. 379–423, 1948.</w:t>
      </w:r>
    </w:p>
    <w:p>
      <w:pPr>
        <w:spacing w:after="100" w:line="300"/>
        <w:ind w:left="540" w:hanging="540"/>
        <w:jc w:val="both"/>
      </w:pPr>
      <w:r>
        <w:rPr>
          <w:rFonts w:ascii="Times New Roman" w:cs="Times New Roman" w:eastAsia="Times New Roman" w:hAnsi="Times New Roman"/>
          <w:sz w:val="22"/>
          <w:szCs w:val="22"/>
        </w:rPr>
        <w:t xml:space="preserve">[15]  NCBI, “BioProject PRJNA638560: 2019 New Jersey Ocean Trawl Survey environmental DNA,” National Center for Biotechnology Information. [Online]. Available: https://www.ncbi.nlm.nih.gov/bioproject/PRJNA638560. [Accessed: 15-Oct-2026].</w:t>
      </w:r>
    </w:p>
    <w:p>
      <w:pPr>
        <w:spacing w:after="100" w:line="300"/>
        <w:ind w:left="540" w:hanging="540"/>
        <w:jc w:val="both"/>
      </w:pPr>
      <w:r>
        <w:rPr>
          <w:rFonts w:ascii="Times New Roman" w:cs="Times New Roman" w:eastAsia="Times New Roman" w:hAnsi="Times New Roman"/>
          <w:sz w:val="22"/>
          <w:szCs w:val="22"/>
        </w:rPr>
        <w:t xml:space="preserve">[16]  Streamlit Inc., “Streamlit Documentation.” [Online]. Available: https://docs.streamlit.io. [Accessed: 15-Oct-2026].</w:t>
      </w:r>
    </w:p>
    <w:p>
      <w:pPr>
        <w:spacing w:after="100" w:line="300"/>
        <w:ind w:left="540" w:hanging="540"/>
        <w:jc w:val="both"/>
      </w:pPr>
      <w:r>
        <w:rPr>
          <w:rFonts w:ascii="Times New Roman" w:cs="Times New Roman" w:eastAsia="Times New Roman" w:hAnsi="Times New Roman"/>
          <w:sz w:val="22"/>
          <w:szCs w:val="22"/>
        </w:rPr>
        <w:t xml:space="preserve">[17]  Plotly Technologies Inc., “Plotly Python Graphing Library Documentation.” [Online]. Available: https://plotly.com/python/. [Accessed: 15-Oct-2026].</w:t>
      </w:r>
    </w:p>
    <w:p>
      <w:r>
        <w:br w:type="page"/>
      </w:r>
    </w:p>
    <w:p>
      <w:pPr>
        <w:pStyle w:val="Heading1"/>
        <w:keepNext/>
        <w:spacing w:after="160" w:before="360" w:line="360"/>
      </w:pPr>
      <w:r>
        <w:rPr>
          <w:rFonts w:ascii="Times New Roman" w:cs="Times New Roman" w:eastAsia="Times New Roman" w:hAnsi="Times New Roman"/>
          <w:b/>
          <w:bCs/>
          <w:sz w:val="32"/>
          <w:szCs w:val="32"/>
        </w:rPr>
        <w:t xml:space="preserve">Appendix A. Running and reproducing the project</w:t>
      </w:r>
    </w:p>
    <w:p>
      <w:pPr>
        <w:spacing w:after="120" w:before="0" w:line="360"/>
        <w:jc w:val="both"/>
      </w:pPr>
      <w:r>
        <w:rPr>
          <w:rFonts w:ascii="Times New Roman" w:cs="Times New Roman" w:eastAsia="Times New Roman" w:hAnsi="Times New Roman"/>
          <w:sz w:val="24"/>
          <w:szCs w:val="24"/>
        </w:rPr>
        <w:t xml:space="preserve">The project can be reproduced from the repository with the following steps.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Create a virtual environment and install the dependencies from requirements.txt (macOS also needs: brew install libomp).</w:t>
      </w:r>
    </w:p>
    <w:p>
      <w:pPr>
        <w:pStyle w:val="ListParagraph"/>
        <w:numPr>
          <w:ilvl w:val="0"/>
          <w:numId w:val="2"/>
        </w:numPr>
        <w:spacing w:after="60" w:line="360"/>
        <w:jc w:val="both"/>
      </w:pPr>
      <w:r>
        <w:rPr>
          <w:rFonts w:ascii="Times New Roman" w:cs="Times New Roman" w:eastAsia="Times New Roman" w:hAnsi="Times New Roman"/>
          <w:sz w:val="24"/>
          <w:szCs w:val="24"/>
        </w:rPr>
        <w:t xml:space="preserve">Run the automated tests with: pytest -q (172 tests).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Regenerate the evaluation results with: PYTHONPATH=. python src/evaluation/run_model_evaluation.py</w:t>
      </w:r>
    </w:p>
    <w:p>
      <w:pPr>
        <w:pStyle w:val="ListParagraph"/>
        <w:numPr>
          <w:ilvl w:val="0"/>
          <w:numId w:val="2"/>
        </w:numPr>
        <w:spacing w:after="60" w:line="360"/>
        <w:jc w:val="both"/>
      </w:pPr>
      <w:r>
        <w:rPr>
          <w:rFonts w:ascii="Times New Roman" w:cs="Times New Roman" w:eastAsia="Times New Roman" w:hAnsi="Times New Roman"/>
          <w:sz w:val="24"/>
          <w:szCs w:val="24"/>
        </w:rPr>
        <w:t xml:space="preserve">Start the dashboard with: streamlit run app/app.py</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t xml:space="preserve">Page </w:t>
    </w: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ed877ee821911b97b476e35b4d7117cdeaa9a83d.png"/><Relationship Id="rId9" Type="http://schemas.openxmlformats.org/officeDocument/2006/relationships/image" Target="media/cd617e382f3f8db5d63aaaaf30815f8dc4ebc6a9.png"/><Relationship Id="rId10" Type="http://schemas.openxmlformats.org/officeDocument/2006/relationships/image" Target="media/16518c2d97bf4c6ae48c9585f9c99e25411d1252.png"/><Relationship Id="rId11" Type="http://schemas.openxmlformats.org/officeDocument/2006/relationships/image" Target="media/2e6a884b2adad20b8c11be4a62a52f4b49ba4eed.png"/><Relationship Id="rId12" Type="http://schemas.openxmlformats.org/officeDocument/2006/relationships/image" Target="media/9d5e703a38d0391ac3fd342d9ffd5424e39feceb.png"/><Relationship Id="rId13" Type="http://schemas.openxmlformats.org/officeDocument/2006/relationships/image" Target="media/4e2ee8b43b9098cda1df3ca4248bddd5e4566d4f.png"/><Relationship Id="rId14" Type="http://schemas.openxmlformats.org/officeDocument/2006/relationships/image" Target="media/fd1837bf04440871a7dc45f216f3122344f7a1c3.png"/><Relationship Id="rId15" Type="http://schemas.openxmlformats.org/officeDocument/2006/relationships/image" Target="media/05c10262cdf3614ac952ecc9a8569c5176743ef8.png"/><Relationship Id="rId16" Type="http://schemas.openxmlformats.org/officeDocument/2006/relationships/image" Target="media/48318025ce7647bbd54f21e7ee801ff12f6d4440.png"/><Relationship Id="rId17" Type="http://schemas.openxmlformats.org/officeDocument/2006/relationships/image" Target="media/ae353ae7b2604dfbbf9c594e7f7e1d24e16b6303.png"/><Relationship Id="rId18" Type="http://schemas.openxmlformats.org/officeDocument/2006/relationships/image" Target="media/8e09573fc13e2376e798b14cf26a699f87aa5724.png"/><Relationship Id="rId19" Type="http://schemas.openxmlformats.org/officeDocument/2006/relationships/image" Target="media/65c7cc9e7075ecf79dd127c17e8c8191103be0f2.png"/><Relationship Id="rId20" Type="http://schemas.openxmlformats.org/officeDocument/2006/relationships/image" Target="media/afa3d76a00d42d92cd69749de578920fa53e19a6.png"/><Relationship Id="rId21" Type="http://schemas.openxmlformats.org/officeDocument/2006/relationships/image" Target="media/15f374dae8623a618c9018dc94e1e49def906ac9.png"/><Relationship Id="rId22" Type="http://schemas.openxmlformats.org/officeDocument/2006/relationships/image" Target="media/1ae9cd2b788bce8abd27c0687d8a5c730b57bd4f.png"/><Relationship Id="rId23" Type="http://schemas.openxmlformats.org/officeDocument/2006/relationships/image" Target="media/92384f777a75ced42fa5cc523cba8de5bc26b2de.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BioScan Mini Project Report</dc:title>
  <dc:creator>Shreya Jadhav</dc:creator>
  <cp:lastModifiedBy>Un-named</cp:lastModifiedBy>
  <cp:revision>1</cp:revision>
  <dcterms:created xsi:type="dcterms:W3CDTF">2026-10-15T14:19:23.567Z</dcterms:created>
  <dcterms:modified xsi:type="dcterms:W3CDTF">2026-10-15T14:19:23.568Z</dcterms:modified>
</cp:coreProperties>
</file>

<file path=docProps/custom.xml><?xml version="1.0" encoding="utf-8"?>
<Properties xmlns="http://schemas.openxmlformats.org/officeDocument/2006/custom-properties" xmlns:vt="http://schemas.openxmlformats.org/officeDocument/2006/docPropsVTypes"/>
</file>