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Mining Intelligence Report</w:t>
      </w:r>
    </w:p>
    <w:p>
      <w:r>
        <w:t>Scope: CCL Production Test Report</w:t>
      </w:r>
    </w:p>
    <w:p>
      <w:r>
        <w:t>Period: 2021-04-01 to 2024-03-31</w:t>
      </w:r>
    </w:p>
    <w:p>
      <w:r>
        <w:t>Generated: 2026-09-23 12:52 UTC</w:t>
      </w:r>
    </w:p>
    <w:p>
      <w:r>
        <w:t>Model: qwen2.5:14b-instruct-q4_K_M</w:t>
      </w:r>
    </w:p>
    <w:p>
      <w:r>
        <w:br w:type="page"/>
      </w:r>
    </w:p>
    <w:p>
      <w:pPr>
        <w:pStyle w:val="Heading2"/>
      </w:pPr>
      <w:r>
        <w:t>Executive Summary</w:t>
      </w:r>
    </w:p>
    <w:p>
      <w:r>
        <w:t>Executive Summary: This section summarises 0 production data points across the reporting period. 0 data quality warning(s) were identified and are detailed in the Data Quality Warnings section. Narrative generation was unavailable; please refer to the structured tables for full detail.</w:t>
      </w:r>
    </w:p>
    <w:p>
      <w:pPr>
        <w:pStyle w:val="Heading2"/>
      </w:pPr>
      <w:r>
        <w:t>Production / Operational Overview</w:t>
      </w:r>
    </w:p>
    <w:p>
      <w:pPr>
        <w:pStyle w:val="Heading2"/>
      </w:pPr>
      <w:r>
        <w:t>Historical Trends</w:t>
      </w:r>
    </w:p>
    <w:p>
      <w:pPr>
        <w:pStyle w:val="Heading2"/>
      </w:pPr>
      <w:r>
        <w:t>Comparative Analysis</w:t>
      </w:r>
    </w:p>
    <w:p>
      <w:pPr>
        <w:pStyle w:val="Heading2"/>
      </w:pPr>
      <w:r>
        <w:t>Data Quality Warnings</w:t>
      </w:r>
    </w:p>
    <w:p>
      <w:pPr>
        <w:pStyle w:val="Heading2"/>
      </w:pPr>
      <w:r>
        <w:t>Source Citations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