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Mining Intelligence Report</w:t>
      </w:r>
    </w:p>
    <w:p>
      <w:r>
        <w:t>Scope: 2023-01-01 to 2024-12-31</w:t>
      </w:r>
    </w:p>
    <w:p>
      <w:r>
        <w:t>Period: 2023-01-01 to 2024-12-31</w:t>
      </w:r>
    </w:p>
    <w:p>
      <w:r>
        <w:t>Generated: 2026-09-23 13:35 UTC</w:t>
      </w:r>
    </w:p>
    <w:p>
      <w:r>
        <w:t>Model: qwen2.5:14b-instruct-q4_K_M</w:t>
      </w:r>
    </w:p>
    <w:p>
      <w:r>
        <w:br w:type="page"/>
      </w:r>
    </w:p>
    <w:p>
      <w:pPr>
        <w:pStyle w:val="Heading2"/>
      </w:pPr>
      <w:r>
        <w:t>Executive Summary</w:t>
      </w:r>
    </w:p>
    <w:p>
      <w:r>
        <w:t>During the reporting period from January 1, 2023, to December 31, 2024, the coal mining operations did not report any specific production figures or operational details. The production overview section remained devoid of any numerical data or descriptive entries. However, the system flagged a total of 43 data quality warnings, indicating potential issues with the completeness or accuracy of the reported data. These warnings suggest the need for further investigation and validation to ensure the reliability of future reports.</w:t>
      </w:r>
    </w:p>
    <w:p>
      <w:pPr>
        <w:pStyle w:val="Heading2"/>
      </w:pPr>
      <w:r>
        <w:t>Production / Operational Overview</w:t>
      </w:r>
    </w:p>
    <w:p>
      <w:pPr>
        <w:pStyle w:val="Heading2"/>
      </w:pPr>
      <w:r>
        <w:t>Historical Trends</w:t>
      </w:r>
    </w:p>
    <w:p>
      <w:pPr>
        <w:pStyle w:val="Heading2"/>
      </w:pPr>
      <w:r>
        <w:t>Comparative Analysis</w:t>
      </w:r>
    </w:p>
    <w:p>
      <w:pPr>
        <w:pStyle w:val="Heading2"/>
      </w:pPr>
      <w:r>
        <w:t>Data Quality Warnings</w:t>
      </w:r>
    </w:p>
    <w:p>
      <w:pPr>
        <w:pStyle w:val="Heading3"/>
      </w:pPr>
      <w:r>
        <w:t>Open Flags (43)</w:t>
      </w:r>
    </w:p>
    <w:p>
      <w:pPr>
        <w:pStyle w:val="ListBullet"/>
      </w:pPr>
      <w:r>
        <w:t>[WARNING] missing_entity — None / None</w:t>
      </w:r>
    </w:p>
    <w:p>
      <w:pPr>
        <w:pStyle w:val="ListBullet"/>
      </w:pPr>
      <w:r>
        <w:t>[WARNING] missing_entity — None / coal_dispatch</w:t>
      </w:r>
    </w:p>
    <w:p>
      <w:pPr>
        <w:pStyle w:val="ListBullet"/>
      </w:pPr>
      <w:r>
        <w:t>[WARNING] missing_entity — None / None</w:t>
      </w:r>
    </w:p>
    <w:p>
      <w:pPr>
        <w:pStyle w:val="ListBullet"/>
      </w:pPr>
      <w:r>
        <w:t>[WARNING] missing_entity — None / None</w:t>
      </w:r>
    </w:p>
    <w:p>
      <w:pPr>
        <w:pStyle w:val="ListBullet"/>
      </w:pPr>
      <w:r>
        <w:t>[WARNING] missing_entity — None / coal_dispatch</w:t>
      </w:r>
    </w:p>
    <w:p>
      <w:pPr>
        <w:pStyle w:val="ListBullet"/>
      </w:pPr>
      <w:r>
        <w:t>[WARNING] missing_entity — None / None</w:t>
      </w:r>
    </w:p>
    <w:p>
      <w:pPr>
        <w:pStyle w:val="ListBullet"/>
      </w:pPr>
      <w:r>
        <w:t>[WARNING] missing_entity — None / None</w:t>
      </w:r>
    </w:p>
    <w:p>
      <w:pPr>
        <w:pStyle w:val="ListBullet"/>
      </w:pPr>
      <w:r>
        <w:t>[WARNING] missing_entity — None / coal_dispatch</w:t>
      </w:r>
    </w:p>
    <w:p>
      <w:pPr>
        <w:pStyle w:val="ListBullet"/>
      </w:pPr>
      <w:r>
        <w:t>[WARNING] missing_entity — None / None</w:t>
      </w:r>
    </w:p>
    <w:p>
      <w:pPr>
        <w:pStyle w:val="ListBullet"/>
      </w:pPr>
      <w:r>
        <w:t>[WARNING] missing_entity — None / None</w:t>
      </w:r>
    </w:p>
    <w:p>
      <w:pPr>
        <w:pStyle w:val="ListBullet"/>
      </w:pPr>
      <w:r>
        <w:t>[WARNING] missing_entity — None / coal_dispatch</w:t>
      </w:r>
    </w:p>
    <w:p>
      <w:pPr>
        <w:pStyle w:val="ListBullet"/>
      </w:pPr>
      <w:r>
        <w:t>[WARNING] missing_entity — None / None</w:t>
      </w:r>
    </w:p>
    <w:p>
      <w:pPr>
        <w:pStyle w:val="ListBullet"/>
      </w:pPr>
      <w:r>
        <w:t>[WARNING] missing_entity — None / None</w:t>
      </w:r>
    </w:p>
    <w:p>
      <w:pPr>
        <w:pStyle w:val="ListBullet"/>
      </w:pPr>
      <w:r>
        <w:t>[WARNING] missing_entity — None / coal_dispatch</w:t>
      </w:r>
    </w:p>
    <w:p>
      <w:pPr>
        <w:pStyle w:val="ListBullet"/>
      </w:pPr>
      <w:r>
        <w:t>[WARNING] missing_entity — None / None</w:t>
      </w:r>
    </w:p>
    <w:p>
      <w:pPr>
        <w:pStyle w:val="ListBullet"/>
      </w:pPr>
      <w:r>
        <w:t>[WARNING] missing_entity — None / None</w:t>
      </w:r>
    </w:p>
    <w:p>
      <w:pPr>
        <w:pStyle w:val="ListBullet"/>
      </w:pPr>
      <w:r>
        <w:t>[WARNING] missing_entity — None / coal_dispatch</w:t>
      </w:r>
    </w:p>
    <w:p>
      <w:pPr>
        <w:pStyle w:val="ListBullet"/>
      </w:pPr>
      <w:r>
        <w:t>[WARNING] missing_entity — None / None</w:t>
      </w:r>
    </w:p>
    <w:p>
      <w:pPr>
        <w:pStyle w:val="ListBullet"/>
      </w:pPr>
      <w:r>
        <w:t>[WARNING] missing_entity — None / None</w:t>
      </w:r>
    </w:p>
    <w:p>
      <w:pPr>
        <w:pStyle w:val="ListBullet"/>
      </w:pPr>
      <w:r>
        <w:t>[WARNING] missing_entity — None / coal_dispatch</w:t>
      </w:r>
    </w:p>
    <w:p>
      <w:pPr>
        <w:pStyle w:val="Heading2"/>
      </w:pPr>
      <w:r>
        <w:t>Source Citations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