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DATA PROTECTION &amp; RESTRICTED DISCLOSURE AGREEMENT</w:t>
      </w:r>
    </w:p>
    <w:p>
      <w:pPr>
        <w:pStyle w:val="Normal"/>
      </w:pPr>
      <w:r>
        <w:t xml:space="preserve">This Data Protection &amp; Restricted Disclosure Agreement (Agreement) takes effect on {effectiveDate} between {providerName}, with its registered office at {providerAddress} (Provider), and {companyFullName}, with its registered office at {companyAddress} (Client). Each is a Party; together they are the Parties.</w:t>
      </w:r>
    </w:p>
    <w:p>
      <w:pPr>
        <w:pStyle w:val="Heading1"/>
      </w:pPr>
      <w:r>
        <w:t xml:space="preserve">Purpose and roles</w:t>
      </w:r>
    </w:p>
    <w:p>
      <w:pPr>
        <w:pStyle w:val="Normal"/>
      </w:pPr>
      <w:r>
        <w:t xml:space="preserve">The Client appoints the Provider to process personal data of the Client's end leads and customers solely to perform Client-authorized AI-assisted calling and directly related follow-up under the applicable statement of work. The Client determines the purposes of that processing; the Provider acts only on the Client's documented instructions. This Agreement does not authorize the Provider to use lead data for its own purposes.</w:t>
      </w:r>
    </w:p>
    <w:p>
      <w:pPr>
        <w:pStyle w:val="Normal"/>
      </w:pPr>
      <w:r>
        <w:t xml:space="preserve">Personal Data includes telephone numbers, lead names and any other information identifying or relating to a lead. Encryption or replacement with a reference does not, by itself, make that data anonymous or remove the obligations in this Agreement. Plaintext means a readable telephone number, including a value that has been decrypted.</w:t>
      </w:r>
    </w:p>
    <w:p>
      <w:pPr>
        <w:pStyle w:val="Heading1"/>
      </w:pPr>
      <w:r>
        <w:t xml:space="preserve">Safeguards before processing</w:t>
      </w:r>
    </w:p>
    <w:p>
      <w:pPr>
        <w:pStyle w:val="Normal"/>
      </w:pPr>
      <w:r>
        <w:t xml:space="preserve">The safeguards below are binding requirements to be implemented and verified before the Provider imports or processes live lead data. Signing this Agreement is not a statement that an existing calling system has already been audited or certified. If a required safeguard cannot be met, the Provider shall notify the Client and shall not start, or shall suspend, the affected processing until the Parties agree a compliant arrangement in writing.</w:t>
      </w:r>
    </w:p>
    <w:p>
      <w:pPr>
        <w:pStyle w:val="Normal"/>
      </w:pPr>
      <w:r>
        <w:t xml:space="preserve">Before live processing, the Parties shall approve a written operating schedule identifying the calling purpose and campaigns; permitted data fields; the Client representatives authorized to approve access; hosting and processing countries; each telephony, AI and other processing provider and its role; applicable record-retention and backup-expiry periods; and the controls and verification evidence for encryption, access, logging and temporary-data cleanup. The Provider shall not rely on an undisclosed vendor or an unspecified retention period.</w:t>
      </w:r>
    </w:p>
    <w:p>
      <w:pPr>
        <w:pStyle w:val="Heading1"/>
      </w:pPr>
      <w:r>
        <w:t xml:space="preserve">Encrypted telephone-number storage</w:t>
      </w:r>
    </w:p>
    <w:p>
      <w:pPr>
        <w:pStyle w:val="Normal"/>
      </w:pPr>
      <w:r>
        <w:t xml:space="preserve">Telephone numbers held on the Provider's side shall be stored only in encrypted form using current, industry-standard authenticated encryption. Protection shall cover number fields and copies in databases, files, backups, queues, caches and exports. Numbers must not be persisted as plaintext in the Provider's systems. Necessary transfers shall use authenticated, encrypted transport; plaintext shall exist only within the narrowly controlled processing boundaries described below.</w:t>
      </w:r>
    </w:p>
    <w:p>
      <w:pPr>
        <w:pStyle w:val="Normal"/>
      </w:pPr>
      <w:r>
        <w:t xml:space="preserve">Encryption keys shall be managed separately from the number data, with least-privilege service identities, restricted administrative access, rotation and access monitoring. Keys and decryption credentials shall not be supplied to the AI model, embedded in prompts, or made available through ordinary database or application access. Administrative access must not be used to bypass the human-access restrictions in this Agreement.</w:t>
      </w:r>
    </w:p>
    <w:p>
      <w:pPr>
        <w:pStyle w:val="Heading1"/>
      </w:pPr>
      <w:r>
        <w:t xml:space="preserve">AI agent and dialing access</w:t>
      </w:r>
    </w:p>
    <w:p>
      <w:pPr>
        <w:pStyle w:val="Normal"/>
      </w:pPr>
      <w:r>
        <w:t xml:space="preserve">The AI agent shall work with a non-revealing lead reference or token, and only the permitted call-context data. It shall not receive stored destination telephone numbers in plaintext, have a number-retrieval tool, or possess decryption keys. It does not need to interpret an encrypted number to conduct a conversation. The reference shall map to encrypted number data inside the restricted dialing service.</w:t>
      </w:r>
    </w:p>
    <w:p>
      <w:pPr>
        <w:pStyle w:val="Normal"/>
      </w:pPr>
      <w:r>
        <w:t xml:space="preserve">For a Client-authorized call, an isolated dialing service may retrieve and decrypt the destination number only for the time necessary to initiate or route that call and pass it over a protected connection to the approved telephony provider. The AI agent shall receive an opaque call identifier or call status instead of the number. This automated use is authorized by the Client's documented calling instructions and is separate from permission for a person to view a number.</w:t>
      </w:r>
    </w:p>
    <w:p>
      <w:pPr>
        <w:pStyle w:val="Normal"/>
      </w:pPr>
      <w:r>
        <w:t xml:space="preserve">A telephony provider or carrier may need a usable destination number to route a call and may generate call-detail records. Before use, the Provider shall disclose those recipients, processing locations, access arrangements and retention practices to the Client and obtain written approval. The Provider shall configure available redaction, access and retention controls and shall not claim that a carrier or other third party keeps no records unless that claim has been verified. Undisclosed third-party retention is not permitted by this Agreement.</w:t>
      </w:r>
    </w:p>
    <w:p>
      <w:pPr>
        <w:pStyle w:val="Heading1"/>
      </w:pPr>
      <w:r>
        <w:t xml:space="preserve">No routine human access to telephone numbers</w:t>
      </w:r>
    </w:p>
    <w:p>
      <w:pPr>
        <w:pStyle w:val="Normal"/>
      </w:pPr>
      <w:r>
        <w:t xml:space="preserve">The Provider shall not permit its staff, contractors or other personnel to read, reveal, copy, export or manually use a lead's plaintext telephone number unless the Client has first requested or approved that specific access in writing. Routine operations, support, quality review and analytics shall use non-revealing references or appropriately masked values. General permission to run a calling campaign does not authorize human access to readable numbers.</w:t>
      </w:r>
    </w:p>
    <w:p>
      <w:pPr>
        <w:pStyle w:val="Normal"/>
      </w:pPr>
      <w:r>
        <w:t xml:space="preserve">Approval must come from a Client representative designated in the operating schedule and specify the purpose, relevant leads or minimum dataset, named recipient or authorized role, and permitted time period. The Provider shall limit access to that scope, record the approval and access event using references rather than plaintext numbers, and revoke access promptly when it expires, is withdrawn or is no longer needed. Confidentiality and security duties continue during approved access. An emergency or support request alone does not create a standing exception.</w:t>
      </w:r>
    </w:p>
    <w:p>
      <w:pPr>
        <w:pStyle w:val="Normal"/>
      </w:pPr>
      <w:r>
        <w:t xml:space="preserve">Where disclosure is compelled by applicable law or a binding order, the Provider may disclose only the legally required minimum, shall notify the Client beforehand unless prohibited by law, and shall document the basis and recipient. This narrow legal exception is not a permission for discretionary access or independent use.</w:t>
      </w:r>
    </w:p>
    <w:p>
      <w:pPr>
        <w:pStyle w:val="Heading1"/>
      </w:pPr>
      <w:r>
        <w:t xml:space="preserve">Temporary memory, logs and recordings</w:t>
      </w:r>
    </w:p>
    <w:p>
      <w:pPr>
        <w:pStyle w:val="Normal"/>
      </w:pPr>
      <w:r>
        <w:t xml:space="preserve">The Provider shall not persist plaintext telephone numbers in application or access logs, traces, analytics, error reports, crash dumps, URLs, prompts, transcripts, conversation memory, vector databases, model-training datasets or other durable stores. Call metadata and callbacks shall be filtered or redacted before reaching those stores or the AI agent. Operational records shall use opaque identifiers wherever possible.</w:t>
      </w:r>
    </w:p>
    <w:p>
      <w:pPr>
        <w:pStyle w:val="Normal"/>
      </w:pPr>
      <w:r>
        <w:t xml:space="preserve">A number needed by the dialing service may exist briefly in controlled working memory. The Provider shall minimize that lifetime and automatically dispose of temporary values when no longer needed, including on errors, retries and timeouts. Where technically supported, the Provider shall overwrite sensitive buffers and prevent exposure through dumps or swap; otherwise it shall use equivalent isolation and lifecycle controls and disclose material limitations before processing. Garbage collection, session expiry or a general claim that memory is auto-cleaned does not by itself prove immediate erasure of every plaintext copy.</w:t>
      </w:r>
    </w:p>
    <w:p>
      <w:pPr>
        <w:pStyle w:val="Normal"/>
      </w:pPr>
      <w:r>
        <w:t xml:space="preserve">Call recordings and retained transcripts are disabled by default and require separate, documented Client approval and any legally required notices or permissions. If a lead volunteers a telephone number during a conversation, the Provider shall apply documented suppression or redaction controls, avoid deliberate onward disclosure, and prevent its retention in transcripts or conversation memory. Any technically unavoidable transient exposure must be assessed and disclosed before live use; the Provider shall not represent that an unverified speech pipeline can never encounter spoken numbers.</w:t>
      </w:r>
    </w:p>
    <w:p>
      <w:pPr>
        <w:pStyle w:val="Heading1"/>
      </w:pPr>
      <w:r>
        <w:t xml:space="preserve">Limited use of other personal data</w:t>
      </w:r>
    </w:p>
    <w:p>
      <w:pPr>
        <w:pStyle w:val="Normal"/>
      </w:pPr>
      <w:r>
        <w:t xml:space="preserve">The Provider and the approved AI processing service may read a lead's name where necessary to greet or identify the lead during the authorized call. Any additional personal-data fields require the Client's documented approval, must be necessary for the calling purpose, and must be listed in the operating schedule. Personnel access to those fields remains limited to authorized roles with a need to know; permission to use a name is not unrestricted access to the lead's profile.</w:t>
      </w:r>
    </w:p>
    <w:p>
      <w:pPr>
        <w:pStyle w:val="Normal"/>
      </w:pPr>
      <w:r>
        <w:t xml:space="preserve">The Provider shall not sell, disclose for unrelated purposes, enrich independent lead lists with, advertise using, or train or improve general-purpose models on Client lead data, prompts, recordings or transcripts. It shall select and configure approved AI services to prevent such training and unnecessary retention under appropriate contractual restrictions. The Client remains responsible for the lawful basis, required notices and calling permissions for its instructions; the Provider shall notify the Client of instructions it reasonably believes breach applicable data-protection requirements.</w:t>
      </w:r>
    </w:p>
    <w:p>
      <w:pPr>
        <w:pStyle w:val="Heading1"/>
      </w:pPr>
      <w:r>
        <w:t xml:space="preserve">Approved recipients and international processing</w:t>
      </w:r>
    </w:p>
    <w:p>
      <w:pPr>
        <w:pStyle w:val="Normal"/>
      </w:pPr>
      <w:r>
        <w:t xml:space="preserve">The Provider shall engage another processing service only with the Client's prior written authorization, under written confidentiality, purpose, security and deletion restrictions appropriate to its role. It shall disclose intended changes in provider, location, role or material retention practice and obtain approval before the changed processing begins. The Provider remains responsible for its contractual obligations and shall not treat outsourcing as an exemption.</w:t>
      </w:r>
    </w:p>
    <w:p>
      <w:pPr>
        <w:pStyle w:val="Normal"/>
      </w:pPr>
      <w:r>
        <w:t xml:space="preserve">The Parties shall identify applicable data-protection and telecommunications requirements, including any rules applying to cross-border transfers, before transferring lead data. Where a carrier acts independently or must retain records by law, the Provider shall explain that role and the verified limitation in the operating schedule. The Client's approval does not waive any mandatory law or permit the Provider to keep plaintext number records in its own systems.</w:t>
      </w:r>
    </w:p>
    <w:p>
      <w:pPr>
        <w:pStyle w:val="Heading1"/>
      </w:pPr>
      <w:r>
        <w:t xml:space="preserve">Retention, return and deletion</w:t>
      </w:r>
    </w:p>
    <w:p>
      <w:pPr>
        <w:pStyle w:val="Normal"/>
      </w:pPr>
      <w:r>
        <w:t xml:space="preserve">The Provider shall retain encrypted number records and permitted other Personal Data only for the authorized purpose and the periods agreed in the operating schedule. Upon the Client's written instruction, completion of that purpose or termination of the relevant services, it shall stop use and return or securely delete the data as instructed, subject only to identified legal retention requirements. It shall also instruct approved processing providers to return or delete data and seek confirmation in accordance with their disclosed obligations.</w:t>
      </w:r>
    </w:p>
    <w:p>
      <w:pPr>
        <w:pStyle w:val="Normal"/>
      </w:pPr>
      <w:r>
        <w:t xml:space="preserve">Backups shall remain encrypted and inaccessible for ordinary processing and shall expire under the agreed backup schedule. A restoration shall reapply deletion instructions. Any data that must be retained by law shall be isolated, protected, restricted to that legal purpose and deleted when the requirement ends. The Provider shall give the Client written confirmation of completed deletion and identify any remaining backup or legally retained copy and its scheduled expiry; it shall not promise immediate deletion of copies outside its verified control.</w:t>
      </w:r>
    </w:p>
    <w:p>
      <w:pPr>
        <w:pStyle w:val="Heading1"/>
      </w:pPr>
      <w:r>
        <w:t xml:space="preserve">Incidents, assistance and verification</w:t>
      </w:r>
    </w:p>
    <w:p>
      <w:pPr>
        <w:pStyle w:val="Normal"/>
      </w:pPr>
      <w:r>
        <w:t xml:space="preserve">The Provider shall notify the Client without undue delay upon becoming aware of unauthorized access, plaintext persistence, loss, disclosure or other breach involving Client Personal Data, and sooner if required by applicable law. It shall contain the incident, preserve appropriate evidence without unnecessary copying of numbers, and provide known details, likely impact and remedial actions, followed by updates as information becomes available. It shall cooperate with the Client on required notifications, data-subject requests and lawful regulatory inquiries.</w:t>
      </w:r>
    </w:p>
    <w:p>
      <w:pPr>
        <w:pStyle w:val="Normal"/>
      </w:pPr>
      <w:r>
        <w:t xml:space="preserve">The Provider shall maintain access and approval records, periodically verify the agreed controls, and provide proportionate evidence of compliance to the Client on reasonable notice, subject to protecting other customers' data and system security. Verification shall include attempts to find plaintext numbers in databases, logs, callbacks, AI context, retained transcripts and error paths. These obligations reduce exposure; they are not a guarantee of absolute security or zero risk.</w:t>
      </w:r>
    </w:p>
    <w:p>
      <w:pPr>
        <w:pStyle w:val="Heading1"/>
      </w:pPr>
      <w:r>
        <w:t xml:space="preserve">Relationship to other agreements and duration</w:t>
      </w:r>
    </w:p>
    <w:p>
      <w:pPr>
        <w:pStyle w:val="Normal"/>
      </w:pPr>
      <w:r>
        <w:t xml:space="preserve">This Agreement supplements any MSA, NDA and statement of work between these Parties. For the lead-data processing and disclosure described here, its specific restrictions control over inconsistent general permissions, including general permissions to share information with affiliates or agents. Necessary processing and limited name use expressly authorized here are permitted notwithstanding a general NDA restriction on commercial use; no broader license or use is granted. Nothing transfers ownership of Client lead data or changes mandatory rights of data subjects.</w:t>
      </w:r>
    </w:p>
    <w:p>
      <w:pPr>
        <w:pStyle w:val="Normal"/>
      </w:pPr>
      <w:r>
        <w:t xml:space="preserve">This Agreement remains effective while the Provider processes or retains the covered data. Its access, confidentiality, security, retention and deletion obligations survive for as long as that data is retained. Amendments require a writing signed by both Parties' authorized representatives. Governing law and dispute resolution follow the Parties' executed MSA, subject to mandatory applicable law; if no MSA exists, those arrangements must be agreed in writing before live processing begins.</w:t>
      </w:r>
    </w:p>
    <w:p>
      <w:pPr>
        <w:pStyle w:val="Heading1"/>
      </w:pPr>
      <w:r>
        <w:t xml:space="preserve">Signatures</w:t>
      </w:r>
    </w:p>
    <w:p>
      <w:pPr>
        <w:pStyle w:val="Normal"/>
      </w:pPr>
      <w:r>
        <w:t xml:space="preserve">The undersigned execute this Agreement for their respective organizations. The Client's signature authorizes only the processing described here, subject to the pre-processing safeguards and operating schedule. It does not approve routine human access to plaintext telephone numbers.</w:t>
      </w:r>
    </w:p>
    <w:p>
      <w:pPr>
        <w:pStyle w:val="Normal"/>
        <w:keepNext w:val="1"/>
        <w:keepLines/>
        <w:ind w:left="0" w:right="0" w:firstLine="0"/>
        <w:spacing w:before="360" w:after="100" w:line="264" w:lineRule="auto"/>
        <w:jc w:val="left"/>
      </w:pPr>
      <w:r>
        <w:rPr>
          <w:rFonts w:ascii="Calibri" w:hAnsi="Calibri" w:cs="Calibri"/>
          <w:b w:val="1"/>
          <w:color w:val="1F5FFF"/>
          <w:sz w:val="22"/>
          <w:szCs w:val="22"/>
        </w:rPr>
        <w:t xml:space="preserve">For {providerName}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Authorized signatory: {providerSignatory}</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Title: {providerDesignation}</w:t>
      </w:r>
    </w:p>
    <w:p>
      <w:pPr>
        <w:pStyle w:val="Normal"/>
        <w:keepNext w:val="1"/>
        <w:keepLines/>
        <w:ind w:left="0" w:right="0" w:firstLine="0"/>
        <w:spacing w:before="360" w:after="100" w:line="264" w:lineRule="auto"/>
        <w:jc w:val="left"/>
      </w:pPr>
      <w:r>
        <w:rPr>
          <w:rFonts w:ascii="Calibri" w:hAnsi="Calibri" w:cs="Calibri"/>
          <w:b w:val="0"/>
          <w:color w:val="172038"/>
          <w:sz w:val="22"/>
          <w:szCs w:val="22"/>
        </w:rPr>
        <w:t xml:space="preserve">Signature: ______________________________</w:t>
      </w:r>
    </w:p>
    <w:p>
      <w:pPr>
        <w:pStyle w:val="Normal"/>
        <w:keepNext w:val="0"/>
        <w:keepLines/>
        <w:ind w:left="0" w:right="0" w:firstLine="0"/>
        <w:spacing w:before="0" w:after="360" w:line="264" w:lineRule="auto"/>
        <w:jc w:val="left"/>
      </w:pPr>
      <w:r>
        <w:rPr>
          <w:rFonts w:ascii="Calibri" w:hAnsi="Calibri" w:cs="Calibri"/>
          <w:b w:val="0"/>
          <w:color w:val="172038"/>
          <w:sz w:val="22"/>
          <w:szCs w:val="22"/>
        </w:rPr>
        <w:t xml:space="preserve">Date signed: ____________________________</w:t>
      </w:r>
    </w:p>
    <w:p>
      <w:pPr>
        <w:pStyle w:val="Normal"/>
        <w:keepNext w:val="1"/>
        <w:keepLines/>
        <w:ind w:left="0" w:right="0" w:firstLine="0"/>
        <w:spacing w:before="360" w:after="100" w:line="264" w:lineRule="auto"/>
        <w:jc w:val="left"/>
      </w:pPr>
      <w:r>
        <w:rPr>
          <w:rFonts w:ascii="Calibri" w:hAnsi="Calibri" w:cs="Calibri"/>
          <w:b w:val="1"/>
          <w:color w:val="1F5FFF"/>
          <w:sz w:val="22"/>
          <w:szCs w:val="22"/>
        </w:rPr>
        <w:t xml:space="preserve">For {companyFullName}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Authorized signatory: {clientName}</w:t>
      </w:r>
    </w:p>
    <w:p>
      <w:pPr>
        <w:pStyle w:val="Normal"/>
        <w:keepNext w:val="1"/>
        <w:keepLines/>
        <w:ind w:left="0" w:right="0" w:firstLine="0"/>
        <w:spacing w:before="0" w:after="100" w:line="264" w:lineRule="auto"/>
        <w:jc w:val="left"/>
      </w:pPr>
      <w:r>
        <w:rPr>
          <w:rFonts w:ascii="Calibri" w:hAnsi="Calibri" w:cs="Calibri"/>
          <w:b w:val="0"/>
          <w:color w:val="172038"/>
          <w:sz w:val="22"/>
          <w:szCs w:val="22"/>
        </w:rPr>
        <w:t xml:space="preserve">Title: {clientDesignation}</w:t>
      </w:r>
    </w:p>
    <w:p>
      <w:pPr>
        <w:pStyle w:val="Normal"/>
        <w:keepNext w:val="1"/>
        <w:keepLines/>
        <w:ind w:left="0" w:right="0" w:firstLine="0"/>
        <w:spacing w:before="360" w:after="100" w:line="264" w:lineRule="auto"/>
        <w:jc w:val="left"/>
      </w:pPr>
      <w:r>
        <w:rPr>
          <w:rFonts w:ascii="Calibri" w:hAnsi="Calibri" w:cs="Calibri"/>
          <w:b w:val="0"/>
          <w:color w:val="172038"/>
          <w:sz w:val="22"/>
          <w:szCs w:val="22"/>
        </w:rPr>
        <w:t xml:space="preserve">Signature: ______________________________</w:t>
      </w:r>
    </w:p>
    <w:p>
      <w:pPr>
        <w:pStyle w:val="Normal"/>
        <w:keepNext w:val="0"/>
        <w:keepLines/>
        <w:ind w:left="0" w:right="0" w:firstLine="0"/>
        <w:spacing w:before="0" w:after="360" w:line="264" w:lineRule="auto"/>
        <w:jc w:val="left"/>
      </w:pPr>
      <w:r>
        <w:rPr>
          <w:rFonts w:ascii="Calibri" w:hAnsi="Calibri" w:cs="Calibri"/>
          <w:b w:val="0"/>
          <w:color w:val="172038"/>
          <w:sz w:val="22"/>
          <w:szCs w:val="22"/>
        </w:rPr>
        <w:t xml:space="preserve">Date signed: ____________________________</w:t>
      </w:r>
    </w:p>
    <w:sectPr>
      <w:headerReference w:type="default" r:id="rIdHeader"/>
      <w:footerReference w:type="default" r:id="rIdFooter"/>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rFonts w:ascii="Calibri" w:hAnsi="Calibri"/>
        <w:color w:val="64748B"/>
        <w:sz w:val="18"/>
      </w:rPr>
      <w:t xml:space="preserve">vedryxTech  ·  </w:t>
    </w:r>
    <w:fldSimple w:instr="PAG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spacing w:before="0" w:after="120"/>
    </w:pPr>
    <w:r>
      <w:drawing>
        <wp:inline distT="0" distB="0" distL="0" distR="0">
          <wp:extent cx="2011680" cy="401182"/>
          <wp:docPr id="1" name="vedryxTech logo" descr="vedryxTech"/>
          <wp:cNvGraphicFramePr>
            <a:graphicFrameLocks noChangeAspect="1"/>
          </wp:cNvGraphicFramePr>
          <a:graphic>
            <a:graphicData uri="http://schemas.openxmlformats.org/drawingml/2006/picture">
              <pic:pic>
                <pic:nvPicPr>
                  <pic:cNvPr id="0" name="vedryxTech logo"/>
                  <pic:cNvPicPr/>
                </pic:nvPicPr>
                <pic:blipFill>
                  <a:blip r:embed="rIdLogo"/>
                  <a:stretch>
                    <a:fillRect/>
                  </a:stretch>
                </pic:blipFill>
                <pic:spPr>
                  <a:xfrm>
                    <a:off x="0" y="0"/>
                    <a:ext cx="2011680" cy="401182"/>
                  </a:xfrm>
                  <a:prstGeom prst="rect">
                    <a:avLst/>
                  </a:prstGeom>
                </pic:spPr>
              </pic:pic>
            </a:graphicData>
          </a:graphic>
        </wp:inline>
      </w:drawing>
    </w:r>
  </w:p>
</w:hdr>
</file>

<file path=word/styles.xml><?xml version="1.0" encoding="utf-8"?>
<w:styles xmlns:w="http://schemas.openxmlformats.org/wordprocessingml/2006/main">
  <w:docDefaults>
    <w:rPrDefault>
      <w:rPr>
        <w:rFonts w:ascii="Calibri" w:hAnsi="Calibri" w:cs="Calibri"/>
        <w:color w:val="172038"/>
        <w:sz w:val="22"/>
        <w:lang w:val="en-GB"/>
      </w:rPr>
    </w:rPrDefault>
    <w:pPrDefault>
      <w:pPr>
        <w:spacing w:before="0" w:after="120" w:line="264" w:lineRule="auto"/>
        <w:widowControl/>
        <w:jc w:val="left"/>
      </w:pPr>
    </w:pPrDefault>
  </w:docDefaults>
  <w:style w:type="paragraph" w:default="1" w:styleId="Normal">
    <w:name w:val="Normal"/>
    <w:qFormat/>
    <w:pPr>
      <w:spacing w:before="0" w:after="120" w:line="264" w:lineRule="auto"/>
    </w:pPr>
    <w:rPr>
      <w:rFonts w:ascii="Calibri" w:hAnsi="Calibri"/>
      <w:sz w:val="22"/>
    </w:rPr>
  </w:style>
  <w:style w:type="paragraph" w:styleId="Title">
    <w:name w:val="Title"/>
    <w:basedOn w:val="Normal"/>
    <w:next w:val="Normal"/>
    <w:qFormat/>
    <w:pPr>
      <w:keepNext/>
      <w:spacing w:before="0" w:after="240" w:line="264" w:lineRule="auto"/>
    </w:pPr>
    <w:rPr>
      <w:b/>
      <w:sz w:val="44"/>
      <w:color w:val="172038"/>
    </w:rPr>
  </w:style>
  <w:style w:type="paragraph" w:styleId="Heading1">
    <w:name w:val="heading 1"/>
    <w:basedOn w:val="Normal"/>
    <w:next w:val="Normal"/>
    <w:qFormat/>
    <w:pPr>
      <w:keepNext/>
      <w:keepLines/>
      <w:outlineLvl w:val="0"/>
      <w:spacing w:before="320" w:after="160" w:line="264" w:lineRule="auto"/>
    </w:pPr>
    <w:rPr>
      <w:b/>
      <w:sz w:val="32"/>
      <w:color w:val="1F5FFF"/>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word/_rels/header1.xml.rels><?xml version="1.0" encoding="UTF-8" standalone="yes"?><Relationships xmlns="http://schemas.openxmlformats.org/package/2006/relationships"><Relationship Id="rIdLogo" Type="http://schemas.openxmlformats.org/officeDocument/2006/relationships/image" Target="media/vedryxtech-logo.png"/></Relationships>
</file>

<file path=docProps/core.xml><?xml version="1.0" encoding="utf-8"?>
<cp:coreProperties xmlns:cp="http://schemas.openxmlformats.org/package/2006/metadata/core-properties" xmlns:dc="http://purl.org/dc/elements/1.1/">
  <dc:title>vedryxTech Data Protection &amp; Restricted Disclosure Agreement</dc:title>
  <dc:creator>vedryxTech</dc:creator>
  <cp:lastModifiedBy>vedryxTech</cp:lastModifiedBy>
</cp:coreProperties>
</file>