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Exec Memo 2026 06 04</w:t>
      </w:r>
    </w:p>
    <w:p>
      <w:r>
        <w:br w:type="page"/>
      </w:r>
    </w:p>
    <w:p>
      <w:pPr>
        <w:pStyle w:val="Heading1"/>
      </w:pPr>
      <w:r>
        <w:t>Executive Investment Memo: Anthropic Deep Competency Program</w:t>
      </w:r>
    </w:p>
    <w:p>
      <w:r>
        <w:rPr>
          <w:sz w:val="22"/>
        </w:rPr>
      </w:r>
      <w:r>
        <w:rPr>
          <w:b/>
          <w:sz w:val="22"/>
        </w:rPr>
        <w:t>Date:</w:t>
      </w:r>
      <w:r>
        <w:rPr>
          <w:sz w:val="22"/>
        </w:rPr>
        <w:t xml:space="preserve"> June 4, 2026</w:t>
      </w:r>
    </w:p>
    <w:p>
      <w:r>
        <w:rPr>
          <w:sz w:val="22"/>
        </w:rPr>
      </w:r>
      <w:r>
        <w:rPr>
          <w:b/>
          <w:sz w:val="22"/>
        </w:rPr>
        <w:t>Prepared by:</w:t>
      </w:r>
      <w:r>
        <w:rPr>
          <w:sz w:val="22"/>
        </w:rPr>
        <w:t xml:space="preserve"> Vamsi Duvvuri</w:t>
      </w:r>
    </w:p>
    <w:p>
      <w:r>
        <w:rPr>
          <w:sz w:val="22"/>
        </w:rPr>
      </w:r>
      <w:r>
        <w:rPr>
          <w:b/>
          <w:sz w:val="22"/>
        </w:rPr>
        <w:t>Classification:</w:t>
      </w:r>
      <w:r>
        <w:rPr>
          <w:sz w:val="22"/>
        </w:rPr>
        <w:t xml:space="preserve"> Internal — Executive Leadership</w:t>
      </w:r>
    </w:p>
    <w:p>
      <w:pPr>
        <w:pStyle w:val="Heading2"/>
      </w:pPr>
      <w:r>
        <w:t>Executive Summary</w:t>
      </w:r>
    </w:p>
    <w:p>
      <w:r>
        <w:rPr>
          <w:sz w:val="22"/>
        </w:rPr>
        <w:t>Our clients are adopting Anthropic's Claude platform at an accelerating pace. When they select Anthropic, they need implementation partners who are not just familiar with the technology, but are hands-on experts who have built real systems with it. Today, we lack that depth.</w:t>
      </w:r>
    </w:p>
    <w:p>
      <w:r>
        <w:rPr>
          <w:sz w:val="22"/>
        </w:rPr>
        <w:t xml:space="preserve">This memo proposes a </w:t>
      </w:r>
      <w:r>
        <w:rPr>
          <w:b/>
          <w:sz w:val="22"/>
        </w:rPr>
        <w:t>$290,525 investment</w:t>
      </w:r>
      <w:r>
        <w:rPr>
          <w:sz w:val="22"/>
        </w:rPr>
        <w:t xml:space="preserve"> to build a deep Anthropic competency bench through an immersive 2-week training cohort in New York City. By late June 2026, we will have </w:t>
      </w:r>
      <w:r>
        <w:rPr>
          <w:b/>
          <w:sz w:val="22"/>
        </w:rPr>
        <w:t>12 certification-ready Claude practitioners</w:t>
      </w:r>
      <w:r>
        <w:rPr>
          <w:sz w:val="22"/>
        </w:rPr>
        <w:t xml:space="preserve"> across six roles, </w:t>
      </w:r>
      <w:r>
        <w:rPr>
          <w:b/>
          <w:sz w:val="22"/>
        </w:rPr>
        <w:t>2-3 qualified internal trainers</w:t>
      </w:r>
      <w:r>
        <w:rPr>
          <w:sz w:val="22"/>
        </w:rPr>
        <w:t>, and a proven, repeatable enablement model that scales to other geographies — starting with India — without additional program design investment.</w:t>
      </w:r>
    </w:p>
    <w:p>
      <w:r>
        <w:rPr>
          <w:sz w:val="22"/>
        </w:rPr>
      </w:r>
      <w:r>
        <w:rPr>
          <w:b/>
          <w:sz w:val="22"/>
        </w:rPr>
        <w:t>Investment breakdown:</w:t>
      </w:r>
      <w:r>
        <w:rPr>
          <w:sz w:val="22"/>
        </w:rPr>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Facilitators (3)</w:t>
            </w:r>
          </w:p>
        </w:tc>
        <w:tc>
          <w:tcPr>
            <w:tcW w:type="dxa" w:w="2160"/>
          </w:tcPr>
          <w:p>
            <w:r>
              <w:rPr>
                <w:b/>
              </w:rPr>
              <w:t>Students (12)</w:t>
            </w:r>
          </w:p>
        </w:tc>
        <w:tc>
          <w:tcPr>
            <w:tcW w:type="dxa" w:w="2160"/>
          </w:tcPr>
          <w:p>
            <w:r>
              <w:rPr>
                <w:b/>
              </w:rPr>
              <w:t>Total</w:t>
            </w:r>
          </w:p>
        </w:tc>
      </w:tr>
      <w:tr>
        <w:tc>
          <w:tcPr>
            <w:tcW w:type="dxa" w:w="2160"/>
          </w:tcPr>
          <w:p>
            <w:r>
              <w:t>**People's time**</w:t>
            </w:r>
          </w:p>
        </w:tc>
        <w:tc>
          <w:tcPr>
            <w:tcW w:type="dxa" w:w="2160"/>
          </w:tcPr>
          <w:p>
            <w:r>
              <w:t>$60,800</w:t>
            </w:r>
          </w:p>
        </w:tc>
        <w:tc>
          <w:tcPr>
            <w:tcW w:type="dxa" w:w="2160"/>
          </w:tcPr>
          <w:p>
            <w:r>
              <w:t>$192,000</w:t>
            </w:r>
          </w:p>
        </w:tc>
        <w:tc>
          <w:tcPr>
            <w:tcW w:type="dxa" w:w="2160"/>
          </w:tcPr>
          <w:p>
            <w:r>
              <w:t>**$252,800** (87%)</w:t>
            </w:r>
          </w:p>
        </w:tc>
      </w:tr>
      <w:tr>
        <w:tc>
          <w:tcPr>
            <w:tcW w:type="dxa" w:w="2160"/>
          </w:tcPr>
          <w:p>
            <w:r>
              <w:t>**Hard dollars**</w:t>
            </w:r>
          </w:p>
        </w:tc>
        <w:tc>
          <w:tcPr>
            <w:tcW w:type="dxa" w:w="2160"/>
          </w:tcPr>
          <w:p>
            <w:r>
              <w:t>$9,925</w:t>
            </w:r>
          </w:p>
        </w:tc>
        <w:tc>
          <w:tcPr>
            <w:tcW w:type="dxa" w:w="2160"/>
          </w:tcPr>
          <w:p>
            <w:r>
              <w:t>$27,800</w:t>
            </w:r>
          </w:p>
        </w:tc>
        <w:tc>
          <w:tcPr>
            <w:tcW w:type="dxa" w:w="2160"/>
          </w:tcPr>
          <w:p>
            <w:r>
              <w:t>**$37,725** (13%)</w:t>
            </w:r>
          </w:p>
        </w:tc>
      </w:tr>
      <w:tr>
        <w:tc>
          <w:tcPr>
            <w:tcW w:type="dxa" w:w="2160"/>
          </w:tcPr>
          <w:p>
            <w:r>
              <w:t>**Total**</w:t>
            </w:r>
          </w:p>
        </w:tc>
        <w:tc>
          <w:tcPr>
            <w:tcW w:type="dxa" w:w="2160"/>
          </w:tcPr>
          <w:p>
            <w:r>
              <w:t>**$70,725**</w:t>
            </w:r>
          </w:p>
        </w:tc>
        <w:tc>
          <w:tcPr>
            <w:tcW w:type="dxa" w:w="2160"/>
          </w:tcPr>
          <w:p>
            <w:r>
              <w:t>**$219,800**</w:t>
            </w:r>
          </w:p>
        </w:tc>
        <w:tc>
          <w:tcPr>
            <w:tcW w:type="dxa" w:w="2160"/>
          </w:tcPr>
          <w:p>
            <w:r>
              <w:t>**$290,525**</w:t>
            </w:r>
          </w:p>
        </w:tc>
      </w:tr>
    </w:tbl>
    <w:p>
      <w:r>
        <w:rPr>
          <w:sz w:val="22"/>
        </w:rPr>
        <w:t xml:space="preserve">The real cash outlay is </w:t>
      </w:r>
      <w:r>
        <w:rPr>
          <w:b/>
          <w:sz w:val="22"/>
        </w:rPr>
        <w:t>$37,725</w:t>
      </w:r>
      <w:r>
        <w:rPr>
          <w:sz w:val="22"/>
        </w:rPr>
        <w:t>. The remaining $252,800 is people's time — the billing value of redirecting practitioners from client work to build a competency bench that generates revenue on Anthropic engagements for years.</w:t>
      </w:r>
    </w:p>
    <w:p>
      <w:r>
        <w:rPr>
          <w:sz w:val="22"/>
        </w:rPr>
        <w:t>This is not a vendor partnership or reseller play. This is about ensuring that when a client has already chosen Anthropic, our team shows up as the most credible delivery partner in the room. Formal Claude Certified Architect (CCA) exam timing will be coordinated with GCO and partner network counselors to ensure certifications count toward Anthropic partner tier eligibility. In the meantime, the program produces practitioners who have covered all five CCA exam domains and passed internal competency assessments.</w:t>
      </w:r>
    </w:p>
    <w:p>
      <w:pPr>
        <w:pStyle w:val="Heading2"/>
      </w:pPr>
      <w:r>
        <w:t>Strategic Context</w:t>
      </w:r>
    </w:p>
    <w:p>
      <w:pPr>
        <w:pStyle w:val="Heading3"/>
      </w:pPr>
      <w:r>
        <w:t>Market Landscape</w:t>
      </w:r>
    </w:p>
    <w:p>
      <w:r>
        <w:rPr>
          <w:sz w:val="22"/>
        </w:rPr>
        <w:t>Anthropic has emerged as a leading frontier AI company, with Claude models consistently ranking at the top of coding, reasoning, and long-context benchmarks. Enterprise adoption is accelerating across financial services, healthcare, technology, and professional services. Key market dynamics:</w:t>
      </w:r>
    </w:p>
    <w:p>
      <w:pPr>
        <w:pStyle w:val="ListBullet"/>
      </w:pPr>
      <w:r>
        <w:rPr>
          <w:sz w:val="22"/>
        </w:rPr>
      </w:r>
      <w:r>
        <w:rPr>
          <w:b/>
          <w:sz w:val="22"/>
        </w:rPr>
        <w:t>Agentic AI is becoming mainstream.</w:t>
      </w:r>
      <w:r>
        <w:rPr>
          <w:sz w:val="22"/>
        </w:rPr>
        <w:t xml:space="preserve"> Anthropic's Claude Code and Agent SDK position it as a leader in the shift from conversational AI to autonomous, tool-using agents. Clients are moving from experimentation to production deployments.</w:t>
      </w:r>
    </w:p>
    <w:p>
      <w:pPr>
        <w:pStyle w:val="ListBullet"/>
      </w:pPr>
      <w:r>
        <w:rPr>
          <w:sz w:val="22"/>
        </w:rPr>
      </w:r>
      <w:r>
        <w:rPr>
          <w:b/>
          <w:sz w:val="22"/>
        </w:rPr>
        <w:t>Enterprise governance requirements are increasing.</w:t>
      </w:r>
      <w:r>
        <w:rPr>
          <w:sz w:val="22"/>
        </w:rPr>
        <w:t xml:space="preserve"> Anthropic's Constitutional AI methodology and safety-first positioning (SOC 2, HIPAA eligible) make it a preferred choice for regulated industries — exactly our client base.</w:t>
      </w:r>
    </w:p>
    <w:p>
      <w:pPr>
        <w:pStyle w:val="ListBullet"/>
      </w:pPr>
      <w:r>
        <w:rPr>
          <w:sz w:val="22"/>
        </w:rPr>
      </w:r>
      <w:r>
        <w:rPr>
          <w:b/>
          <w:sz w:val="22"/>
        </w:rPr>
        <w:t>Multi-model strategies are standard.</w:t>
      </w:r>
      <w:r>
        <w:rPr>
          <w:sz w:val="22"/>
        </w:rPr>
        <w:t xml:space="preserve"> Clients are not choosing one AI vendor. They are building portfolios. Anthropic is increasingly the primary choice for reasoning-heavy, code-intensive, and long-context workloads, complemented by other providers for image/video generation and ecosystem-specific integrations.</w:t>
      </w:r>
    </w:p>
    <w:p>
      <w:pPr>
        <w:pStyle w:val="ListBullet"/>
      </w:pPr>
      <w:r>
        <w:rPr>
          <w:sz w:val="22"/>
        </w:rPr>
      </w:r>
      <w:r>
        <w:rPr>
          <w:b/>
          <w:sz w:val="22"/>
        </w:rPr>
        <w:t>Context window leadership.</w:t>
      </w:r>
      <w:r>
        <w:rPr>
          <w:sz w:val="22"/>
        </w:rPr>
        <w:t xml:space="preserve"> Claude's 1M token context window enables use cases (full-codebase analysis, large document processing, complex multi-step reasoning) that competitors cannot match at comparable quality.</w:t>
      </w:r>
    </w:p>
    <w:p>
      <w:pPr>
        <w:pStyle w:val="Heading3"/>
      </w:pPr>
      <w:r>
        <w:t>Organizational Need</w:t>
      </w:r>
    </w:p>
    <w:p>
      <w:r>
        <w:rPr>
          <w:sz w:val="22"/>
        </w:rPr>
        <w:t>We are a consulting firm. Our value proposition is expertise. When a client selects Anthropic and needs an implementation partner, they are evaluating us against:</w:t>
      </w:r>
    </w:p>
    <w:p>
      <w:pPr>
        <w:pStyle w:val="ListBullet"/>
      </w:pPr>
      <w:r>
        <w:rPr>
          <w:sz w:val="22"/>
        </w:rPr>
        <w:t>Anthropic's own professional services team</w:t>
      </w:r>
    </w:p>
    <w:p>
      <w:pPr>
        <w:pStyle w:val="ListBullet"/>
      </w:pPr>
      <w:r>
        <w:rPr>
          <w:sz w:val="22"/>
        </w:rPr>
        <w:t>Boutique AI consultancies with deep Claude specialization</w:t>
      </w:r>
    </w:p>
    <w:p>
      <w:pPr>
        <w:pStyle w:val="ListBullet"/>
      </w:pPr>
      <w:r>
        <w:rPr>
          <w:sz w:val="22"/>
        </w:rPr>
        <w:t>Competitors who have already invested in Claude-specific training</w:t>
      </w:r>
    </w:p>
    <w:p>
      <w:r>
        <w:rPr>
          <w:sz w:val="22"/>
        </w:rPr>
        <w:t>Today, our Anthropic capabilities are broad but shallow — awareness-level, not delivery-level. We need practitioners who have:</w:t>
      </w:r>
    </w:p>
    <w:p>
      <w:pPr>
        <w:pStyle w:val="ListBullet"/>
      </w:pPr>
      <w:r>
        <w:rPr>
          <w:sz w:val="22"/>
        </w:rPr>
      </w:r>
      <w:r>
        <w:rPr>
          <w:b/>
          <w:sz w:val="22"/>
        </w:rPr>
        <w:t>Built production systems</w:t>
      </w:r>
      <w:r>
        <w:rPr>
          <w:sz w:val="22"/>
        </w:rPr>
        <w:t xml:space="preserve"> with the Claude API, not just run demos</w:t>
      </w:r>
    </w:p>
    <w:p>
      <w:pPr>
        <w:pStyle w:val="ListBullet"/>
      </w:pPr>
      <w:r>
        <w:rPr>
          <w:sz w:val="22"/>
        </w:rPr>
      </w:r>
      <w:r>
        <w:rPr>
          <w:b/>
          <w:sz w:val="22"/>
        </w:rPr>
        <w:t>Used Claude Code daily</w:t>
      </w:r>
      <w:r>
        <w:rPr>
          <w:sz w:val="22"/>
        </w:rPr>
        <w:t xml:space="preserve"> as part of their engineering workflow</w:t>
      </w:r>
    </w:p>
    <w:p>
      <w:pPr>
        <w:pStyle w:val="ListBullet"/>
      </w:pPr>
      <w:r>
        <w:rPr>
          <w:sz w:val="22"/>
        </w:rPr>
      </w:r>
      <w:r>
        <w:rPr>
          <w:b/>
          <w:sz w:val="22"/>
        </w:rPr>
        <w:t>Covered all five Claude Certified Architect exam domains</w:t>
      </w:r>
      <w:r>
        <w:rPr>
          <w:sz w:val="22"/>
        </w:rPr>
        <w:t>, with internal competency assessments validating their readiness</w:t>
      </w:r>
    </w:p>
    <w:p>
      <w:pPr>
        <w:pStyle w:val="ListBullet"/>
      </w:pPr>
      <w:r>
        <w:rPr>
          <w:sz w:val="22"/>
        </w:rPr>
      </w:r>
      <w:r>
        <w:rPr>
          <w:b/>
          <w:sz w:val="22"/>
        </w:rPr>
        <w:t>Followed a structured AI product process</w:t>
      </w:r>
      <w:r>
        <w:rPr>
          <w:sz w:val="22"/>
        </w:rPr>
        <w:t xml:space="preserve"> that can be replicated across client engagements</w:t>
      </w:r>
    </w:p>
    <w:p>
      <w:pPr>
        <w:pStyle w:val="Heading3"/>
      </w:pPr>
      <w:r>
        <w:t>Why Anthropic</w:t>
      </w:r>
    </w:p>
    <w:p>
      <w:r>
        <w:rPr>
          <w:sz w:val="22"/>
        </w:rPr>
        <w:t>This investment is not about picking a winner in the AI platform race. It is about responding to a market reality: clients are selecting Anthropic, and we need to be ready to deliver.</w:t>
      </w:r>
    </w:p>
    <w:p>
      <w:r>
        <w:rPr>
          <w:sz w:val="22"/>
        </w:rPr>
        <w:t>Anthropic's technology stack is particularly relevant to our practice because:</w:t>
      </w:r>
    </w:p>
    <w:p>
      <w:pPr>
        <w:pStyle w:val="ListBullet"/>
      </w:pPr>
      <w:r>
        <w:rPr>
          <w:sz w:val="22"/>
        </w:rPr>
      </w:r>
      <w:r>
        <w:rPr>
          <w:b/>
          <w:sz w:val="22"/>
        </w:rPr>
        <w:t>Claude API</w:t>
      </w:r>
      <w:r>
        <w:rPr>
          <w:sz w:val="22"/>
        </w:rPr>
        <w:t xml:space="preserve"> — The Messages API with tool use, vision, extended thinking, and prompt caching covers the full spectrum of enterprise AI use cases our clients pursue</w:t>
      </w:r>
    </w:p>
    <w:p>
      <w:pPr>
        <w:pStyle w:val="ListBullet"/>
      </w:pPr>
      <w:r>
        <w:rPr>
          <w:sz w:val="22"/>
        </w:rPr>
      </w:r>
      <w:r>
        <w:rPr>
          <w:b/>
          <w:sz w:val="22"/>
        </w:rPr>
        <w:t>Claude Code</w:t>
      </w:r>
      <w:r>
        <w:rPr>
          <w:sz w:val="22"/>
        </w:rPr>
        <w:t xml:space="preserve"> — The agentic CLI for software engineering is transforming how development teams work. Clients adopting it need partners who use it natively, not partners who read about it</w:t>
      </w:r>
    </w:p>
    <w:p>
      <w:pPr>
        <w:pStyle w:val="ListBullet"/>
      </w:pPr>
      <w:r>
        <w:rPr>
          <w:sz w:val="22"/>
        </w:rPr>
      </w:r>
      <w:r>
        <w:rPr>
          <w:b/>
          <w:sz w:val="22"/>
        </w:rPr>
        <w:t>Agent SDK</w:t>
      </w:r>
      <w:r>
        <w:rPr>
          <w:sz w:val="22"/>
        </w:rPr>
        <w:t xml:space="preserve"> — As clients move from single-model applications to multi-agent systems, we need architects who have built with the Agent SDK, not just evaluated it</w:t>
      </w:r>
    </w:p>
    <w:p>
      <w:pPr>
        <w:pStyle w:val="ListBullet"/>
      </w:pPr>
      <w:r>
        <w:rPr>
          <w:sz w:val="22"/>
        </w:rPr>
      </w:r>
      <w:r>
        <w:rPr>
          <w:b/>
          <w:sz w:val="22"/>
        </w:rPr>
        <w:t>Certification readiness</w:t>
      </w:r>
      <w:r>
        <w:rPr>
          <w:sz w:val="22"/>
        </w:rPr>
        <w:t xml:space="preserve"> — The program covers all five Claude Certified Architect exam domains, positioning our team to certify when GCO and partner network counselors confirm timing that counts toward Anthropic partner tier eligibility</w:t>
      </w:r>
    </w:p>
    <w:p>
      <w:pPr>
        <w:pStyle w:val="Heading2"/>
      </w:pPr>
      <w:r>
        <w:t>Investment Proposal</w:t>
      </w:r>
    </w:p>
    <w:p>
      <w:pPr>
        <w:pStyle w:val="Heading3"/>
      </w:pPr>
      <w:r>
        <w:t>Program Scope</w:t>
      </w:r>
    </w:p>
    <w:p>
      <w:r>
        <w:rPr>
          <w:sz w:val="22"/>
        </w:rPr>
        <w:t>An immersive, 2-week training program in New York City, producing 12 certification-ready Claude practitioners and 2-3 qualified internal trainers through a "train the trainer" model. Week 1 is fully in-person; Week 2 is virtual.</w:t>
      </w:r>
    </w:p>
    <w:p>
      <w:r>
        <w:rPr>
          <w:sz w:val="22"/>
        </w:rPr>
      </w:r>
      <w:r>
        <w:rPr>
          <w:b/>
          <w:sz w:val="22"/>
        </w:rPr>
        <w:t>US Cohort — New York City (2 weeks)</w:t>
      </w:r>
      <w:r>
        <w:rPr>
          <w:sz w:val="22"/>
        </w:rPr>
      </w:r>
    </w:p>
    <w:p>
      <w:pPr>
        <w:pStyle w:val="ListBullet"/>
      </w:pPr>
      <w:r>
        <w:rPr>
          <w:sz w:val="22"/>
        </w:rPr>
        <w:t>12 participants across six roles: Data Engineer, AI Engineer, Architect, Software Engineer, Business Analyst/Consultant, Product Manager (2 per role)</w:t>
      </w:r>
    </w:p>
    <w:p>
      <w:pPr>
        <w:pStyle w:val="ListBullet"/>
      </w:pPr>
      <w:r>
        <w:rPr>
          <w:sz w:val="22"/>
        </w:rPr>
        <w:t>3 facilitators: PPMD (oversight, 8 hrs/week), Sr. Manager (full-time), Manager (full-time)</w:t>
      </w:r>
    </w:p>
    <w:p>
      <w:pPr>
        <w:pStyle w:val="ListBullet"/>
      </w:pPr>
      <w:r>
        <w:rPr>
          <w:sz w:val="22"/>
        </w:rPr>
        <w:t>Intermediate-to-advanced practitioners</w:t>
      </w:r>
    </w:p>
    <w:p>
      <w:pPr>
        <w:pStyle w:val="ListBullet"/>
      </w:pPr>
      <w:r>
        <w:rPr>
          <w:sz w:val="22"/>
        </w:rPr>
        <w:t>6 participants travel to NYC for Week 1; remaining 6 are local</w:t>
      </w:r>
    </w:p>
    <w:p>
      <w:pPr>
        <w:pStyle w:val="ListBullet"/>
      </w:pPr>
      <w:r>
        <w:rPr>
          <w:sz w:val="22"/>
        </w:rPr>
        <w:t>2-3 participants selected as future co-facilitators for India and other geos</w:t>
      </w:r>
    </w:p>
    <w:p>
      <w:pPr>
        <w:pStyle w:val="ListBullet"/>
      </w:pPr>
      <w:r>
        <w:rPr>
          <w:sz w:val="22"/>
        </w:rPr>
        <w:t xml:space="preserve">Purpose: </w:t>
      </w:r>
      <w:r>
        <w:rPr>
          <w:b/>
          <w:sz w:val="22"/>
        </w:rPr>
        <w:t>Build the enablement machine — test curriculum, generate playbooks, produce trainers</w:t>
      </w:r>
      <w:r>
        <w:rPr>
          <w:sz w:val="22"/>
        </w:rPr>
      </w:r>
    </w:p>
    <w:p>
      <w:r>
        <w:rPr>
          <w:sz w:val="22"/>
        </w:rPr>
      </w:r>
      <w:r>
        <w:rPr>
          <w:b/>
          <w:sz w:val="22"/>
        </w:rPr>
        <w:t>Training Design — Two Integrated Tracks:</w:t>
      </w:r>
      <w:r>
        <w:rPr>
          <w:sz w:val="22"/>
        </w:rPr>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Focus</w:t>
            </w:r>
          </w:p>
        </w:tc>
        <w:tc>
          <w:tcPr>
            <w:tcW w:type="dxa" w:w="2880"/>
          </w:tcPr>
          <w:p>
            <w:r>
              <w:rPr>
                <w:b/>
              </w:rPr>
              <w:t>Requirement</w:t>
            </w:r>
          </w:p>
        </w:tc>
      </w:tr>
      <w:tr>
        <w:tc>
          <w:tcPr>
            <w:tcW w:type="dxa" w:w="2880"/>
          </w:tcPr>
          <w:p>
            <w:r>
              <w:t>Certification-Readiness Track</w:t>
            </w:r>
          </w:p>
        </w:tc>
        <w:tc>
          <w:tcPr>
            <w:tcW w:type="dxa" w:w="2880"/>
          </w:tcPr>
          <w:p>
            <w:r>
              <w:t>Systematic coverage of all Claude Certified Architect exam domains</w:t>
            </w:r>
          </w:p>
        </w:tc>
        <w:tc>
          <w:tcPr>
            <w:tcW w:type="dxa" w:w="2880"/>
          </w:tcPr>
          <w:p>
            <w:r>
              <w:t>Internal competency assessment across all 5 domains. Formal CCA exam timing coordinated with GCO and partner network counselors to ensure certifications count toward Anthropic partner tier eligibility.</w:t>
            </w:r>
          </w:p>
        </w:tc>
      </w:tr>
      <w:tr>
        <w:tc>
          <w:tcPr>
            <w:tcW w:type="dxa" w:w="2880"/>
          </w:tcPr>
          <w:p>
            <w:r>
              <w:t>AI-Native Build Track</w:t>
            </w:r>
          </w:p>
        </w:tc>
        <w:tc>
          <w:tcPr>
            <w:tcW w:type="dxa" w:w="2880"/>
          </w:tcPr>
          <w:p>
            <w:r>
              <w:t>AI product process — specs, harnesses, team collaboration — to build a real product</w:t>
            </w:r>
          </w:p>
        </w:tc>
        <w:tc>
          <w:tcPr>
            <w:tcW w:type="dxa" w:w="2880"/>
          </w:tcPr>
          <w:p>
            <w:r>
              <w:t>Full project from strategy to deployment to communications</w:t>
            </w:r>
          </w:p>
        </w:tc>
      </w:tr>
    </w:tbl>
    <w:p>
      <w:r>
        <w:rPr>
          <w:sz w:val="22"/>
        </w:rPr>
      </w:r>
      <w:r>
        <w:rPr>
          <w:b/>
          <w:sz w:val="22"/>
        </w:rPr>
        <w:t>Daily Structure:</w:t>
      </w:r>
      <w:r>
        <w:rPr>
          <w:sz w:val="22"/>
        </w:rPr>
      </w:r>
    </w:p>
    <w:p>
      <w:pPr>
        <w:pStyle w:val="ListBullet"/>
      </w:pPr>
      <w:r>
        <w:rPr>
          <w:sz w:val="22"/>
        </w:rPr>
        <w:t>Monday: 11:00 AM – 4:00 PM (4 hrs structured)</w:t>
      </w:r>
    </w:p>
    <w:p>
      <w:pPr>
        <w:pStyle w:val="ListBullet"/>
      </w:pPr>
      <w:r>
        <w:rPr>
          <w:sz w:val="22"/>
        </w:rPr>
        <w:t>Tuesday–Thursday: 8:00 AM – 5:00 PM (8 hrs structured, including breakfast brainstorming 8-9)</w:t>
      </w:r>
    </w:p>
    <w:p>
      <w:pPr>
        <w:pStyle w:val="ListBullet"/>
      </w:pPr>
      <w:r>
        <w:rPr>
          <w:sz w:val="22"/>
        </w:rPr>
        <w:t>Friday: 9:00 AM – 3:00 PM (5 hrs structured, early release for travel)</w:t>
      </w:r>
    </w:p>
    <w:p>
      <w:pPr>
        <w:pStyle w:val="ListBullet"/>
      </w:pPr>
      <w:r>
        <w:rPr>
          <w:sz w:val="22"/>
        </w:rPr>
        <w:t>Team dinners Monday and Thursday evenings</w:t>
      </w:r>
    </w:p>
    <w:p>
      <w:pPr>
        <w:pStyle w:val="ListBullet"/>
      </w:pPr>
      <w:r>
        <w:rPr>
          <w:sz w:val="22"/>
        </w:rPr>
        <w:t>Evenings: self-directed work on ideas, assets, and builds</w:t>
      </w:r>
    </w:p>
    <w:p>
      <w:pPr>
        <w:pStyle w:val="ListBullet"/>
      </w:pPr>
      <w:r>
        <w:rPr>
          <w:sz w:val="22"/>
        </w:rPr>
      </w:r>
      <w:r>
        <w:rPr>
          <w:b/>
          <w:sz w:val="22"/>
        </w:rPr>
        <w:t>66 structured hours</w:t>
      </w:r>
      <w:r>
        <w:rPr>
          <w:sz w:val="22"/>
        </w:rPr>
        <w:t xml:space="preserve"> across 10 days, plus breakfast brainstorming and evening collaboration</w:t>
      </w:r>
    </w:p>
    <w:p>
      <w:r>
        <w:rPr>
          <w:sz w:val="22"/>
        </w:rPr>
      </w:r>
      <w:r>
        <w:rPr>
          <w:b/>
          <w:sz w:val="22"/>
        </w:rPr>
        <w:t>Week 1 is technology-specific</w:t>
      </w:r>
      <w:r>
        <w:rPr>
          <w:sz w:val="22"/>
        </w:rPr>
        <w:t xml:space="preserve"> (Anthropic / certification-readiness-focused) — this portion is rebuilt per vendor for future cohorts. </w:t>
      </w:r>
      <w:r>
        <w:rPr>
          <w:b/>
          <w:sz w:val="22"/>
        </w:rPr>
        <w:t>Week 2 is the AI-Native Build Methodology</w:t>
      </w:r>
      <w:r>
        <w:rPr>
          <w:sz w:val="22"/>
        </w:rPr>
        <w:t xml:space="preserve"> — vendor-agnostic and fully reusable across all future Forge programs (OpenAI, NVIDIA, GCP, AWS, etc.).</w:t>
      </w:r>
    </w:p>
    <w:p>
      <w:r>
        <w:rPr>
          <w:sz w:val="22"/>
        </w:rPr>
      </w:r>
      <w:r>
        <w:rPr>
          <w:b/>
          <w:sz w:val="22"/>
        </w:rPr>
        <w:t>Certification Exam Domains Covered (Week 1):</w:t>
      </w:r>
      <w:r>
        <w:rPr>
          <w:sz w:val="22"/>
        </w:rPr>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Weight</w:t>
            </w:r>
          </w:p>
        </w:tc>
        <w:tc>
          <w:tcPr>
            <w:tcW w:type="dxa" w:w="2880"/>
          </w:tcPr>
          <w:p>
            <w:r>
              <w:rPr>
                <w:b/>
              </w:rPr>
              <w:t>Focus Areas</w:t>
            </w:r>
          </w:p>
        </w:tc>
      </w:tr>
      <w:tr>
        <w:tc>
          <w:tcPr>
            <w:tcW w:type="dxa" w:w="2880"/>
          </w:tcPr>
          <w:p>
            <w:r>
              <w:t>Agentic Architecture &amp; Orchestration</w:t>
            </w:r>
          </w:p>
        </w:tc>
        <w:tc>
          <w:tcPr>
            <w:tcW w:type="dxa" w:w="2880"/>
          </w:tcPr>
          <w:p>
            <w:r>
              <w:t>25-27%</w:t>
            </w:r>
          </w:p>
        </w:tc>
        <w:tc>
          <w:tcPr>
            <w:tcW w:type="dxa" w:w="2880"/>
          </w:tcPr>
          <w:p>
            <w:r>
              <w:t>Agentic loops, multi-agent coordination, subagent spawning, task decomposition, session state, hooks</w:t>
            </w:r>
          </w:p>
        </w:tc>
      </w:tr>
      <w:tr>
        <w:tc>
          <w:tcPr>
            <w:tcW w:type="dxa" w:w="2880"/>
          </w:tcPr>
          <w:p>
            <w:r>
              <w:t>Claude Code Configuration &amp; Workflows</w:t>
            </w:r>
          </w:p>
        </w:tc>
        <w:tc>
          <w:tcPr>
            <w:tcW w:type="dxa" w:w="2880"/>
          </w:tcPr>
          <w:p>
            <w:r>
              <w:t>20%</w:t>
            </w:r>
          </w:p>
        </w:tc>
        <w:tc>
          <w:tcPr>
            <w:tcW w:type="dxa" w:w="2880"/>
          </w:tcPr>
          <w:p>
            <w:r>
              <w:t>CLAUDE.md hierarchy, path-scoped rules, custom skills, plan mode, CI/CD integration, batch processing</w:t>
            </w:r>
          </w:p>
        </w:tc>
      </w:tr>
      <w:tr>
        <w:tc>
          <w:tcPr>
            <w:tcW w:type="dxa" w:w="2880"/>
          </w:tcPr>
          <w:p>
            <w:r>
              <w:t>Prompt Engineering &amp; Structured Output</w:t>
            </w:r>
          </w:p>
        </w:tc>
        <w:tc>
          <w:tcPr>
            <w:tcW w:type="dxa" w:w="2880"/>
          </w:tcPr>
          <w:p>
            <w:r>
              <w:t>20%</w:t>
            </w:r>
          </w:p>
        </w:tc>
        <w:tc>
          <w:tcPr>
            <w:tcW w:type="dxa" w:w="2880"/>
          </w:tcPr>
          <w:p>
            <w:r>
              <w:t>Few-shot prompting, JSON schema design, validation-retry loops, multi-pass review, tool use for structured output</w:t>
            </w:r>
          </w:p>
        </w:tc>
      </w:tr>
      <w:tr>
        <w:tc>
          <w:tcPr>
            <w:tcW w:type="dxa" w:w="2880"/>
          </w:tcPr>
          <w:p>
            <w:r>
              <w:t>Tool Design &amp; MCP Integration</w:t>
            </w:r>
          </w:p>
        </w:tc>
        <w:tc>
          <w:tcPr>
            <w:tcW w:type="dxa" w:w="2880"/>
          </w:tcPr>
          <w:p>
            <w:r>
              <w:t>18-20%</w:t>
            </w:r>
          </w:p>
        </w:tc>
        <w:tc>
          <w:tcPr>
            <w:tcW w:type="dxa" w:w="2880"/>
          </w:tcPr>
          <w:p>
            <w:r>
              <w:t>Tool descriptions, structured error responses, tool distribution, MCP configuration, built-in tools</w:t>
            </w:r>
          </w:p>
        </w:tc>
      </w:tr>
      <w:tr>
        <w:tc>
          <w:tcPr>
            <w:tcW w:type="dxa" w:w="2880"/>
          </w:tcPr>
          <w:p>
            <w:r>
              <w:t>Context Management &amp; Reliability</w:t>
            </w:r>
          </w:p>
        </w:tc>
        <w:tc>
          <w:tcPr>
            <w:tcW w:type="dxa" w:w="2880"/>
          </w:tcPr>
          <w:p>
            <w:r>
              <w:t>15%</w:t>
            </w:r>
          </w:p>
        </w:tc>
        <w:tc>
          <w:tcPr>
            <w:tcW w:type="dxa" w:w="2880"/>
          </w:tcPr>
          <w:p>
            <w:r>
              <w:t>Cross-conversation persistence, summarization risks, error propagation, escalation patterns, information provenance</w:t>
            </w:r>
          </w:p>
        </w:tc>
      </w:tr>
    </w:tbl>
    <w:p>
      <w:pPr>
        <w:pStyle w:val="Heading3"/>
      </w:pPr>
      <w:r>
        <w:t>Detailed Day-by-Day Schedule</w:t>
      </w:r>
    </w:p>
    <w:p>
      <w:r>
        <w:rPr>
          <w:sz w:val="22"/>
        </w:rPr>
        <w:t>#### Week 1: Anthropic Technology Deep Dive &amp; Certification-Readiness (In-Person, NYC)</w:t>
      </w:r>
    </w:p>
    <w:p>
      <w:r>
        <w:rPr>
          <w:sz w:val="22"/>
        </w:rPr>
      </w:r>
      <w:r>
        <w:rPr>
          <w:b/>
          <w:sz w:val="22"/>
        </w:rPr>
        <w:t>Monday — Foundations</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11:00–12:00</w:t>
            </w:r>
          </w:p>
        </w:tc>
        <w:tc>
          <w:tcPr>
            <w:tcW w:type="dxa" w:w="4320"/>
          </w:tcPr>
          <w:p>
            <w:r>
              <w:t>Welcome, program overview, team introductions, objectives</w:t>
            </w:r>
          </w:p>
        </w:tc>
      </w:tr>
      <w:tr>
        <w:tc>
          <w:tcPr>
            <w:tcW w:type="dxa" w:w="4320"/>
          </w:tcPr>
          <w:p>
            <w:r>
              <w:t>12:00–1:00</w:t>
            </w:r>
          </w:p>
        </w:tc>
        <w:tc>
          <w:tcPr>
            <w:tcW w:type="dxa" w:w="4320"/>
          </w:tcPr>
          <w:p>
            <w:r>
              <w:t>Lunch</w:t>
            </w:r>
          </w:p>
        </w:tc>
      </w:tr>
      <w:tr>
        <w:tc>
          <w:tcPr>
            <w:tcW w:type="dxa" w:w="4320"/>
          </w:tcPr>
          <w:p>
            <w:r>
              <w:t>1:00–4:00</w:t>
            </w:r>
          </w:p>
        </w:tc>
        <w:tc>
          <w:tcPr>
            <w:tcW w:type="dxa" w:w="4320"/>
          </w:tcPr>
          <w:p>
            <w:r>
              <w:t>Claude Foundations: models, API, Messages API, authentication, SDKs. Hands-on: first API calls, explore Claude.ai and Claude Code</w:t>
            </w:r>
          </w:p>
        </w:tc>
      </w:tr>
      <w:tr>
        <w:tc>
          <w:tcPr>
            <w:tcW w:type="dxa" w:w="4320"/>
          </w:tcPr>
          <w:p>
            <w:r>
              <w:t>Evening</w:t>
            </w:r>
          </w:p>
        </w:tc>
        <w:tc>
          <w:tcPr>
            <w:tcW w:type="dxa" w:w="4320"/>
          </w:tcPr>
          <w:p>
            <w:r>
              <w:t>**Team dinner.** Form build teams, brainstorm project ideas</w:t>
            </w:r>
          </w:p>
        </w:tc>
      </w:tr>
    </w:tbl>
    <w:p>
      <w:r>
        <w:rPr>
          <w:sz w:val="22"/>
        </w:rPr>
      </w:r>
      <w:r>
        <w:rPr>
          <w:b/>
          <w:sz w:val="22"/>
        </w:rPr>
        <w:t>Tuesday — Prompt Engineering + Tool Design</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what would you build with Claude?</w:t>
            </w:r>
          </w:p>
        </w:tc>
      </w:tr>
      <w:tr>
        <w:tc>
          <w:tcPr>
            <w:tcW w:type="dxa" w:w="4320"/>
          </w:tcPr>
          <w:p>
            <w:r>
              <w:t>9:00–12:00</w:t>
            </w:r>
          </w:p>
        </w:tc>
        <w:tc>
          <w:tcPr>
            <w:tcW w:type="dxa" w:w="4320"/>
          </w:tcPr>
          <w:p>
            <w:r>
              <w:t>Prompt Engineering &amp; Structured Output (Domain 4, 20%): explicit instruction criteria, few-shot prompting, JSON schema design, validation-retry loops, multi-pass review architectures</w:t>
            </w:r>
          </w:p>
        </w:tc>
      </w:tr>
      <w:tr>
        <w:tc>
          <w:tcPr>
            <w:tcW w:type="dxa" w:w="4320"/>
          </w:tcPr>
          <w:p>
            <w:r>
              <w:t>12:00–1:00</w:t>
            </w:r>
          </w:p>
        </w:tc>
        <w:tc>
          <w:tcPr>
            <w:tcW w:type="dxa" w:w="4320"/>
          </w:tcPr>
          <w:p>
            <w:r>
              <w:t>Lunch</w:t>
            </w:r>
          </w:p>
        </w:tc>
      </w:tr>
      <w:tr>
        <w:tc>
          <w:tcPr>
            <w:tcW w:type="dxa" w:w="4320"/>
          </w:tcPr>
          <w:p>
            <w:r>
              <w:t>1:00–5:00</w:t>
            </w:r>
          </w:p>
        </w:tc>
        <w:tc>
          <w:tcPr>
            <w:tcW w:type="dxa" w:w="4320"/>
          </w:tcPr>
          <w:p>
            <w:r>
              <w:t>Tool Design &amp; MCP Integration (Domain 2, 18-20%): tool description best practices, structured error responses, tool distribution, MCP configuration, built-in tools. Hands-on lab: build a custom tool + MCP server</w:t>
            </w:r>
          </w:p>
        </w:tc>
      </w:tr>
      <w:tr>
        <w:tc>
          <w:tcPr>
            <w:tcW w:type="dxa" w:w="4320"/>
          </w:tcPr>
          <w:p>
            <w:r>
              <w:t>Evening</w:t>
            </w:r>
          </w:p>
        </w:tc>
        <w:tc>
          <w:tcPr>
            <w:tcW w:type="dxa" w:w="4320"/>
          </w:tcPr>
          <w:p>
            <w:r>
              <w:t>Self-directed: experiment with tools and MCP</w:t>
            </w:r>
          </w:p>
        </w:tc>
      </w:tr>
    </w:tbl>
    <w:p>
      <w:r>
        <w:rPr>
          <w:sz w:val="22"/>
        </w:rPr>
      </w:r>
      <w:r>
        <w:rPr>
          <w:b/>
          <w:sz w:val="22"/>
        </w:rPr>
        <w:t>Wednesday — Claude Code + Agentic Architecture Part 1</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agentic use cases from your practice</w:t>
            </w:r>
          </w:p>
        </w:tc>
      </w:tr>
      <w:tr>
        <w:tc>
          <w:tcPr>
            <w:tcW w:type="dxa" w:w="4320"/>
          </w:tcPr>
          <w:p>
            <w:r>
              <w:t>9:00–12:00</w:t>
            </w:r>
          </w:p>
        </w:tc>
        <w:tc>
          <w:tcPr>
            <w:tcW w:type="dxa" w:w="4320"/>
          </w:tcPr>
          <w:p>
            <w:r>
              <w:t>Claude Code Configuration &amp; Workflows (Domain 3, 20%): CLAUDE.md hierarchy, path-scoped rules, custom skills, plan mode, iterative refinement, CI/CD integration, batch processing</w:t>
            </w:r>
          </w:p>
        </w:tc>
      </w:tr>
      <w:tr>
        <w:tc>
          <w:tcPr>
            <w:tcW w:type="dxa" w:w="4320"/>
          </w:tcPr>
          <w:p>
            <w:r>
              <w:t>12:00–1:00</w:t>
            </w:r>
          </w:p>
        </w:tc>
        <w:tc>
          <w:tcPr>
            <w:tcW w:type="dxa" w:w="4320"/>
          </w:tcPr>
          <w:p>
            <w:r>
              <w:t>Lunch</w:t>
            </w:r>
          </w:p>
        </w:tc>
      </w:tr>
      <w:tr>
        <w:tc>
          <w:tcPr>
            <w:tcW w:type="dxa" w:w="4320"/>
          </w:tcPr>
          <w:p>
            <w:r>
              <w:t>1:00–5:00</w:t>
            </w:r>
          </w:p>
        </w:tc>
        <w:tc>
          <w:tcPr>
            <w:tcW w:type="dxa" w:w="4320"/>
          </w:tcPr>
          <w:p>
            <w:r>
              <w:t>Agentic Architecture &amp; Orchestration Part 1 (Domain 1, 25-27%): agentic loops, multi-agent coordination, subagent spawning, task decomposition. Hands-on: build a multi-agent workflow</w:t>
            </w:r>
          </w:p>
        </w:tc>
      </w:tr>
      <w:tr>
        <w:tc>
          <w:tcPr>
            <w:tcW w:type="dxa" w:w="4320"/>
          </w:tcPr>
          <w:p>
            <w:r>
              <w:t>Evening</w:t>
            </w:r>
          </w:p>
        </w:tc>
        <w:tc>
          <w:tcPr>
            <w:tcW w:type="dxa" w:w="4320"/>
          </w:tcPr>
          <w:p>
            <w:r>
              <w:t>Self-directed: Claude Code deep practice, cert study</w:t>
            </w:r>
          </w:p>
        </w:tc>
      </w:tr>
    </w:tbl>
    <w:p>
      <w:r>
        <w:rPr>
          <w:sz w:val="22"/>
        </w:rPr>
      </w:r>
      <w:r>
        <w:rPr>
          <w:b/>
          <w:sz w:val="22"/>
        </w:rPr>
        <w:t>Thursday — Agentic Architecture Part 2 + Advanced Features + Practice Exam</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reliability war stories</w:t>
            </w:r>
          </w:p>
        </w:tc>
      </w:tr>
      <w:tr>
        <w:tc>
          <w:tcPr>
            <w:tcW w:type="dxa" w:w="4320"/>
          </w:tcPr>
          <w:p>
            <w:r>
              <w:t>9:00–12:00</w:t>
            </w:r>
          </w:p>
        </w:tc>
        <w:tc>
          <w:tcPr>
            <w:tcW w:type="dxa" w:w="4320"/>
          </w:tcPr>
          <w:p>
            <w:r>
              <w:t>Agentic Architecture Part 2: session state, orchestration strategies, hooks. Context Management &amp; Reliability (Domain 5, 15%): cross-conversation persistence, summarization risks, error propagation, escalation, provenance</w:t>
            </w:r>
          </w:p>
        </w:tc>
      </w:tr>
      <w:tr>
        <w:tc>
          <w:tcPr>
            <w:tcW w:type="dxa" w:w="4320"/>
          </w:tcPr>
          <w:p>
            <w:r>
              <w:t>12:00–1:00</w:t>
            </w:r>
          </w:p>
        </w:tc>
        <w:tc>
          <w:tcPr>
            <w:tcW w:type="dxa" w:w="4320"/>
          </w:tcPr>
          <w:p>
            <w:r>
              <w:t>Lunch</w:t>
            </w:r>
          </w:p>
        </w:tc>
      </w:tr>
      <w:tr>
        <w:tc>
          <w:tcPr>
            <w:tcW w:type="dxa" w:w="4320"/>
          </w:tcPr>
          <w:p>
            <w:r>
              <w:t>1:00–3:00</w:t>
            </w:r>
          </w:p>
        </w:tc>
        <w:tc>
          <w:tcPr>
            <w:tcW w:type="dxa" w:w="4320"/>
          </w:tcPr>
          <w:p>
            <w:r>
              <w:t>Advanced features lab: vision, PDF processing, extended thinking, prompt caching, batch API, citations</w:t>
            </w:r>
          </w:p>
        </w:tc>
      </w:tr>
      <w:tr>
        <w:tc>
          <w:tcPr>
            <w:tcW w:type="dxa" w:w="4320"/>
          </w:tcPr>
          <w:p>
            <w:r>
              <w:t>3:00–5:00</w:t>
            </w:r>
          </w:p>
        </w:tc>
        <w:tc>
          <w:tcPr>
            <w:tcW w:type="dxa" w:w="4320"/>
          </w:tcPr>
          <w:p>
            <w:r>
              <w:t>Full practice exam simulation + answer review. Individual gap analysis</w:t>
            </w:r>
          </w:p>
        </w:tc>
      </w:tr>
      <w:tr>
        <w:tc>
          <w:tcPr>
            <w:tcW w:type="dxa" w:w="4320"/>
          </w:tcPr>
          <w:p>
            <w:r>
              <w:t>Evening</w:t>
            </w:r>
          </w:p>
        </w:tc>
        <w:tc>
          <w:tcPr>
            <w:tcW w:type="dxa" w:w="4320"/>
          </w:tcPr>
          <w:p>
            <w:r>
              <w:t>**Team dinner.** Build project kickoff: define scope, specs, architecture</w:t>
            </w:r>
          </w:p>
        </w:tc>
      </w:tr>
    </w:tbl>
    <w:p>
      <w:r>
        <w:rPr>
          <w:sz w:val="22"/>
        </w:rPr>
      </w:r>
      <w:r>
        <w:rPr>
          <w:b/>
          <w:sz w:val="22"/>
        </w:rPr>
        <w:t>Friday — Mock Exam + Week 1 Close</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9:00–12:00</w:t>
            </w:r>
          </w:p>
        </w:tc>
        <w:tc>
          <w:tcPr>
            <w:tcW w:type="dxa" w:w="4320"/>
          </w:tcPr>
          <w:p>
            <w:r>
              <w:t>Mock exam #2 + targeted review of weak domains. Internal competency assessment administered. Formal CCA certification deferred until Anthropic partnership established</w:t>
            </w:r>
          </w:p>
        </w:tc>
      </w:tr>
      <w:tr>
        <w:tc>
          <w:tcPr>
            <w:tcW w:type="dxa" w:w="4320"/>
          </w:tcPr>
          <w:p>
            <w:r>
              <w:t>12:00–1:00</w:t>
            </w:r>
          </w:p>
        </w:tc>
        <w:tc>
          <w:tcPr>
            <w:tcW w:type="dxa" w:w="4320"/>
          </w:tcPr>
          <w:p>
            <w:r>
              <w:t>Lunch</w:t>
            </w:r>
          </w:p>
        </w:tc>
      </w:tr>
      <w:tr>
        <w:tc>
          <w:tcPr>
            <w:tcW w:type="dxa" w:w="4320"/>
          </w:tcPr>
          <w:p>
            <w:r>
              <w:t>1:00–3:00</w:t>
            </w:r>
          </w:p>
        </w:tc>
        <w:tc>
          <w:tcPr>
            <w:tcW w:type="dxa" w:w="4320"/>
          </w:tcPr>
          <w:p>
            <w:r>
              <w:t>Week 1 retro. Prep for virtual Week 2: build project assignments, team working agreements. Travel home</w:t>
            </w:r>
          </w:p>
        </w:tc>
      </w:tr>
    </w:tbl>
    <w:p>
      <w:r>
        <w:rPr>
          <w:sz w:val="22"/>
        </w:rPr>
        <w:t>#### Week 2: AI-Native Build Methodology (Virtual — Reusable Across All Vendors)</w:t>
      </w:r>
    </w:p>
    <w:p>
      <w:r>
        <w:rPr>
          <w:sz w:val="22"/>
        </w:rPr>
      </w:r>
      <w:r>
        <w:rPr>
          <w:b/>
          <w:sz w:val="22"/>
        </w:rPr>
        <w:t>Monday — AI Product Process + Sprint 1</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11:00–12:00</w:t>
            </w:r>
          </w:p>
        </w:tc>
        <w:tc>
          <w:tcPr>
            <w:tcW w:type="dxa" w:w="4320"/>
          </w:tcPr>
          <w:p>
            <w:r>
              <w:t>Reconvene virtually. AI Product Process overview: from strategy to specs. Define product vision, user stories, success criteria using Claude</w:t>
            </w:r>
          </w:p>
        </w:tc>
      </w:tr>
      <w:tr>
        <w:tc>
          <w:tcPr>
            <w:tcW w:type="dxa" w:w="4320"/>
          </w:tcPr>
          <w:p>
            <w:r>
              <w:t>12:00–1:00</w:t>
            </w:r>
          </w:p>
        </w:tc>
        <w:tc>
          <w:tcPr>
            <w:tcW w:type="dxa" w:w="4320"/>
          </w:tcPr>
          <w:p>
            <w:r>
              <w:t>Lunch</w:t>
            </w:r>
          </w:p>
        </w:tc>
      </w:tr>
      <w:tr>
        <w:tc>
          <w:tcPr>
            <w:tcW w:type="dxa" w:w="4320"/>
          </w:tcPr>
          <w:p>
            <w:r>
              <w:t>1:00–4:00</w:t>
            </w:r>
          </w:p>
        </w:tc>
        <w:tc>
          <w:tcPr>
            <w:tcW w:type="dxa" w:w="4320"/>
          </w:tcPr>
          <w:p>
            <w:r>
              <w:t>Build Sprint 1: architecture + scaffolding. Teams define project structure, set up repos, configure CLAUDE.md and harnesses using Claude Code</w:t>
            </w:r>
          </w:p>
        </w:tc>
      </w:tr>
      <w:tr>
        <w:tc>
          <w:tcPr>
            <w:tcW w:type="dxa" w:w="4320"/>
          </w:tcPr>
          <w:p>
            <w:r>
              <w:t>Evening</w:t>
            </w:r>
          </w:p>
        </w:tc>
        <w:tc>
          <w:tcPr>
            <w:tcW w:type="dxa" w:w="4320"/>
          </w:tcPr>
          <w:p>
            <w:r>
              <w:t>**Virtual team dinner** (optional). Continue building</w:t>
            </w:r>
          </w:p>
        </w:tc>
      </w:tr>
    </w:tbl>
    <w:p>
      <w:r>
        <w:rPr>
          <w:sz w:val="22"/>
        </w:rPr>
      </w:r>
      <w:r>
        <w:rPr>
          <w:b/>
          <w:sz w:val="22"/>
        </w:rPr>
        <w:t>Tuesday — Harness Design + Sprint 2</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what's working, what's blocking</w:t>
            </w:r>
          </w:p>
        </w:tc>
      </w:tr>
      <w:tr>
        <w:tc>
          <w:tcPr>
            <w:tcW w:type="dxa" w:w="4320"/>
          </w:tcPr>
          <w:p>
            <w:r>
              <w:t>9:00–12:00</w:t>
            </w:r>
          </w:p>
        </w:tc>
        <w:tc>
          <w:tcPr>
            <w:tcW w:type="dxa" w:w="4320"/>
          </w:tcPr>
          <w:p>
            <w:r>
              <w:t>Harness Design: CLAUDE.md files, skills, hooks, MCP configs for team collaboration. How to make Claude a reliable team member. Collaboration patterns across personas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2: core features. Apply harness patterns. Each persona contributes from their lens (architect designs, engineer builds, BA writes specs, PM prioritizes, data engineer pipelines, AI engineer tunes)</w:t>
            </w:r>
          </w:p>
        </w:tc>
      </w:tr>
      <w:tr>
        <w:tc>
          <w:tcPr>
            <w:tcW w:type="dxa" w:w="4320"/>
          </w:tcPr>
          <w:p>
            <w:r>
              <w:t>Evening</w:t>
            </w:r>
          </w:p>
        </w:tc>
        <w:tc>
          <w:tcPr>
            <w:tcW w:type="dxa" w:w="4320"/>
          </w:tcPr>
          <w:p>
            <w:r>
              <w:t>Self-directed building</w:t>
            </w:r>
          </w:p>
        </w:tc>
      </w:tr>
    </w:tbl>
    <w:p>
      <w:r>
        <w:rPr>
          <w:sz w:val="22"/>
        </w:rPr>
      </w:r>
      <w:r>
        <w:rPr>
          <w:b/>
          <w:sz w:val="22"/>
        </w:rPr>
        <w:t>Wednesday — Testing &amp; Evaluation + Sprint 3</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testing AI systems — what scares you?</w:t>
            </w:r>
          </w:p>
        </w:tc>
      </w:tr>
      <w:tr>
        <w:tc>
          <w:tcPr>
            <w:tcW w:type="dxa" w:w="4320"/>
          </w:tcPr>
          <w:p>
            <w:r>
              <w:t>9:00–12:00</w:t>
            </w:r>
          </w:p>
        </w:tc>
        <w:tc>
          <w:tcPr>
            <w:tcW w:type="dxa" w:w="4320"/>
          </w:tcPr>
          <w:p>
            <w:r>
              <w:t>Testing, Evaluation &amp; Reliability: eval frameworks, prompt regression testing, quality gates, monitoring, observability for AI systems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3: integration, testing, hardening. Teams apply eval patterns to their builds. Cross-team code reviews</w:t>
            </w:r>
          </w:p>
        </w:tc>
      </w:tr>
      <w:tr>
        <w:tc>
          <w:tcPr>
            <w:tcW w:type="dxa" w:w="4320"/>
          </w:tcPr>
          <w:p>
            <w:r>
              <w:t>Evening</w:t>
            </w:r>
          </w:p>
        </w:tc>
        <w:tc>
          <w:tcPr>
            <w:tcW w:type="dxa" w:w="4320"/>
          </w:tcPr>
          <w:p>
            <w:r>
              <w:t>Self-directed building</w:t>
            </w:r>
          </w:p>
        </w:tc>
      </w:tr>
    </w:tbl>
    <w:p>
      <w:r>
        <w:rPr>
          <w:sz w:val="22"/>
        </w:rPr>
      </w:r>
      <w:r>
        <w:rPr>
          <w:b/>
          <w:sz w:val="22"/>
        </w:rPr>
        <w:t>Thursday — Deployment &amp; Communications + Sprint 4</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how do you tell the story of what you built?</w:t>
            </w:r>
          </w:p>
        </w:tc>
      </w:tr>
      <w:tr>
        <w:tc>
          <w:tcPr>
            <w:tcW w:type="dxa" w:w="4320"/>
          </w:tcPr>
          <w:p>
            <w:r>
              <w:t>9:00–12:00</w:t>
            </w:r>
          </w:p>
        </w:tc>
        <w:tc>
          <w:tcPr>
            <w:tcW w:type="dxa" w:w="4320"/>
          </w:tcPr>
          <w:p>
            <w:r>
              <w:t>Deployment &amp; Communications: packaging for delivery, documentation, stakeholder demos, writing about what you built, internal marketing of AI capabilities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4: final polish, demo prep, write-up. Each team prepares a 15-min presentation</w:t>
            </w:r>
          </w:p>
        </w:tc>
      </w:tr>
      <w:tr>
        <w:tc>
          <w:tcPr>
            <w:tcW w:type="dxa" w:w="4320"/>
          </w:tcPr>
          <w:p>
            <w:r>
              <w:t>Evening</w:t>
            </w:r>
          </w:p>
        </w:tc>
        <w:tc>
          <w:tcPr>
            <w:tcW w:type="dxa" w:w="4320"/>
          </w:tcPr>
          <w:p>
            <w:r>
              <w:t>**Virtual team dinner** (optional). Final demo prep</w:t>
            </w:r>
          </w:p>
        </w:tc>
      </w:tr>
    </w:tbl>
    <w:p>
      <w:r>
        <w:rPr>
          <w:sz w:val="22"/>
        </w:rPr>
      </w:r>
      <w:r>
        <w:rPr>
          <w:b/>
          <w:sz w:val="22"/>
        </w:rPr>
        <w:t>Friday — Demos + Program Close</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9:00–12:00</w:t>
            </w:r>
          </w:p>
        </w:tc>
        <w:tc>
          <w:tcPr>
            <w:tcW w:type="dxa" w:w="4320"/>
          </w:tcPr>
          <w:p>
            <w:r>
              <w:t>Team demos &amp; presentations (all teams present to facilitators + invited leaders). Feedback and scoring</w:t>
            </w:r>
          </w:p>
        </w:tc>
      </w:tr>
      <w:tr>
        <w:tc>
          <w:tcPr>
            <w:tcW w:type="dxa" w:w="4320"/>
          </w:tcPr>
          <w:p>
            <w:r>
              <w:t>12:00–1:00</w:t>
            </w:r>
          </w:p>
        </w:tc>
        <w:tc>
          <w:tcPr>
            <w:tcW w:type="dxa" w:w="4320"/>
          </w:tcPr>
          <w:p>
            <w:r>
              <w:t>Lunch</w:t>
            </w:r>
          </w:p>
        </w:tc>
      </w:tr>
      <w:tr>
        <w:tc>
          <w:tcPr>
            <w:tcW w:type="dxa" w:w="4320"/>
          </w:tcPr>
          <w:p>
            <w:r>
              <w:t>1:00–3:00</w:t>
            </w:r>
          </w:p>
        </w:tc>
        <w:tc>
          <w:tcPr>
            <w:tcW w:type="dxa" w:w="4320"/>
          </w:tcPr>
          <w:p>
            <w:r>
              <w:t>Cohort retro, trainer selection (2-3 identified), cert study plan, India cohort planning input. Program close</w:t>
            </w:r>
          </w:p>
        </w:tc>
      </w:tr>
    </w:tbl>
    <w:p>
      <w:pPr>
        <w:pStyle w:val="Heading3"/>
      </w:pPr>
      <w:r>
        <w:t>Key Objectives</w:t>
      </w:r>
    </w:p>
    <w:p>
      <w:r>
        <w:rPr>
          <w:sz w:val="22"/>
        </w:rPr>
        <w:t xml:space="preserve">1. </w:t>
      </w:r>
      <w:r>
        <w:rPr>
          <w:b/>
          <w:sz w:val="22"/>
        </w:rPr>
        <w:t>Build a certification-ready bench:</w:t>
      </w:r>
      <w:r>
        <w:rPr>
          <w:sz w:val="22"/>
        </w:rPr>
        <w:t xml:space="preserve"> 12 practitioners across 6 roles cover all five CCA exam domains and pass internal competency assessments, ready to certify when GCO and partner network counselors confirm timing that maximizes partner tier eligibility</w:t>
      </w:r>
    </w:p>
    <w:p>
      <w:r>
        <w:rPr>
          <w:sz w:val="22"/>
        </w:rPr>
        <w:t xml:space="preserve">2. </w:t>
      </w:r>
      <w:r>
        <w:rPr>
          <w:b/>
          <w:sz w:val="22"/>
        </w:rPr>
        <w:t>Establish a repeatable process:</w:t>
      </w:r>
      <w:r>
        <w:rPr>
          <w:sz w:val="22"/>
        </w:rPr>
        <w:t xml:space="preserve"> The cohort produces the curriculum, playbooks, and trainer pipeline that enables future cohorts (starting with India) to run without additional program design investment</w:t>
      </w:r>
    </w:p>
    <w:p>
      <w:r>
        <w:rPr>
          <w:sz w:val="22"/>
        </w:rPr>
        <w:t xml:space="preserve">3. </w:t>
      </w:r>
      <w:r>
        <w:rPr>
          <w:b/>
          <w:sz w:val="22"/>
        </w:rPr>
        <w:t>Create internal trainers:</w:t>
      </w:r>
      <w:r>
        <w:rPr>
          <w:sz w:val="22"/>
        </w:rPr>
        <w:t xml:space="preserve"> 2-3 qualified trainers who can scale the program across geographies and to client sites</w:t>
      </w:r>
    </w:p>
    <w:p>
      <w:pPr>
        <w:pStyle w:val="Heading3"/>
      </w:pPr>
      <w:r>
        <w:t>Timeline</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Activities</w:t>
            </w:r>
          </w:p>
        </w:tc>
        <w:tc>
          <w:tcPr>
            <w:tcW w:type="dxa" w:w="2160"/>
          </w:tcPr>
          <w:p>
            <w:r>
              <w:rPr>
                <w:b/>
              </w:rPr>
              <w:t>Milestone</w:t>
            </w:r>
          </w:p>
        </w:tc>
      </w:tr>
      <w:tr>
        <w:tc>
          <w:tcPr>
            <w:tcW w:type="dxa" w:w="2160"/>
          </w:tcPr>
          <w:p>
            <w:r>
              <w:t>Candidate Identification</w:t>
            </w:r>
          </w:p>
        </w:tc>
        <w:tc>
          <w:tcPr>
            <w:tcW w:type="dxa" w:w="2160"/>
          </w:tcPr>
          <w:p>
            <w:r>
              <w:t>Jun 4 – Jun 13</w:t>
            </w:r>
          </w:p>
        </w:tc>
        <w:tc>
          <w:tcPr>
            <w:tcW w:type="dxa" w:w="2160"/>
          </w:tcPr>
          <w:p>
            <w:r>
              <w:t>Identify 12 candidates + alternates, intro emails, confirm interest</w:t>
            </w:r>
          </w:p>
        </w:tc>
        <w:tc>
          <w:tcPr>
            <w:tcW w:type="dxa" w:w="2160"/>
          </w:tcPr>
          <w:p>
            <w:r>
              <w:t>12 candidates confirmed</w:t>
            </w:r>
          </w:p>
        </w:tc>
      </w:tr>
      <w:tr>
        <w:tc>
          <w:tcPr>
            <w:tcW w:type="dxa" w:w="2160"/>
          </w:tcPr>
          <w:p>
            <w:r>
              <w:t>Approval &amp; Logistics</w:t>
            </w:r>
          </w:p>
        </w:tc>
        <w:tc>
          <w:tcPr>
            <w:tcW w:type="dxa" w:w="2160"/>
          </w:tcPr>
          <w:p>
            <w:r>
              <w:t>Jun 13 – Jun 16</w:t>
            </w:r>
          </w:p>
        </w:tc>
        <w:tc>
          <w:tcPr>
            <w:tcW w:type="dxa" w:w="2160"/>
          </w:tcPr>
          <w:p>
            <w:r>
              <w:t>Exec approval, charge codes, API provisioning, pre-work sent, travel booked</w:t>
            </w:r>
          </w:p>
        </w:tc>
        <w:tc>
          <w:tcPr>
            <w:tcW w:type="dxa" w:w="2160"/>
          </w:tcPr>
          <w:p>
            <w:r>
              <w:t>Verbal approval, logistics confirmed</w:t>
            </w:r>
          </w:p>
        </w:tc>
      </w:tr>
      <w:tr>
        <w:tc>
          <w:tcPr>
            <w:tcW w:type="dxa" w:w="2160"/>
          </w:tcPr>
          <w:p>
            <w:r>
              <w:t>Preparation</w:t>
            </w:r>
          </w:p>
        </w:tc>
        <w:tc>
          <w:tcPr>
            <w:tcW w:type="dxa" w:w="2160"/>
          </w:tcPr>
          <w:p>
            <w:r>
              <w:t>Jun 16 – Jun 20</w:t>
            </w:r>
          </w:p>
        </w:tc>
        <w:tc>
          <w:tcPr>
            <w:tcW w:type="dxa" w:w="2160"/>
          </w:tcPr>
          <w:p>
            <w:r>
              <w:t>Roster finalized, catering, curriculum finalized, facilitator dry run</w:t>
            </w:r>
          </w:p>
        </w:tc>
        <w:tc>
          <w:tcPr>
            <w:tcW w:type="dxa" w:w="2160"/>
          </w:tcPr>
          <w:p>
            <w:r>
              <w:t>All logistics confirmed, participants prepped</w:t>
            </w:r>
          </w:p>
        </w:tc>
      </w:tr>
      <w:tr>
        <w:tc>
          <w:tcPr>
            <w:tcW w:type="dxa" w:w="2160"/>
          </w:tcPr>
          <w:p>
            <w:r>
              <w:t>Week 1 (NYC, in-person)</w:t>
            </w:r>
          </w:p>
        </w:tc>
        <w:tc>
          <w:tcPr>
            <w:tcW w:type="dxa" w:w="2160"/>
          </w:tcPr>
          <w:p>
            <w:r>
              <w:t>Jun 22 – Jun 26</w:t>
            </w:r>
          </w:p>
        </w:tc>
        <w:tc>
          <w:tcPr>
            <w:tcW w:type="dxa" w:w="2160"/>
          </w:tcPr>
          <w:p>
            <w:r>
              <w:t>Anthropic technology deep dive, all 5 certification-readiness domains, labs, mock exams, build project kickoff</w:t>
            </w:r>
          </w:p>
        </w:tc>
        <w:tc>
          <w:tcPr>
            <w:tcW w:type="dxa" w:w="2160"/>
          </w:tcPr>
          <w:p>
            <w:r>
              <w:t>5 exam domains covered, teams formed</w:t>
            </w:r>
          </w:p>
        </w:tc>
      </w:tr>
      <w:tr>
        <w:tc>
          <w:tcPr>
            <w:tcW w:type="dxa" w:w="2160"/>
          </w:tcPr>
          <w:p>
            <w:r>
              <w:t>Week 2 (virtual)</w:t>
            </w:r>
          </w:p>
        </w:tc>
        <w:tc>
          <w:tcPr>
            <w:tcW w:type="dxa" w:w="2160"/>
          </w:tcPr>
          <w:p>
            <w:r>
              <w:t>Jun 29 – Jul 3</w:t>
            </w:r>
          </w:p>
        </w:tc>
        <w:tc>
          <w:tcPr>
            <w:tcW w:type="dxa" w:w="2160"/>
          </w:tcPr>
          <w:p>
            <w:r>
              <w:t>AI-Native Build Methodology, 4 build sprints, team demos to leadership</w:t>
            </w:r>
          </w:p>
        </w:tc>
        <w:tc>
          <w:tcPr>
            <w:tcW w:type="dxa" w:w="2160"/>
          </w:tcPr>
          <w:p>
            <w:r>
              <w:t>Cohort complete, 2-3 trainers identified</w:t>
            </w:r>
          </w:p>
        </w:tc>
      </w:tr>
      <w:tr>
        <w:tc>
          <w:tcPr>
            <w:tcW w:type="dxa" w:w="2160"/>
          </w:tcPr>
          <w:p>
            <w:r>
              <w:t>Competency Assessment</w:t>
            </w:r>
          </w:p>
        </w:tc>
        <w:tc>
          <w:tcPr>
            <w:tcW w:type="dxa" w:w="2160"/>
          </w:tcPr>
          <w:p>
            <w:r>
              <w:t>Jul 7</w:t>
            </w:r>
          </w:p>
        </w:tc>
        <w:tc>
          <w:tcPr>
            <w:tcW w:type="dxa" w:w="2160"/>
          </w:tcPr>
          <w:p>
            <w:r>
              <w:t>Internal skills assessment across all 5 CCA domains distributed</w:t>
            </w:r>
          </w:p>
        </w:tc>
        <w:tc>
          <w:tcPr>
            <w:tcW w:type="dxa" w:w="2160"/>
          </w:tcPr>
          <w:p>
            <w:r>
              <w:t>12 certification-ready practitioners</w:t>
            </w:r>
          </w:p>
        </w:tc>
      </w:tr>
      <w:tr>
        <w:tc>
          <w:tcPr>
            <w:tcW w:type="dxa" w:w="2160"/>
          </w:tcPr>
          <w:p>
            <w:r>
              <w:t>Certification Decision</w:t>
            </w:r>
          </w:p>
        </w:tc>
        <w:tc>
          <w:tcPr>
            <w:tcW w:type="dxa" w:w="2160"/>
          </w:tcPr>
          <w:p>
            <w:r>
              <w:t>TBD</w:t>
            </w:r>
          </w:p>
        </w:tc>
        <w:tc>
          <w:tcPr>
            <w:tcW w:type="dxa" w:w="2160"/>
          </w:tcPr>
          <w:p>
            <w:r>
              <w:t>Coordinate with GCO and partner network counselors on CCA exam timing to ensure certifications count toward Anthropic partner tier eligibility</w:t>
            </w:r>
          </w:p>
        </w:tc>
        <w:tc>
          <w:tcPr>
            <w:tcW w:type="dxa" w:w="2160"/>
          </w:tcPr>
          <w:p>
            <w:r>
              <w:t>Certification pathway confirmed</w:t>
            </w:r>
          </w:p>
        </w:tc>
      </w:tr>
      <w:tr>
        <w:tc>
          <w:tcPr>
            <w:tcW w:type="dxa" w:w="2160"/>
          </w:tcPr>
          <w:p>
            <w:r>
              <w:t>Retrospective &amp; India decision</w:t>
            </w:r>
          </w:p>
        </w:tc>
        <w:tc>
          <w:tcPr>
            <w:tcW w:type="dxa" w:w="2160"/>
          </w:tcPr>
          <w:p>
            <w:r>
              <w:t>Jul 21</w:t>
            </w:r>
          </w:p>
        </w:tc>
        <w:tc>
          <w:tcPr>
            <w:tcW w:type="dxa" w:w="2160"/>
          </w:tcPr>
          <w:p>
            <w:r>
              <w:t>Compile results, cohort retro, decide India cohort timing</w:t>
            </w:r>
          </w:p>
        </w:tc>
        <w:tc>
          <w:tcPr>
            <w:tcW w:type="dxa" w:w="2160"/>
          </w:tcPr>
          <w:p>
            <w:r>
              <w:t>Go/no-go on India expansion</w:t>
            </w:r>
          </w:p>
        </w:tc>
      </w:tr>
    </w:tbl>
    <w:p>
      <w:pPr>
        <w:pStyle w:val="Heading2"/>
      </w:pPr>
      <w:r>
        <w:t>Budget</w:t>
      </w:r>
    </w:p>
    <w:p>
      <w:pPr>
        <w:pStyle w:val="Heading3"/>
      </w:pPr>
      <w:r>
        <w:t>Cost Summary</w:t>
      </w:r>
    </w:p>
    <w:p>
      <w:r>
        <w:rPr>
          <w:sz w:val="22"/>
        </w:rPr>
      </w:r>
      <w:r>
        <w:rPr>
          <w:b/>
          <w:sz w:val="22"/>
        </w:rPr>
        <w:t>Total Investment: $290,525</w:t>
      </w:r>
      <w:r>
        <w:rPr>
          <w:sz w:val="22"/>
        </w:rPr>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People's Time</w:t>
            </w:r>
          </w:p>
        </w:tc>
        <w:tc>
          <w:tcPr>
            <w:tcW w:type="dxa" w:w="2160"/>
          </w:tcPr>
          <w:p>
            <w:r>
              <w:rPr>
                <w:b/>
              </w:rPr>
              <w:t>Real Expenses</w:t>
            </w:r>
          </w:p>
        </w:tc>
        <w:tc>
          <w:tcPr>
            <w:tcW w:type="dxa" w:w="2160"/>
          </w:tcPr>
          <w:p>
            <w:r>
              <w:rPr>
                <w:b/>
              </w:rPr>
              <w:t>Total</w:t>
            </w:r>
          </w:p>
        </w:tc>
      </w:tr>
      <w:tr>
        <w:tc>
          <w:tcPr>
            <w:tcW w:type="dxa" w:w="2160"/>
          </w:tcPr>
          <w:p>
            <w:r>
              <w:t>**Facilitators**</w:t>
            </w:r>
          </w:p>
        </w:tc>
        <w:tc>
          <w:tcPr>
            <w:tcW w:type="dxa" w:w="2160"/>
          </w:tcPr>
          <w:p>
            <w:r>
              <w:t>$60,800</w:t>
            </w:r>
          </w:p>
        </w:tc>
        <w:tc>
          <w:tcPr>
            <w:tcW w:type="dxa" w:w="2160"/>
          </w:tcPr>
          <w:p>
            <w:r>
              <w:t>$9,925</w:t>
            </w:r>
          </w:p>
        </w:tc>
        <w:tc>
          <w:tcPr>
            <w:tcW w:type="dxa" w:w="2160"/>
          </w:tcPr>
          <w:p>
            <w:r>
              <w:t>$70,725</w:t>
            </w:r>
          </w:p>
        </w:tc>
      </w:tr>
      <w:tr>
        <w:tc>
          <w:tcPr>
            <w:tcW w:type="dxa" w:w="2160"/>
          </w:tcPr>
          <w:p>
            <w:r>
              <w:t>**Students**</w:t>
            </w:r>
          </w:p>
        </w:tc>
        <w:tc>
          <w:tcPr>
            <w:tcW w:type="dxa" w:w="2160"/>
          </w:tcPr>
          <w:p>
            <w:r>
              <w:t>$192,000</w:t>
            </w:r>
          </w:p>
        </w:tc>
        <w:tc>
          <w:tcPr>
            <w:tcW w:type="dxa" w:w="2160"/>
          </w:tcPr>
          <w:p>
            <w:r>
              <w:t>$27,800</w:t>
            </w:r>
          </w:p>
        </w:tc>
        <w:tc>
          <w:tcPr>
            <w:tcW w:type="dxa" w:w="2160"/>
          </w:tcPr>
          <w:p>
            <w:r>
              <w:t>$219,800</w:t>
            </w:r>
          </w:p>
        </w:tc>
      </w:tr>
      <w:tr>
        <w:tc>
          <w:tcPr>
            <w:tcW w:type="dxa" w:w="2160"/>
          </w:tcPr>
          <w:p>
            <w:r>
              <w:t>**Total**</w:t>
            </w:r>
          </w:p>
        </w:tc>
        <w:tc>
          <w:tcPr>
            <w:tcW w:type="dxa" w:w="2160"/>
          </w:tcPr>
          <w:p>
            <w:r>
              <w:t>**$252,800** (87%)</w:t>
            </w:r>
          </w:p>
        </w:tc>
        <w:tc>
          <w:tcPr>
            <w:tcW w:type="dxa" w:w="2160"/>
          </w:tcPr>
          <w:p>
            <w:r>
              <w:t>**$37,725** (13%)</w:t>
            </w:r>
          </w:p>
        </w:tc>
        <w:tc>
          <w:tcPr>
            <w:tcW w:type="dxa" w:w="2160"/>
          </w:tcPr>
          <w:p>
            <w:r>
              <w:t>**$290,525**</w:t>
            </w:r>
          </w:p>
        </w:tc>
      </w:tr>
    </w:tbl>
    <w:p>
      <w:pPr>
        <w:pStyle w:val="Heading3"/>
      </w:pPr>
      <w:r>
        <w:t>People's Time — $252,800</w:t>
      </w:r>
    </w:p>
    <w:p>
      <w:r>
        <w:rPr>
          <w:sz w:val="22"/>
        </w:rPr>
        <w:t>This is not new spend. It is the billing value of time redirected from client work to internal capability building.</w:t>
      </w:r>
    </w:p>
    <w:p>
      <w:r>
        <w:rPr>
          <w:sz w:val="22"/>
        </w:rPr>
      </w:r>
      <w:r>
        <w:rPr>
          <w:b/>
          <w:sz w:val="22"/>
        </w:rPr>
        <w:t>Facilitators — $60,800</w:t>
      </w:r>
      <w:r>
        <w:rPr>
          <w:sz w:val="22"/>
        </w:rPr>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Commitment</w:t>
            </w:r>
          </w:p>
        </w:tc>
        <w:tc>
          <w:tcPr>
            <w:tcW w:type="dxa" w:w="2160"/>
          </w:tcPr>
          <w:p>
            <w:r>
              <w:rPr>
                <w:b/>
              </w:rPr>
              <w:t>Rate</w:t>
            </w:r>
          </w:p>
        </w:tc>
        <w:tc>
          <w:tcPr>
            <w:tcW w:type="dxa" w:w="2160"/>
          </w:tcPr>
          <w:p>
            <w:r>
              <w:rPr>
                <w:b/>
              </w:rPr>
              <w:t>Amount</w:t>
            </w:r>
          </w:p>
        </w:tc>
      </w:tr>
      <w:tr>
        <w:tc>
          <w:tcPr>
            <w:tcW w:type="dxa" w:w="2160"/>
          </w:tcPr>
          <w:p>
            <w:r>
              <w:t>PPMD</w:t>
            </w:r>
          </w:p>
        </w:tc>
        <w:tc>
          <w:tcPr>
            <w:tcW w:type="dxa" w:w="2160"/>
          </w:tcPr>
          <w:p>
            <w:r>
              <w:t>8 hrs/week x 2 weeks (oversight)</w:t>
            </w:r>
          </w:p>
        </w:tc>
        <w:tc>
          <w:tcPr>
            <w:tcW w:type="dxa" w:w="2160"/>
          </w:tcPr>
          <w:p>
            <w:r>
              <w:t>$800/hr</w:t>
            </w:r>
          </w:p>
        </w:tc>
        <w:tc>
          <w:tcPr>
            <w:tcW w:type="dxa" w:w="2160"/>
          </w:tcPr>
          <w:p>
            <w:r>
              <w:t>$12,800</w:t>
            </w:r>
          </w:p>
        </w:tc>
      </w:tr>
      <w:tr>
        <w:tc>
          <w:tcPr>
            <w:tcW w:type="dxa" w:w="2160"/>
          </w:tcPr>
          <w:p>
            <w:r>
              <w:t>Sr. Manager</w:t>
            </w:r>
          </w:p>
        </w:tc>
        <w:tc>
          <w:tcPr>
            <w:tcW w:type="dxa" w:w="2160"/>
          </w:tcPr>
          <w:p>
            <w:r>
              <w:t>Full-time, 2 weeks</w:t>
            </w:r>
          </w:p>
        </w:tc>
        <w:tc>
          <w:tcPr>
            <w:tcW w:type="dxa" w:w="2160"/>
          </w:tcPr>
          <w:p>
            <w:r>
              <w:t>$400/hr</w:t>
            </w:r>
          </w:p>
        </w:tc>
        <w:tc>
          <w:tcPr>
            <w:tcW w:type="dxa" w:w="2160"/>
          </w:tcPr>
          <w:p>
            <w:r>
              <w:t>$32,000</w:t>
            </w:r>
          </w:p>
        </w:tc>
      </w:tr>
      <w:tr>
        <w:tc>
          <w:tcPr>
            <w:tcW w:type="dxa" w:w="2160"/>
          </w:tcPr>
          <w:p>
            <w:r>
              <w:t>Manager</w:t>
            </w:r>
          </w:p>
        </w:tc>
        <w:tc>
          <w:tcPr>
            <w:tcW w:type="dxa" w:w="2160"/>
          </w:tcPr>
          <w:p>
            <w:r>
              <w:t>Full-time, 2 weeks</w:t>
            </w:r>
          </w:p>
        </w:tc>
        <w:tc>
          <w:tcPr>
            <w:tcW w:type="dxa" w:w="2160"/>
          </w:tcPr>
          <w:p>
            <w:r>
              <w:t>$200/hr</w:t>
            </w:r>
          </w:p>
        </w:tc>
        <w:tc>
          <w:tcPr>
            <w:tcW w:type="dxa" w:w="2160"/>
          </w:tcPr>
          <w:p>
            <w:r>
              <w:t>$16,000</w:t>
            </w:r>
          </w:p>
        </w:tc>
      </w:tr>
    </w:tbl>
    <w:p>
      <w:r>
        <w:rPr>
          <w:sz w:val="22"/>
        </w:rPr>
      </w:r>
      <w:r>
        <w:rPr>
          <w:b/>
          <w:sz w:val="22"/>
        </w:rPr>
        <w:t>Students — $192,000</w:t>
      </w:r>
      <w:r>
        <w:rPr>
          <w:sz w:val="22"/>
        </w:rPr>
      </w:r>
    </w:p>
    <w:p>
      <w:r>
        <w:rPr>
          <w:sz w:val="22"/>
        </w:rPr>
        <w:t>| | |</w:t>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12 practitioners x 2 weeks x 40 hrs/week x $200/hr</w:t>
            </w:r>
          </w:p>
        </w:tc>
        <w:tc>
          <w:tcPr>
            <w:tcW w:type="dxa" w:w="4320"/>
          </w:tcPr>
          <w:p>
            <w:r>
              <w:rPr>
                <w:b/>
              </w:rPr>
              <w:t>$192,000</w:t>
            </w:r>
          </w:p>
        </w:tc>
      </w:tr>
    </w:tbl>
    <w:p>
      <w:pPr>
        <w:pStyle w:val="Heading3"/>
      </w:pPr>
      <w:r>
        <w:t>Real Expenses — $37,725</w:t>
      </w:r>
    </w:p>
    <w:p>
      <w:r>
        <w:rPr>
          <w:sz w:val="22"/>
        </w:rPr>
        <w:t>This is actual out-of-pocket spend requiring budget approval.</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Facilitators</w:t>
            </w:r>
          </w:p>
        </w:tc>
        <w:tc>
          <w:tcPr>
            <w:tcW w:type="dxa" w:w="2160"/>
          </w:tcPr>
          <w:p>
            <w:r>
              <w:rPr>
                <w:b/>
              </w:rPr>
              <w:t>Students</w:t>
            </w:r>
          </w:p>
        </w:tc>
        <w:tc>
          <w:tcPr>
            <w:tcW w:type="dxa" w:w="2160"/>
          </w:tcPr>
          <w:p>
            <w:r>
              <w:rPr>
                <w:b/>
              </w:rPr>
              <w:t>Total</w:t>
            </w:r>
          </w:p>
        </w:tc>
      </w:tr>
      <w:tr>
        <w:tc>
          <w:tcPr>
            <w:tcW w:type="dxa" w:w="2160"/>
          </w:tcPr>
          <w:p>
            <w:r>
              <w:t>Travel — flights (domestic roundtrip)</w:t>
            </w:r>
          </w:p>
        </w:tc>
        <w:tc>
          <w:tcPr>
            <w:tcW w:type="dxa" w:w="2160"/>
          </w:tcPr>
          <w:p>
            <w:r>
              <w:t>$1,500 (3 x $500)</w:t>
            </w:r>
          </w:p>
        </w:tc>
        <w:tc>
          <w:tcPr>
            <w:tcW w:type="dxa" w:w="2160"/>
          </w:tcPr>
          <w:p>
            <w:r>
              <w:t>$3,000 (6 x $500)</w:t>
            </w:r>
          </w:p>
        </w:tc>
        <w:tc>
          <w:tcPr>
            <w:tcW w:type="dxa" w:w="2160"/>
          </w:tcPr>
          <w:p>
            <w:r>
              <w:t>**$4,500**</w:t>
            </w:r>
          </w:p>
        </w:tc>
      </w:tr>
      <w:tr>
        <w:tc>
          <w:tcPr>
            <w:tcW w:type="dxa" w:w="2160"/>
          </w:tcPr>
          <w:p>
            <w:r>
              <w:t>Travel — hotel (5 nights x $300)</w:t>
            </w:r>
          </w:p>
        </w:tc>
        <w:tc>
          <w:tcPr>
            <w:tcW w:type="dxa" w:w="2160"/>
          </w:tcPr>
          <w:p>
            <w:r>
              <w:t>$4,500 (3 people)</w:t>
            </w:r>
          </w:p>
        </w:tc>
        <w:tc>
          <w:tcPr>
            <w:tcW w:type="dxa" w:w="2160"/>
          </w:tcPr>
          <w:p>
            <w:r>
              <w:t>$9,000 (6 people)</w:t>
            </w:r>
          </w:p>
        </w:tc>
        <w:tc>
          <w:tcPr>
            <w:tcW w:type="dxa" w:w="2160"/>
          </w:tcPr>
          <w:p>
            <w:r>
              <w:t>**$13,500**</w:t>
            </w:r>
          </w:p>
        </w:tc>
      </w:tr>
      <w:tr>
        <w:tc>
          <w:tcPr>
            <w:tcW w:type="dxa" w:w="2160"/>
          </w:tcPr>
          <w:p>
            <w:r>
              <w:t>API credits (labs + build projects)</w:t>
            </w:r>
          </w:p>
        </w:tc>
        <w:tc>
          <w:tcPr>
            <w:tcW w:type="dxa" w:w="2160"/>
          </w:tcPr>
          <w:p>
            <w:r>
              <w:t>$2,000</w:t>
            </w:r>
          </w:p>
        </w:tc>
        <w:tc>
          <w:tcPr>
            <w:tcW w:type="dxa" w:w="2160"/>
          </w:tcPr>
          <w:p>
            <w:r>
              <w:t>$14,000</w:t>
            </w:r>
          </w:p>
        </w:tc>
        <w:tc>
          <w:tcPr>
            <w:tcW w:type="dxa" w:w="2160"/>
          </w:tcPr>
          <w:p>
            <w:r>
              <w:t>**$16,000**</w:t>
            </w:r>
          </w:p>
        </w:tc>
      </w:tr>
      <w:tr>
        <w:tc>
          <w:tcPr>
            <w:tcW w:type="dxa" w:w="2160"/>
          </w:tcPr>
          <w:p>
            <w:r>
              <w:t>Meals (NYC, 5 days in-person)</w:t>
            </w:r>
          </w:p>
        </w:tc>
        <w:tc>
          <w:tcPr>
            <w:tcW w:type="dxa" w:w="2160"/>
          </w:tcPr>
          <w:p>
            <w:r>
              <w:t>$1,425</w:t>
            </w:r>
          </w:p>
        </w:tc>
        <w:tc>
          <w:tcPr>
            <w:tcW w:type="dxa" w:w="2160"/>
          </w:tcPr>
          <w:p>
            <w:r>
              <w:t>$5,700</w:t>
            </w:r>
          </w:p>
        </w:tc>
        <w:tc>
          <w:tcPr>
            <w:tcW w:type="dxa" w:w="2160"/>
          </w:tcPr>
          <w:p>
            <w:r>
              <w:t>**$7,125**</w:t>
            </w:r>
          </w:p>
        </w:tc>
      </w:tr>
      <w:tr>
        <w:tc>
          <w:tcPr>
            <w:tcW w:type="dxa" w:w="2160"/>
          </w:tcPr>
          <w:p>
            <w:r>
              <w:t>Exam fees (reimbursed upon passing)</w:t>
            </w:r>
          </w:p>
        </w:tc>
        <w:tc>
          <w:tcPr>
            <w:tcW w:type="dxa" w:w="2160"/>
          </w:tcPr>
          <w:p>
            <w:r>
              <w:t>—</w:t>
            </w:r>
          </w:p>
        </w:tc>
        <w:tc>
          <w:tcPr>
            <w:tcW w:type="dxa" w:w="2160"/>
          </w:tcPr>
          <w:p>
            <w:r>
              <w:t>$1,200 (12 x $100)</w:t>
            </w:r>
          </w:p>
        </w:tc>
        <w:tc>
          <w:tcPr>
            <w:tcW w:type="dxa" w:w="2160"/>
          </w:tcPr>
          <w:p>
            <w:r>
              <w:t>**$1,200**</w:t>
            </w:r>
          </w:p>
        </w:tc>
      </w:tr>
      <w:tr>
        <w:tc>
          <w:tcPr>
            <w:tcW w:type="dxa" w:w="2160"/>
          </w:tcPr>
          <w:p>
            <w:r>
              <w:t>Swag</w:t>
            </w:r>
          </w:p>
        </w:tc>
        <w:tc>
          <w:tcPr>
            <w:tcW w:type="dxa" w:w="2160"/>
          </w:tcPr>
          <w:p>
            <w:r>
              <w:t>$500</w:t>
            </w:r>
          </w:p>
        </w:tc>
        <w:tc>
          <w:tcPr>
            <w:tcW w:type="dxa" w:w="2160"/>
          </w:tcPr>
          <w:p>
            <w:r>
              <w:t>$2,000</w:t>
            </w:r>
          </w:p>
        </w:tc>
        <w:tc>
          <w:tcPr>
            <w:tcW w:type="dxa" w:w="2160"/>
          </w:tcPr>
          <w:p>
            <w:r>
              <w:t>**$2,500**</w:t>
            </w:r>
          </w:p>
        </w:tc>
      </w:tr>
      <w:tr>
        <w:tc>
          <w:tcPr>
            <w:tcW w:type="dxa" w:w="2160"/>
          </w:tcPr>
          <w:p>
            <w:r>
              <w:t>**Subtotal**</w:t>
            </w:r>
          </w:p>
        </w:tc>
        <w:tc>
          <w:tcPr>
            <w:tcW w:type="dxa" w:w="2160"/>
          </w:tcPr>
          <w:p>
            <w:r>
              <w:t>**$9,925**</w:t>
            </w:r>
          </w:p>
        </w:tc>
        <w:tc>
          <w:tcPr>
            <w:tcW w:type="dxa" w:w="2160"/>
          </w:tcPr>
          <w:p>
            <w:r>
              <w:t>**$34,900**</w:t>
            </w:r>
          </w:p>
        </w:tc>
        <w:tc>
          <w:tcPr>
            <w:tcW w:type="dxa" w:w="2160"/>
          </w:tcPr>
          <w:p>
            <w:r>
              <w:t>**$37,725***</w:t>
            </w:r>
          </w:p>
        </w:tc>
      </w:tr>
    </w:tbl>
    <w:p>
      <w:r>
        <w:rPr>
          <w:sz w:val="22"/>
        </w:rPr>
      </w:r>
      <w:r>
        <w:rPr>
          <w:i/>
          <w:sz w:val="22"/>
        </w:rPr>
        <w:t>Note: 6 of 12 students travel; 6 are local to NYC (no travel costs). All 3 facilitators travel.</w:t>
      </w:r>
      <w:r>
        <w:rPr>
          <w:sz w:val="22"/>
        </w:rPr>
      </w:r>
    </w:p>
    <w:p>
      <w:pPr>
        <w:pStyle w:val="Heading3"/>
      </w:pPr>
      <w:r>
        <w:t>Future Phase: India Cohort (estimated)</w:t>
      </w:r>
    </w:p>
    <w:p>
      <w:r>
        <w:rPr>
          <w:sz w:val="22"/>
        </w:rPr>
        <w:t xml:space="preserve">Pending successful completion of the US cohort, an India cohort (Bangalore, 2 weeks, </w:t>
      </w:r>
      <w:r>
        <w:rPr>
          <w:b/>
          <w:sz w:val="22"/>
        </w:rPr>
        <w:t>24 students</w:t>
      </w:r>
      <w:r>
        <w:rPr>
          <w:sz w:val="22"/>
        </w:rPr>
        <w:t xml:space="preserve">) is estimated at approximately </w:t>
      </w:r>
      <w:r>
        <w:rPr>
          <w:b/>
          <w:sz w:val="22"/>
        </w:rPr>
        <w:t>$180,000</w:t>
      </w:r>
      <w:r>
        <w:rPr>
          <w:sz w:val="22"/>
        </w:rPr>
        <w:t xml:space="preserve">, including US co-facilitator travel (business class). The larger cohort size drives the per-student cost down significantly ($7,500/student vs $24,200/student for the US cohort). This would bring the combined program to approximately </w:t>
      </w:r>
      <w:r>
        <w:rPr>
          <w:b/>
          <w:sz w:val="22"/>
        </w:rPr>
        <w:t>$470,000</w:t>
      </w:r>
      <w:r>
        <w:rPr>
          <w:sz w:val="22"/>
        </w:rPr>
        <w:t xml:space="preserve"> and produce 36 certification-ready practitioners across 2 geographies.</w:t>
      </w:r>
    </w:p>
    <w:p>
      <w:pPr>
        <w:pStyle w:val="Heading2"/>
      </w:pPr>
      <w:r>
        <w:t>Expected Outcomes</w:t>
      </w:r>
    </w:p>
    <w:p>
      <w:pPr>
        <w:pStyle w:val="Heading3"/>
      </w:pPr>
      <w:r>
        <w:t>Quantitative</w:t>
      </w:r>
    </w:p>
    <w:p>
      <w:pPr>
        <w:pStyle w:val="ListBullet"/>
      </w:pPr>
      <w:r>
        <w:rPr>
          <w:sz w:val="22"/>
        </w:rPr>
      </w:r>
      <w:r>
        <w:rPr>
          <w:b/>
          <w:sz w:val="22"/>
        </w:rPr>
        <w:t>12 certification-ready Claude practitioners</w:t>
      </w:r>
      <w:r>
        <w:rPr>
          <w:sz w:val="22"/>
        </w:rPr>
        <w:t xml:space="preserve"> across 6 roles by June 27, 2026</w:t>
      </w:r>
    </w:p>
    <w:p>
      <w:pPr>
        <w:pStyle w:val="ListBullet"/>
      </w:pPr>
      <w:r>
        <w:rPr>
          <w:sz w:val="22"/>
        </w:rPr>
      </w:r>
      <w:r>
        <w:rPr>
          <w:b/>
          <w:sz w:val="22"/>
        </w:rPr>
        <w:t>2-3 qualified internal trainers</w:t>
      </w:r>
      <w:r>
        <w:rPr>
          <w:sz w:val="22"/>
        </w:rPr>
        <w:t xml:space="preserve"> capable of running future cohorts (starting with India) without additional program design investment</w:t>
      </w:r>
    </w:p>
    <w:p>
      <w:pPr>
        <w:pStyle w:val="ListBullet"/>
      </w:pPr>
      <w:r>
        <w:rPr>
          <w:sz w:val="22"/>
        </w:rPr>
      </w:r>
      <w:r>
        <w:rPr>
          <w:b/>
          <w:sz w:val="22"/>
        </w:rPr>
        <w:t>1 complete build project</w:t>
      </w:r>
      <w:r>
        <w:rPr>
          <w:sz w:val="22"/>
        </w:rPr>
        <w:t xml:space="preserve"> demonstrating end-to-end AI product delivery using the team's AI product process</w:t>
      </w:r>
    </w:p>
    <w:p>
      <w:pPr>
        <w:pStyle w:val="ListBullet"/>
      </w:pPr>
      <w:r>
        <w:rPr>
          <w:sz w:val="22"/>
        </w:rPr>
      </w:r>
      <w:r>
        <w:rPr>
          <w:b/>
          <w:sz w:val="22"/>
        </w:rPr>
        <w:t>1 battle-tested curriculum</w:t>
      </w:r>
      <w:r>
        <w:rPr>
          <w:sz w:val="22"/>
        </w:rPr>
        <w:t xml:space="preserve"> with playbooks, session plans, and facilitator guides ready for reuse</w:t>
      </w:r>
    </w:p>
    <w:p>
      <w:pPr>
        <w:pStyle w:val="Heading3"/>
      </w:pPr>
      <w:r>
        <w:t>Qualitative</w:t>
      </w:r>
    </w:p>
    <w:p>
      <w:pPr>
        <w:pStyle w:val="ListBullet"/>
      </w:pPr>
      <w:r>
        <w:rPr>
          <w:sz w:val="22"/>
        </w:rPr>
      </w:r>
      <w:r>
        <w:rPr>
          <w:b/>
          <w:sz w:val="22"/>
        </w:rPr>
        <w:t>Client credibility:</w:t>
      </w:r>
      <w:r>
        <w:rPr>
          <w:sz w:val="22"/>
        </w:rPr>
        <w:t xml:space="preserve"> When a client asks "Have your people actually built with Claude?", the answer is yes — with internal competency assessments and project artifacts to show, and certification-readiness that converts to formal credentials once GCO and partner network counselors confirm timing for partner tier eligibility</w:t>
      </w:r>
    </w:p>
    <w:p>
      <w:pPr>
        <w:pStyle w:val="ListBullet"/>
      </w:pPr>
      <w:r>
        <w:rPr>
          <w:sz w:val="22"/>
        </w:rPr>
      </w:r>
      <w:r>
        <w:rPr>
          <w:b/>
          <w:sz w:val="22"/>
        </w:rPr>
        <w:t>Delivery velocity:</w:t>
      </w:r>
      <w:r>
        <w:rPr>
          <w:sz w:val="22"/>
        </w:rPr>
        <w:t xml:space="preserve"> Practitioners who have completed the immersive program can onboard to client Anthropic engagements in days rather than weeks, because they have already navigated the full product surface and built a real system</w:t>
      </w:r>
    </w:p>
    <w:p>
      <w:pPr>
        <w:pStyle w:val="Heading2"/>
      </w:pPr>
      <w:r>
        <w:t>Risk Assessment</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Participants cannot be freed from client work for 2 weeks (Jun 22 – Jul 3)</w:t>
            </w:r>
          </w:p>
        </w:tc>
        <w:tc>
          <w:tcPr>
            <w:tcW w:type="dxa" w:w="2160"/>
          </w:tcPr>
          <w:p>
            <w:r>
              <w:t>Medium</w:t>
            </w:r>
          </w:p>
        </w:tc>
        <w:tc>
          <w:tcPr>
            <w:tcW w:type="dxa" w:w="2160"/>
          </w:tcPr>
          <w:p>
            <w:r>
              <w:t>High</w:t>
            </w:r>
          </w:p>
        </w:tc>
        <w:tc>
          <w:tcPr>
            <w:tcW w:type="dxa" w:w="2160"/>
          </w:tcPr>
          <w:p>
            <w:r>
              <w:t>Secure executive sponsor commitment by Jun 13; target practitioners between engagements or on bench; candidates confirm by Jun 16</w:t>
            </w:r>
          </w:p>
        </w:tc>
      </w:tr>
      <w:tr>
        <w:tc>
          <w:tcPr>
            <w:tcW w:type="dxa" w:w="2160"/>
          </w:tcPr>
          <w:p>
            <w:r>
              <w:t>Internal competency assessment scores below target</w:t>
            </w:r>
          </w:p>
        </w:tc>
        <w:tc>
          <w:tcPr>
            <w:tcW w:type="dxa" w:w="2160"/>
          </w:tcPr>
          <w:p>
            <w:r>
              <w:t>Low</w:t>
            </w:r>
          </w:p>
        </w:tc>
        <w:tc>
          <w:tcPr>
            <w:tcW w:type="dxa" w:w="2160"/>
          </w:tcPr>
          <w:p>
            <w:r>
              <w:t>Medium</w:t>
            </w:r>
          </w:p>
        </w:tc>
        <w:tc>
          <w:tcPr>
            <w:tcW w:type="dxa" w:w="2160"/>
          </w:tcPr>
          <w:p>
            <w:r>
              <w:t>Curriculum structured around all 5 CCA exam domains; 80% readiness target provides margin; facilitators provide targeted coaching on weak areas</w:t>
            </w:r>
          </w:p>
        </w:tc>
      </w:tr>
      <w:tr>
        <w:tc>
          <w:tcPr>
            <w:tcW w:type="dxa" w:w="2160"/>
          </w:tcPr>
          <w:p>
            <w:r>
              <w:t>Virtual Week 2 has lower engagement than in-person Week 1</w:t>
            </w:r>
          </w:p>
        </w:tc>
        <w:tc>
          <w:tcPr>
            <w:tcW w:type="dxa" w:w="2160"/>
          </w:tcPr>
          <w:p>
            <w:r>
              <w:t>Medium</w:t>
            </w:r>
          </w:p>
        </w:tc>
        <w:tc>
          <w:tcPr>
            <w:tcW w:type="dxa" w:w="2160"/>
          </w:tcPr>
          <w:p>
            <w:r>
              <w:t>Medium</w:t>
            </w:r>
          </w:p>
        </w:tc>
        <w:tc>
          <w:tcPr>
            <w:tcW w:type="dxa" w:w="2160"/>
          </w:tcPr>
          <w:p>
            <w:r>
              <w:t>Build project accountability keeps teams engaged; daily standups and structured deliverables; facilitators actively monitor participation</w:t>
            </w:r>
          </w:p>
        </w:tc>
      </w:tr>
      <w:tr>
        <w:tc>
          <w:tcPr>
            <w:tcW w:type="dxa" w:w="2160"/>
          </w:tcPr>
          <w:p>
            <w:r>
              <w:t>Anthropic releases major platform changes during program</w:t>
            </w:r>
          </w:p>
        </w:tc>
        <w:tc>
          <w:tcPr>
            <w:tcW w:type="dxa" w:w="2160"/>
          </w:tcPr>
          <w:p>
            <w:r>
              <w:t>Low</w:t>
            </w:r>
          </w:p>
        </w:tc>
        <w:tc>
          <w:tcPr>
            <w:tcW w:type="dxa" w:w="2160"/>
          </w:tcPr>
          <w:p>
            <w:r>
              <w:t>Medium</w:t>
            </w:r>
          </w:p>
        </w:tc>
        <w:tc>
          <w:tcPr>
            <w:tcW w:type="dxa" w:w="2160"/>
          </w:tcPr>
          <w:p>
            <w:r>
              <w:t>Curriculum includes "latest developments" module; facilitators monitor announcements; modular design allows swapping individual sessions</w:t>
            </w:r>
          </w:p>
        </w:tc>
      </w:tr>
    </w:tbl>
    <w:p>
      <w:pPr>
        <w:pStyle w:val="Heading2"/>
      </w:pPr>
      <w:r>
        <w:t>Competitive Positioning</w:t>
      </w:r>
    </w:p>
    <w:p>
      <w:r>
        <w:rPr>
          <w:sz w:val="22"/>
        </w:rPr>
        <w:t>This memo does not advocate for Anthropic over other AI platforms. Our firm maintains technology-agnostic advisory relationships with clients.</w:t>
      </w:r>
    </w:p>
    <w:p>
      <w:r>
        <w:rPr>
          <w:sz w:val="22"/>
        </w:rPr>
        <w:t>However, the market is moving. Clients who select Anthropic — and an increasing number are, particularly in regulated industries — need implementation partners with demonstrated expertise. Our competitors are investing:</w:t>
      </w:r>
    </w:p>
    <w:p>
      <w:pPr>
        <w:pStyle w:val="ListBullet"/>
      </w:pPr>
      <w:r>
        <w:rPr>
          <w:sz w:val="22"/>
        </w:rPr>
      </w:r>
      <w:r>
        <w:rPr>
          <w:b/>
          <w:sz w:val="22"/>
        </w:rPr>
        <w:t>Boutique AI firms</w:t>
      </w:r>
      <w:r>
        <w:rPr>
          <w:sz w:val="22"/>
        </w:rPr>
        <w:t xml:space="preserve"> are building entire practices around Claude, with teams of deeply experienced architects</w:t>
      </w:r>
    </w:p>
    <w:p>
      <w:pPr>
        <w:pStyle w:val="ListBullet"/>
      </w:pPr>
      <w:r>
        <w:rPr>
          <w:sz w:val="22"/>
        </w:rPr>
      </w:r>
      <w:r>
        <w:rPr>
          <w:b/>
          <w:sz w:val="22"/>
        </w:rPr>
        <w:t>Large consultancies</w:t>
      </w:r>
      <w:r>
        <w:rPr>
          <w:sz w:val="22"/>
        </w:rPr>
        <w:t xml:space="preserve"> are announcing Anthropic partnerships and standing up dedicated Centers of Excellence</w:t>
      </w:r>
    </w:p>
    <w:p>
      <w:pPr>
        <w:pStyle w:val="ListBullet"/>
      </w:pPr>
      <w:r>
        <w:rPr>
          <w:sz w:val="22"/>
        </w:rPr>
      </w:r>
      <w:r>
        <w:rPr>
          <w:b/>
          <w:sz w:val="22"/>
        </w:rPr>
        <w:t>Anthropic's own professional services</w:t>
      </w:r>
      <w:r>
        <w:rPr>
          <w:sz w:val="22"/>
        </w:rPr>
        <w:t xml:space="preserve"> team is growing, and will increasingly compete with us for implementation work</w:t>
      </w:r>
    </w:p>
    <w:p>
      <w:r>
        <w:rPr>
          <w:sz w:val="22"/>
        </w:rPr>
        <w:t xml:space="preserve">Our investment is defensive and offensive: </w:t>
      </w:r>
      <w:r>
        <w:rPr>
          <w:b/>
          <w:sz w:val="22"/>
        </w:rPr>
        <w:t>defensive</w:t>
      </w:r>
      <w:r>
        <w:rPr>
          <w:sz w:val="22"/>
        </w:rPr>
        <w:t xml:space="preserve"> because without it, we will lose Anthropic implementation work to competitors who have invested; </w:t>
      </w:r>
      <w:r>
        <w:rPr>
          <w:b/>
          <w:sz w:val="22"/>
        </w:rPr>
        <w:t>offensive</w:t>
      </w:r>
      <w:r>
        <w:rPr>
          <w:sz w:val="22"/>
        </w:rPr>
        <w:t xml:space="preserve"> because the train-the-trainer model allows us to scale faster and more cost-effectively than competitors who rely on centralized training programs.</w:t>
      </w:r>
    </w:p>
    <w:p>
      <w:pPr>
        <w:pStyle w:val="Heading2"/>
      </w:pPr>
      <w:r>
        <w:t>Ask</w:t>
      </w:r>
    </w:p>
    <w:p>
      <w:r>
        <w:rPr>
          <w:sz w:val="22"/>
        </w:rPr>
        <w:t xml:space="preserve">We request approval of </w:t>
      </w:r>
      <w:r>
        <w:rPr>
          <w:b/>
          <w:sz w:val="22"/>
        </w:rPr>
        <w:t>$290,525</w:t>
      </w:r>
      <w:r>
        <w:rPr>
          <w:sz w:val="22"/>
        </w:rPr>
        <w:t xml:space="preserve"> to fund the Anthropic Deep Competency Program — US Cohort as described in this memo.</w:t>
      </w:r>
    </w:p>
    <w:p>
      <w:r>
        <w:rPr>
          <w:sz w:val="22"/>
        </w:rPr>
        <w:t>Specifically, we ask for:</w:t>
      </w:r>
    </w:p>
    <w:p>
      <w:r>
        <w:rPr>
          <w:sz w:val="22"/>
        </w:rPr>
        <w:t xml:space="preserve">1. </w:t>
      </w:r>
      <w:r>
        <w:rPr>
          <w:b/>
          <w:sz w:val="22"/>
        </w:rPr>
        <w:t>Budget approval</w:t>
      </w:r>
      <w:r>
        <w:rPr>
          <w:sz w:val="22"/>
        </w:rPr>
        <w:t xml:space="preserve"> of </w:t>
      </w:r>
      <w:r>
        <w:rPr>
          <w:b/>
          <w:sz w:val="22"/>
        </w:rPr>
        <w:t>$37,725 in real expenses</w:t>
      </w:r>
      <w:r>
        <w:rPr>
          <w:sz w:val="22"/>
        </w:rPr>
        <w:t xml:space="preserve"> (the direct out-of-pocket cost for travel, API credits, meals, exams, and swag)</w:t>
      </w:r>
    </w:p>
    <w:p>
      <w:r>
        <w:rPr>
          <w:sz w:val="22"/>
        </w:rPr>
        <w:t xml:space="preserve">2. </w:t>
      </w:r>
      <w:r>
        <w:rPr>
          <w:b/>
          <w:sz w:val="22"/>
        </w:rPr>
        <w:t>Time commitment</w:t>
      </w:r>
      <w:r>
        <w:rPr>
          <w:sz w:val="22"/>
        </w:rPr>
        <w:t xml:space="preserve"> of </w:t>
      </w:r>
      <w:r>
        <w:rPr>
          <w:b/>
          <w:sz w:val="22"/>
        </w:rPr>
        <w:t>$252,800 in people's time</w:t>
      </w:r>
      <w:r>
        <w:rPr>
          <w:sz w:val="22"/>
        </w:rPr>
        <w:t xml:space="preserve"> — 12 practitioners and 3 facilitators freed from client commitments for 2 weeks</w:t>
      </w:r>
    </w:p>
    <w:p>
      <w:r>
        <w:rPr>
          <w:sz w:val="22"/>
        </w:rPr>
        <w:t xml:space="preserve">3. </w:t>
      </w:r>
      <w:r>
        <w:rPr>
          <w:b/>
          <w:sz w:val="22"/>
        </w:rPr>
        <w:t>Executive sponsorship</w:t>
      </w:r>
      <w:r>
        <w:rPr>
          <w:sz w:val="22"/>
        </w:rPr>
        <w:t xml:space="preserve"> to ensure participant availability and organizational priority</w:t>
      </w:r>
    </w:p>
    <w:p>
      <w:r>
        <w:rPr>
          <w:sz w:val="22"/>
        </w:rPr>
        <w:t xml:space="preserve">4. </w:t>
      </w:r>
      <w:r>
        <w:rPr>
          <w:b/>
          <w:sz w:val="22"/>
        </w:rPr>
        <w:t>Decision by June 13, 2026</w:t>
      </w:r>
      <w:r>
        <w:rPr>
          <w:sz w:val="22"/>
        </w:rPr>
        <w:t xml:space="preserve"> to maintain the program timeline — Week 1 starts June 22</w:t>
      </w:r>
    </w:p>
    <w:p>
      <w:r>
        <w:rPr>
          <w:sz w:val="22"/>
        </w:rPr>
        <w:t xml:space="preserve">The people's time investment is recouped through accelerated client delivery capability and the elimination of ongoing training program costs via the train-the-trainer model. This first cohort is the seed for a program that scales to </w:t>
      </w:r>
      <w:r>
        <w:rPr>
          <w:b/>
          <w:sz w:val="22"/>
        </w:rPr>
        <w:t>~1,000 US practitioners</w:t>
      </w:r>
      <w:r>
        <w:rPr>
          <w:sz w:val="22"/>
        </w:rPr>
        <w:t xml:space="preserve"> and </w:t>
      </w:r>
      <w:r>
        <w:rPr>
          <w:b/>
          <w:sz w:val="22"/>
        </w:rPr>
        <w:t>~5,000 GDS practitioners</w:t>
      </w:r>
      <w:r>
        <w:rPr>
          <w:sz w:val="22"/>
        </w:rPr>
        <w:t xml:space="preserve"> across 10+ technology platforms within one year.</w:t>
      </w:r>
    </w:p>
    <w:p>
      <w:pPr>
        <w:pStyle w:val="Heading2"/>
      </w:pPr>
      <w:r>
        <w:t>Expansion Roadmap</w:t>
      </w:r>
    </w:p>
    <w:p>
      <w:r>
        <w:rPr>
          <w:sz w:val="22"/>
        </w:rPr>
      </w:r>
      <w:r>
        <w:rPr>
          <w:b/>
          <w:sz w:val="22"/>
        </w:rPr>
        <w:t>Target: ~1,000 US practitioners + ~5,000 GDS practitioners across 10+ technology platforms within one year.</w:t>
      </w:r>
      <w:r>
        <w:rPr>
          <w:sz w:val="22"/>
        </w:rPr>
      </w:r>
    </w:p>
    <w:p>
      <w:r>
        <w:rPr>
          <w:sz w:val="22"/>
        </w:rPr>
        <w:t>This budget approval seeds the entire program. The train-the-trainer model is the growth engine: each cohort produces 2-3 new facilitators who run subsequent cohorts, creating exponential capacity. The AI-Native Build Methodology (Week 2) is reused across all vendors — only Week 1 is rebuilt per technology.</w:t>
      </w:r>
    </w:p>
    <w:p>
      <w:pPr>
        <w:pStyle w:val="Heading3"/>
      </w:pPr>
      <w:r>
        <w:t>Vendor Priority</w:t>
      </w:r>
    </w:p>
    <w:p>
      <w:r>
        <w:rPr>
          <w:sz w:val="22"/>
        </w:rPr>
        <w:t>Vendors are sequenced by client demand and strategic value:</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Vendor</w:t>
            </w:r>
          </w:p>
        </w:tc>
        <w:tc>
          <w:tcPr>
            <w:tcW w:type="dxa" w:w="2160"/>
          </w:tcPr>
          <w:p>
            <w:r>
              <w:rPr>
                <w:b/>
              </w:rPr>
              <w:t>Week 1 Focus</w:t>
            </w:r>
          </w:p>
        </w:tc>
        <w:tc>
          <w:tcPr>
            <w:tcW w:type="dxa" w:w="2160"/>
          </w:tcPr>
          <w:p>
            <w:r>
              <w:rPr>
                <w:b/>
              </w:rPr>
              <w:t>Certification</w:t>
            </w:r>
          </w:p>
        </w:tc>
      </w:tr>
      <w:tr>
        <w:tc>
          <w:tcPr>
            <w:tcW w:type="dxa" w:w="2160"/>
          </w:tcPr>
          <w:p>
            <w:r>
              <w:t>**Tier 1**</w:t>
            </w:r>
          </w:p>
        </w:tc>
        <w:tc>
          <w:tcPr>
            <w:tcW w:type="dxa" w:w="2160"/>
          </w:tcPr>
          <w:p>
            <w:r>
              <w:t>**Anthropic / Claude**</w:t>
            </w:r>
          </w:p>
        </w:tc>
        <w:tc>
          <w:tcPr>
            <w:tcW w:type="dxa" w:w="2160"/>
          </w:tcPr>
          <w:p>
            <w:r>
              <w:t>Claude API, Claude Code, Agent SDK, MCP</w:t>
            </w:r>
          </w:p>
        </w:tc>
        <w:tc>
          <w:tcPr>
            <w:tcW w:type="dxa" w:w="2160"/>
          </w:tcPr>
          <w:p>
            <w:r>
              <w:t>Claude Certified Architect</w:t>
            </w:r>
          </w:p>
        </w:tc>
      </w:tr>
      <w:tr>
        <w:tc>
          <w:tcPr>
            <w:tcW w:type="dxa" w:w="2160"/>
          </w:tcPr>
          <w:p>
            <w:r>
              <w:t>**Tier 1**</w:t>
            </w:r>
          </w:p>
        </w:tc>
        <w:tc>
          <w:tcPr>
            <w:tcW w:type="dxa" w:w="2160"/>
          </w:tcPr>
          <w:p>
            <w:r>
              <w:t>**OpenAI / Codex**</w:t>
            </w:r>
          </w:p>
        </w:tc>
        <w:tc>
          <w:tcPr>
            <w:tcW w:type="dxa" w:w="2160"/>
          </w:tcPr>
          <w:p>
            <w:r>
              <w:t>GPT models, Codex, Assistants API, function calling</w:t>
            </w:r>
          </w:p>
        </w:tc>
        <w:tc>
          <w:tcPr>
            <w:tcW w:type="dxa" w:w="2160"/>
          </w:tcPr>
          <w:p>
            <w:r>
              <w:t>OpenAI certifications (as available)</w:t>
            </w:r>
          </w:p>
        </w:tc>
      </w:tr>
      <w:tr>
        <w:tc>
          <w:tcPr>
            <w:tcW w:type="dxa" w:w="2160"/>
          </w:tcPr>
          <w:p>
            <w:r>
              <w:t>**Tier 2**</w:t>
            </w:r>
          </w:p>
        </w:tc>
        <w:tc>
          <w:tcPr>
            <w:tcW w:type="dxa" w:w="2160"/>
          </w:tcPr>
          <w:p>
            <w:r>
              <w:t>**AWS / Bedrock**</w:t>
            </w:r>
          </w:p>
        </w:tc>
        <w:tc>
          <w:tcPr>
            <w:tcW w:type="dxa" w:w="2160"/>
          </w:tcPr>
          <w:p>
            <w:r>
              <w:t>Bedrock, SageMaker, multi-model orchestration, Lambda AI</w:t>
            </w:r>
          </w:p>
        </w:tc>
        <w:tc>
          <w:tcPr>
            <w:tcW w:type="dxa" w:w="2160"/>
          </w:tcPr>
          <w:p>
            <w:r>
              <w:t>AWS Machine Learning Specialty</w:t>
            </w:r>
          </w:p>
        </w:tc>
      </w:tr>
      <w:tr>
        <w:tc>
          <w:tcPr>
            <w:tcW w:type="dxa" w:w="2160"/>
          </w:tcPr>
          <w:p>
            <w:r>
              <w:t>**Tier 2**</w:t>
            </w:r>
          </w:p>
        </w:tc>
        <w:tc>
          <w:tcPr>
            <w:tcW w:type="dxa" w:w="2160"/>
          </w:tcPr>
          <w:p>
            <w:r>
              <w:t>**Palantir**</w:t>
            </w:r>
          </w:p>
        </w:tc>
        <w:tc>
          <w:tcPr>
            <w:tcW w:type="dxa" w:w="2160"/>
          </w:tcPr>
          <w:p>
            <w:r>
              <w:t>Foundry, AIP, ontology-driven AI, pipeline orchestration</w:t>
            </w:r>
          </w:p>
        </w:tc>
        <w:tc>
          <w:tcPr>
            <w:tcW w:type="dxa" w:w="2160"/>
          </w:tcPr>
          <w:p>
            <w:r>
              <w:t>Palantir Foundry certification</w:t>
            </w:r>
          </w:p>
        </w:tc>
      </w:tr>
      <w:tr>
        <w:tc>
          <w:tcPr>
            <w:tcW w:type="dxa" w:w="2160"/>
          </w:tcPr>
          <w:p>
            <w:r>
              <w:t>**Tier 3**</w:t>
            </w:r>
          </w:p>
        </w:tc>
        <w:tc>
          <w:tcPr>
            <w:tcW w:type="dxa" w:w="2160"/>
          </w:tcPr>
          <w:p>
            <w:r>
              <w:t>**GCP / Gemini**</w:t>
            </w:r>
          </w:p>
        </w:tc>
        <w:tc>
          <w:tcPr>
            <w:tcW w:type="dxa" w:w="2160"/>
          </w:tcPr>
          <w:p>
            <w:r>
              <w:t>Gemini, Vertex AI, AI Studio, Search grounding</w:t>
            </w:r>
          </w:p>
        </w:tc>
        <w:tc>
          <w:tcPr>
            <w:tcW w:type="dxa" w:w="2160"/>
          </w:tcPr>
          <w:p>
            <w:r>
              <w:t>Google Cloud Professional ML Engineer</w:t>
            </w:r>
          </w:p>
        </w:tc>
      </w:tr>
      <w:tr>
        <w:tc>
          <w:tcPr>
            <w:tcW w:type="dxa" w:w="2160"/>
          </w:tcPr>
          <w:p>
            <w:r>
              <w:t>**Tier 3**</w:t>
            </w:r>
          </w:p>
        </w:tc>
        <w:tc>
          <w:tcPr>
            <w:tcW w:type="dxa" w:w="2160"/>
          </w:tcPr>
          <w:p>
            <w:r>
              <w:t>**NVIDIA**</w:t>
            </w:r>
          </w:p>
        </w:tc>
        <w:tc>
          <w:tcPr>
            <w:tcW w:type="dxa" w:w="2160"/>
          </w:tcPr>
          <w:p>
            <w:r>
              <w:t>NIM microservices, GPU infrastructure, inference optimization, CUDA</w:t>
            </w:r>
          </w:p>
        </w:tc>
        <w:tc>
          <w:tcPr>
            <w:tcW w:type="dxa" w:w="2160"/>
          </w:tcPr>
          <w:p>
            <w:r>
              <w:t>NVIDIA Certified AI Solutions Architect</w:t>
            </w:r>
          </w:p>
        </w:tc>
      </w:tr>
      <w:tr>
        <w:tc>
          <w:tcPr>
            <w:tcW w:type="dxa" w:w="2160"/>
          </w:tcPr>
          <w:p>
            <w:r>
              <w:t>**Tier 4**</w:t>
            </w:r>
          </w:p>
        </w:tc>
        <w:tc>
          <w:tcPr>
            <w:tcW w:type="dxa" w:w="2160"/>
          </w:tcPr>
          <w:p>
            <w:r>
              <w:t>**IBM**</w:t>
            </w:r>
          </w:p>
        </w:tc>
        <w:tc>
          <w:tcPr>
            <w:tcW w:type="dxa" w:w="2160"/>
          </w:tcPr>
          <w:p>
            <w:r>
              <w:t>watsonx, Granite models, AI governance, OpenPages</w:t>
            </w:r>
          </w:p>
        </w:tc>
        <w:tc>
          <w:tcPr>
            <w:tcW w:type="dxa" w:w="2160"/>
          </w:tcPr>
          <w:p>
            <w:r>
              <w:t>IBM AI Engineering Professional</w:t>
            </w:r>
          </w:p>
        </w:tc>
      </w:tr>
      <w:tr>
        <w:tc>
          <w:tcPr>
            <w:tcW w:type="dxa" w:w="2160"/>
          </w:tcPr>
          <w:p>
            <w:r>
              <w:t>**Tier 4**</w:t>
            </w:r>
          </w:p>
        </w:tc>
        <w:tc>
          <w:tcPr>
            <w:tcW w:type="dxa" w:w="2160"/>
          </w:tcPr>
          <w:p>
            <w:r>
              <w:t>**Others**</w:t>
            </w:r>
          </w:p>
        </w:tc>
        <w:tc>
          <w:tcPr>
            <w:tcW w:type="dxa" w:w="2160"/>
          </w:tcPr>
          <w:p>
            <w:r>
              <w:t>Cohere, Perplexity, LangChain, Mistral, LangGraph, LlamaIndex</w:t>
            </w:r>
          </w:p>
        </w:tc>
        <w:tc>
          <w:tcPr>
            <w:tcW w:type="dxa" w:w="2160"/>
          </w:tcPr>
          <w:p>
            <w:r>
              <w:t>Vendor-specific</w:t>
            </w:r>
          </w:p>
        </w:tc>
      </w:tr>
    </w:tbl>
    <w:p>
      <w:pPr>
        <w:pStyle w:val="Heading3"/>
      </w:pPr>
      <w:r>
        <w:t>Phase 1: Prove the Model (Q3 2026)</w:t>
      </w:r>
    </w:p>
    <w:p>
      <w:pPr>
        <w:pStyle w:val="ListBullet"/>
      </w:pPr>
      <w:r>
        <w:rPr>
          <w:sz w:val="22"/>
        </w:rPr>
        <w:t>1 US cohort (Anthropic), 12 students, NYC</w:t>
      </w:r>
    </w:p>
    <w:p>
      <w:pPr>
        <w:pStyle w:val="ListBullet"/>
      </w:pPr>
      <w:r>
        <w:rPr>
          <w:sz w:val="22"/>
        </w:rPr>
        <w:t>Produce 12 certification-ready Claude practitioners + 2-3 internal trainers</w:t>
      </w:r>
    </w:p>
    <w:p>
      <w:pPr>
        <w:pStyle w:val="ListBullet"/>
      </w:pPr>
      <w:r>
        <w:rPr>
          <w:sz w:val="22"/>
        </w:rPr>
        <w:t>Output: proven curriculum, playbooks, facilitator guides, AI-Native Build Methodology</w:t>
      </w:r>
    </w:p>
    <w:p>
      <w:pPr>
        <w:pStyle w:val="ListBullet"/>
      </w:pPr>
      <w:r>
        <w:rPr>
          <w:sz w:val="22"/>
        </w:rPr>
        <w:t>Design OpenAI/Codex Week 1 track in parallel</w:t>
      </w:r>
    </w:p>
    <w:p>
      <w:pPr>
        <w:pStyle w:val="ListBullet"/>
      </w:pPr>
      <w:r>
        <w:rPr>
          <w:sz w:val="22"/>
        </w:rPr>
      </w:r>
      <w:r>
        <w:rPr>
          <w:b/>
          <w:sz w:val="22"/>
        </w:rPr>
        <w:t>$290,525</w:t>
      </w:r>
      <w:r>
        <w:rPr>
          <w:sz w:val="22"/>
        </w:rPr>
        <w:t xml:space="preserve"> (this ask)</w:t>
      </w:r>
    </w:p>
    <w:p>
      <w:pPr>
        <w:pStyle w:val="Heading3"/>
      </w:pPr>
      <w:r>
        <w:t>Phase 2: Dual-Vendor Launch + GDS Seed (Q4 2026)</w:t>
      </w:r>
    </w:p>
    <w:p>
      <w:pPr>
        <w:pStyle w:val="ListBullet"/>
      </w:pPr>
      <w:r>
        <w:rPr>
          <w:sz w:val="22"/>
        </w:rPr>
      </w:r>
      <w:r>
        <w:rPr>
          <w:b/>
          <w:sz w:val="22"/>
        </w:rPr>
        <w:t>US:</w:t>
      </w:r>
      <w:r>
        <w:rPr>
          <w:sz w:val="22"/>
        </w:rPr>
        <w:t xml:space="preserve"> 4 Anthropic cohorts (NYC, Chicago, Dallas, SF) + 2 OpenAI/Codex cohorts × 24 students = </w:t>
      </w:r>
      <w:r>
        <w:rPr>
          <w:b/>
          <w:sz w:val="22"/>
        </w:rPr>
        <w:t>144 US practitioners</w:t>
      </w:r>
      <w:r>
        <w:rPr>
          <w:sz w:val="22"/>
        </w:rPr>
      </w:r>
    </w:p>
    <w:p>
      <w:pPr>
        <w:pStyle w:val="ListBullet"/>
      </w:pPr>
      <w:r>
        <w:rPr>
          <w:sz w:val="22"/>
        </w:rPr>
      </w:r>
      <w:r>
        <w:rPr>
          <w:b/>
          <w:sz w:val="22"/>
        </w:rPr>
        <w:t>GDS India:</w:t>
      </w:r>
      <w:r>
        <w:rPr>
          <w:sz w:val="22"/>
        </w:rPr>
        <w:t xml:space="preserve"> 2 Anthropic cohorts × 36 students = </w:t>
      </w:r>
      <w:r>
        <w:rPr>
          <w:b/>
          <w:sz w:val="22"/>
        </w:rPr>
        <w:t>72 GDS practitioners</w:t>
      </w:r>
      <w:r>
        <w:rPr>
          <w:sz w:val="22"/>
        </w:rPr>
        <w:t xml:space="preserve"> (Bangalore, co-facilitated by Phase 1 graduates)</w:t>
      </w:r>
    </w:p>
    <w:p>
      <w:pPr>
        <w:pStyle w:val="ListBullet"/>
      </w:pPr>
      <w:r>
        <w:rPr>
          <w:sz w:val="22"/>
        </w:rPr>
        <w:t>Design AWS/Bedrock and Palantir Week 1 tracks</w:t>
      </w:r>
    </w:p>
    <w:p>
      <w:pPr>
        <w:pStyle w:val="ListBullet"/>
      </w:pPr>
      <w:r>
        <w:rPr>
          <w:sz w:val="22"/>
        </w:rPr>
        <w:t>Trainer pool grows to ~15 facilitators</w:t>
      </w:r>
    </w:p>
    <w:p>
      <w:pPr>
        <w:pStyle w:val="ListBullet"/>
      </w:pPr>
      <w:r>
        <w:rPr>
          <w:sz w:val="22"/>
        </w:rPr>
        <w:t>GDS cohorts at ~$7,500/student (vs $24,200/student US) — 3x the scale per dollar</w:t>
      </w:r>
    </w:p>
    <w:p>
      <w:pPr>
        <w:pStyle w:val="Heading3"/>
      </w:pPr>
      <w:r>
        <w:t>Phase 3: Multi-Vendor Ramp (Q1 2027)</w:t>
      </w:r>
    </w:p>
    <w:p>
      <w:pPr>
        <w:pStyle w:val="ListBullet"/>
      </w:pPr>
      <w:r>
        <w:rPr>
          <w:sz w:val="22"/>
        </w:rPr>
      </w:r>
      <w:r>
        <w:rPr>
          <w:b/>
          <w:sz w:val="22"/>
        </w:rPr>
        <w:t>US:</w:t>
      </w:r>
      <w:r>
        <w:rPr>
          <w:sz w:val="22"/>
        </w:rPr>
        <w:t xml:space="preserve"> Running 8-10 cohorts/month across Anthropic, OpenAI, AWS, Palantir × 24 students = </w:t>
      </w:r>
      <w:r>
        <w:rPr>
          <w:b/>
          <w:sz w:val="22"/>
        </w:rPr>
        <w:t>~240 US practitioners/month</w:t>
      </w:r>
      <w:r>
        <w:rPr>
          <w:sz w:val="22"/>
        </w:rPr>
      </w:r>
    </w:p>
    <w:p>
      <w:pPr>
        <w:pStyle w:val="ListBullet"/>
      </w:pPr>
      <w:r>
        <w:rPr>
          <w:sz w:val="22"/>
        </w:rPr>
      </w:r>
      <w:r>
        <w:rPr>
          <w:b/>
          <w:sz w:val="22"/>
        </w:rPr>
        <w:t>GDS India + Mexico:</w:t>
      </w:r>
      <w:r>
        <w:rPr>
          <w:sz w:val="22"/>
        </w:rPr>
        <w:t xml:space="preserve"> 8-10 cohorts/month × 36 students = </w:t>
      </w:r>
      <w:r>
        <w:rPr>
          <w:b/>
          <w:sz w:val="22"/>
        </w:rPr>
        <w:t>~360 GDS practitioners/month</w:t>
      </w:r>
      <w:r>
        <w:rPr>
          <w:sz w:val="22"/>
        </w:rPr>
      </w:r>
    </w:p>
    <w:p>
      <w:pPr>
        <w:pStyle w:val="ListBullet"/>
      </w:pPr>
      <w:r>
        <w:rPr>
          <w:sz w:val="22"/>
        </w:rPr>
        <w:t>Launch GCP/Gemini and NVIDIA Week 1 tracks</w:t>
      </w:r>
    </w:p>
    <w:p>
      <w:pPr>
        <w:pStyle w:val="ListBullet"/>
      </w:pPr>
      <w:r>
        <w:rPr>
          <w:sz w:val="22"/>
        </w:rPr>
        <w:t>Trainer pool: ~40 facilitators (self-sustaining — new trainers produced faster than consumed)</w:t>
      </w:r>
    </w:p>
    <w:p>
      <w:pPr>
        <w:pStyle w:val="Heading3"/>
      </w:pPr>
      <w:r>
        <w:t>Phase 4: Full Portfolio at Scale (Q2-Q3 2027)</w:t>
      </w:r>
    </w:p>
    <w:p>
      <w:pPr>
        <w:pStyle w:val="ListBullet"/>
      </w:pPr>
      <w:r>
        <w:rPr>
          <w:sz w:val="22"/>
        </w:rPr>
      </w:r>
      <w:r>
        <w:rPr>
          <w:b/>
          <w:sz w:val="22"/>
        </w:rPr>
        <w:t>US:</w:t>
      </w:r>
      <w:r>
        <w:rPr>
          <w:sz w:val="22"/>
        </w:rPr>
        <w:t xml:space="preserve"> 12-15 cohorts/month across all Tier 1-3 vendors = </w:t>
      </w:r>
      <w:r>
        <w:rPr>
          <w:b/>
          <w:sz w:val="22"/>
        </w:rPr>
        <w:t>~300 US practitioners/month</w:t>
      </w:r>
      <w:r>
        <w:rPr>
          <w:sz w:val="22"/>
        </w:rPr>
      </w:r>
    </w:p>
    <w:p>
      <w:pPr>
        <w:pStyle w:val="ListBullet"/>
      </w:pPr>
      <w:r>
        <w:rPr>
          <w:sz w:val="22"/>
        </w:rPr>
      </w:r>
      <w:r>
        <w:rPr>
          <w:b/>
          <w:sz w:val="22"/>
        </w:rPr>
        <w:t>GDS:</w:t>
      </w:r>
      <w:r>
        <w:rPr>
          <w:sz w:val="22"/>
        </w:rPr>
        <w:t xml:space="preserve"> 20-30 cohorts/month across India + Mexico = </w:t>
      </w:r>
      <w:r>
        <w:rPr>
          <w:b/>
          <w:sz w:val="22"/>
        </w:rPr>
        <w:t>~900 GDS practitioners/month</w:t>
      </w:r>
      <w:r>
        <w:rPr>
          <w:sz w:val="22"/>
        </w:rPr>
      </w:r>
    </w:p>
    <w:p>
      <w:pPr>
        <w:pStyle w:val="ListBullet"/>
      </w:pPr>
      <w:r>
        <w:rPr>
          <w:sz w:val="22"/>
        </w:rPr>
        <w:t>Add IBM, Cohere, Perplexity, LangChain, Mistral, LangGraph, LlamaIndex</w:t>
      </w:r>
    </w:p>
    <w:p>
      <w:pPr>
        <w:pStyle w:val="ListBullet"/>
      </w:pPr>
      <w:r>
        <w:rPr>
          <w:sz w:val="22"/>
        </w:rPr>
        <w:t>Trainer pool: 80+ facilitators, fully self-sustaining</w:t>
      </w:r>
    </w:p>
    <w:p>
      <w:pPr>
        <w:pStyle w:val="ListBullet"/>
      </w:pPr>
      <w:r>
        <w:rPr>
          <w:sz w:val="22"/>
        </w:rPr>
        <w:t xml:space="preserve">Unit cost per cohort drops to </w:t>
      </w:r>
      <w:r>
        <w:rPr>
          <w:b/>
          <w:sz w:val="22"/>
        </w:rPr>
        <w:t>~$50-80K</w:t>
      </w:r>
      <w:r>
        <w:rPr>
          <w:sz w:val="22"/>
        </w:rPr>
        <w:t xml:space="preserve"> (no methodology design, internal facilitators, GDS cost rates)</w:t>
      </w:r>
    </w:p>
    <w:p>
      <w:pPr>
        <w:pStyle w:val="Heading3"/>
      </w:pPr>
      <w:r>
        <w:t>How the Math Works</w:t>
      </w:r>
    </w:p>
    <w:p>
      <w:r>
        <w:rPr>
          <w:sz w:val="22"/>
        </w:rPr>
        <w:t>The train-the-trainer model creates exponential growth:</w:t>
      </w:r>
    </w:p>
    <w:p>
      <w:r>
        <w:rPr>
          <w:sz w:val="22"/>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Quarter</w:t>
            </w:r>
          </w:p>
        </w:tc>
        <w:tc>
          <w:tcPr>
            <w:tcW w:type="dxa" w:w="1080"/>
          </w:tcPr>
          <w:p>
            <w:r>
              <w:rPr>
                <w:b/>
              </w:rPr>
              <w:t>US Cohorts</w:t>
            </w:r>
          </w:p>
        </w:tc>
        <w:tc>
          <w:tcPr>
            <w:tcW w:type="dxa" w:w="1080"/>
          </w:tcPr>
          <w:p>
            <w:r>
              <w:rPr>
                <w:b/>
              </w:rPr>
              <w:t>US Practitioners</w:t>
            </w:r>
          </w:p>
        </w:tc>
        <w:tc>
          <w:tcPr>
            <w:tcW w:type="dxa" w:w="1080"/>
          </w:tcPr>
          <w:p>
            <w:r>
              <w:rPr>
                <w:b/>
              </w:rPr>
              <w:t>GDS Cohorts</w:t>
            </w:r>
          </w:p>
        </w:tc>
        <w:tc>
          <w:tcPr>
            <w:tcW w:type="dxa" w:w="1080"/>
          </w:tcPr>
          <w:p>
            <w:r>
              <w:rPr>
                <w:b/>
              </w:rPr>
              <w:t>GDS Practitioners</w:t>
            </w:r>
          </w:p>
        </w:tc>
        <w:tc>
          <w:tcPr>
            <w:tcW w:type="dxa" w:w="1080"/>
          </w:tcPr>
          <w:p>
            <w:r>
              <w:rPr>
                <w:b/>
              </w:rPr>
              <w:t>Cumulative US</w:t>
            </w:r>
          </w:p>
        </w:tc>
        <w:tc>
          <w:tcPr>
            <w:tcW w:type="dxa" w:w="1080"/>
          </w:tcPr>
          <w:p>
            <w:r>
              <w:rPr>
                <w:b/>
              </w:rPr>
              <w:t>Cumulative GDS</w:t>
            </w:r>
          </w:p>
        </w:tc>
        <w:tc>
          <w:tcPr>
            <w:tcW w:type="dxa" w:w="1080"/>
          </w:tcPr>
          <w:p>
            <w:r>
              <w:rPr>
                <w:b/>
              </w:rPr>
              <w:t>Trainers</w:t>
            </w:r>
          </w:p>
        </w:tc>
      </w:tr>
      <w:tr>
        <w:tc>
          <w:tcPr>
            <w:tcW w:type="dxa" w:w="1080"/>
          </w:tcPr>
          <w:p>
            <w:r>
              <w:t>Q3 2026</w:t>
            </w:r>
          </w:p>
        </w:tc>
        <w:tc>
          <w:tcPr>
            <w:tcW w:type="dxa" w:w="1080"/>
          </w:tcPr>
          <w:p>
            <w:r>
              <w:t>1</w:t>
            </w:r>
          </w:p>
        </w:tc>
        <w:tc>
          <w:tcPr>
            <w:tcW w:type="dxa" w:w="1080"/>
          </w:tcPr>
          <w:p>
            <w:r>
              <w:t>12</w:t>
            </w:r>
          </w:p>
        </w:tc>
        <w:tc>
          <w:tcPr>
            <w:tcW w:type="dxa" w:w="1080"/>
          </w:tcPr>
          <w:p>
            <w:r>
              <w:t>—</w:t>
            </w:r>
          </w:p>
        </w:tc>
        <w:tc>
          <w:tcPr>
            <w:tcW w:type="dxa" w:w="1080"/>
          </w:tcPr>
          <w:p>
            <w:r>
              <w:t>—</w:t>
            </w:r>
          </w:p>
        </w:tc>
        <w:tc>
          <w:tcPr>
            <w:tcW w:type="dxa" w:w="1080"/>
          </w:tcPr>
          <w:p>
            <w:r>
              <w:t>12</w:t>
            </w:r>
          </w:p>
        </w:tc>
        <w:tc>
          <w:tcPr>
            <w:tcW w:type="dxa" w:w="1080"/>
          </w:tcPr>
          <w:p>
            <w:r>
              <w:t>—</w:t>
            </w:r>
          </w:p>
        </w:tc>
        <w:tc>
          <w:tcPr>
            <w:tcW w:type="dxa" w:w="1080"/>
          </w:tcPr>
          <w:p>
            <w:r>
              <w:t>3 → 6</w:t>
            </w:r>
          </w:p>
        </w:tc>
      </w:tr>
      <w:tr>
        <w:tc>
          <w:tcPr>
            <w:tcW w:type="dxa" w:w="1080"/>
          </w:tcPr>
          <w:p>
            <w:r>
              <w:t>Q4 2026</w:t>
            </w:r>
          </w:p>
        </w:tc>
        <w:tc>
          <w:tcPr>
            <w:tcW w:type="dxa" w:w="1080"/>
          </w:tcPr>
          <w:p>
            <w:r>
              <w:t>6</w:t>
            </w:r>
          </w:p>
        </w:tc>
        <w:tc>
          <w:tcPr>
            <w:tcW w:type="dxa" w:w="1080"/>
          </w:tcPr>
          <w:p>
            <w:r>
              <w:t>144</w:t>
            </w:r>
          </w:p>
        </w:tc>
        <w:tc>
          <w:tcPr>
            <w:tcW w:type="dxa" w:w="1080"/>
          </w:tcPr>
          <w:p>
            <w:r>
              <w:t>2</w:t>
            </w:r>
          </w:p>
        </w:tc>
        <w:tc>
          <w:tcPr>
            <w:tcW w:type="dxa" w:w="1080"/>
          </w:tcPr>
          <w:p>
            <w:r>
              <w:t>72</w:t>
            </w:r>
          </w:p>
        </w:tc>
        <w:tc>
          <w:tcPr>
            <w:tcW w:type="dxa" w:w="1080"/>
          </w:tcPr>
          <w:p>
            <w:r>
              <w:t>156</w:t>
            </w:r>
          </w:p>
        </w:tc>
        <w:tc>
          <w:tcPr>
            <w:tcW w:type="dxa" w:w="1080"/>
          </w:tcPr>
          <w:p>
            <w:r>
              <w:t>72</w:t>
            </w:r>
          </w:p>
        </w:tc>
        <w:tc>
          <w:tcPr>
            <w:tcW w:type="dxa" w:w="1080"/>
          </w:tcPr>
          <w:p>
            <w:r>
              <w:t>6 → 15</w:t>
            </w:r>
          </w:p>
        </w:tc>
      </w:tr>
      <w:tr>
        <w:tc>
          <w:tcPr>
            <w:tcW w:type="dxa" w:w="1080"/>
          </w:tcPr>
          <w:p>
            <w:r>
              <w:t>Q1 2027</w:t>
            </w:r>
          </w:p>
        </w:tc>
        <w:tc>
          <w:tcPr>
            <w:tcW w:type="dxa" w:w="1080"/>
          </w:tcPr>
          <w:p>
            <w:r>
              <w:t>10</w:t>
            </w:r>
          </w:p>
        </w:tc>
        <w:tc>
          <w:tcPr>
            <w:tcW w:type="dxa" w:w="1080"/>
          </w:tcPr>
          <w:p>
            <w:r>
              <w:t>240</w:t>
            </w:r>
          </w:p>
        </w:tc>
        <w:tc>
          <w:tcPr>
            <w:tcW w:type="dxa" w:w="1080"/>
          </w:tcPr>
          <w:p>
            <w:r>
              <w:t>10</w:t>
            </w:r>
          </w:p>
        </w:tc>
        <w:tc>
          <w:tcPr>
            <w:tcW w:type="dxa" w:w="1080"/>
          </w:tcPr>
          <w:p>
            <w:r>
              <w:t>360</w:t>
            </w:r>
          </w:p>
        </w:tc>
        <w:tc>
          <w:tcPr>
            <w:tcW w:type="dxa" w:w="1080"/>
          </w:tcPr>
          <w:p>
            <w:r>
              <w:t>396</w:t>
            </w:r>
          </w:p>
        </w:tc>
        <w:tc>
          <w:tcPr>
            <w:tcW w:type="dxa" w:w="1080"/>
          </w:tcPr>
          <w:p>
            <w:r>
              <w:t>432</w:t>
            </w:r>
          </w:p>
        </w:tc>
        <w:tc>
          <w:tcPr>
            <w:tcW w:type="dxa" w:w="1080"/>
          </w:tcPr>
          <w:p>
            <w:r>
              <w:t>15 → 40</w:t>
            </w:r>
          </w:p>
        </w:tc>
      </w:tr>
      <w:tr>
        <w:tc>
          <w:tcPr>
            <w:tcW w:type="dxa" w:w="1080"/>
          </w:tcPr>
          <w:p>
            <w:r>
              <w:t>Q2 2027</w:t>
            </w:r>
          </w:p>
        </w:tc>
        <w:tc>
          <w:tcPr>
            <w:tcW w:type="dxa" w:w="1080"/>
          </w:tcPr>
          <w:p>
            <w:r>
              <w:t>12</w:t>
            </w:r>
          </w:p>
        </w:tc>
        <w:tc>
          <w:tcPr>
            <w:tcW w:type="dxa" w:w="1080"/>
          </w:tcPr>
          <w:p>
            <w:r>
              <w:t>288</w:t>
            </w:r>
          </w:p>
        </w:tc>
        <w:tc>
          <w:tcPr>
            <w:tcW w:type="dxa" w:w="1080"/>
          </w:tcPr>
          <w:p>
            <w:r>
              <w:t>20</w:t>
            </w:r>
          </w:p>
        </w:tc>
        <w:tc>
          <w:tcPr>
            <w:tcW w:type="dxa" w:w="1080"/>
          </w:tcPr>
          <w:p>
            <w:r>
              <w:t>720</w:t>
            </w:r>
          </w:p>
        </w:tc>
        <w:tc>
          <w:tcPr>
            <w:tcW w:type="dxa" w:w="1080"/>
          </w:tcPr>
          <w:p>
            <w:r>
              <w:t>684</w:t>
            </w:r>
          </w:p>
        </w:tc>
        <w:tc>
          <w:tcPr>
            <w:tcW w:type="dxa" w:w="1080"/>
          </w:tcPr>
          <w:p>
            <w:r>
              <w:t>1,152</w:t>
            </w:r>
          </w:p>
        </w:tc>
        <w:tc>
          <w:tcPr>
            <w:tcW w:type="dxa" w:w="1080"/>
          </w:tcPr>
          <w:p>
            <w:r>
              <w:t>40 → 60</w:t>
            </w:r>
          </w:p>
        </w:tc>
      </w:tr>
      <w:tr>
        <w:tc>
          <w:tcPr>
            <w:tcW w:type="dxa" w:w="1080"/>
          </w:tcPr>
          <w:p>
            <w:r>
              <w:t>Q3 2027</w:t>
            </w:r>
          </w:p>
        </w:tc>
        <w:tc>
          <w:tcPr>
            <w:tcW w:type="dxa" w:w="1080"/>
          </w:tcPr>
          <w:p>
            <w:r>
              <w:t>15</w:t>
            </w:r>
          </w:p>
        </w:tc>
        <w:tc>
          <w:tcPr>
            <w:tcW w:type="dxa" w:w="1080"/>
          </w:tcPr>
          <w:p>
            <w:r>
              <w:t>360</w:t>
            </w:r>
          </w:p>
        </w:tc>
        <w:tc>
          <w:tcPr>
            <w:tcW w:type="dxa" w:w="1080"/>
          </w:tcPr>
          <w:p>
            <w:r>
              <w:t>30</w:t>
            </w:r>
          </w:p>
        </w:tc>
        <w:tc>
          <w:tcPr>
            <w:tcW w:type="dxa" w:w="1080"/>
          </w:tcPr>
          <w:p>
            <w:r>
              <w:t>1,080</w:t>
            </w:r>
          </w:p>
        </w:tc>
        <w:tc>
          <w:tcPr>
            <w:tcW w:type="dxa" w:w="1080"/>
          </w:tcPr>
          <w:p>
            <w:r>
              <w:t>**1,044**</w:t>
            </w:r>
          </w:p>
        </w:tc>
        <w:tc>
          <w:tcPr>
            <w:tcW w:type="dxa" w:w="1080"/>
          </w:tcPr>
          <w:p>
            <w:r>
              <w:t>2,232</w:t>
            </w:r>
          </w:p>
        </w:tc>
        <w:tc>
          <w:tcPr>
            <w:tcW w:type="dxa" w:w="1080"/>
          </w:tcPr>
          <w:p>
            <w:r>
              <w:t>60 → 80+</w:t>
            </w:r>
          </w:p>
        </w:tc>
      </w:tr>
      <w:tr>
        <w:tc>
          <w:tcPr>
            <w:tcW w:type="dxa" w:w="1080"/>
          </w:tcPr>
          <w:p>
            <w:r>
              <w:t>Q4 2027</w:t>
            </w:r>
          </w:p>
        </w:tc>
        <w:tc>
          <w:tcPr>
            <w:tcW w:type="dxa" w:w="1080"/>
          </w:tcPr>
          <w:p>
            <w:r>
              <w:t>15</w:t>
            </w:r>
          </w:p>
        </w:tc>
        <w:tc>
          <w:tcPr>
            <w:tcW w:type="dxa" w:w="1080"/>
          </w:tcPr>
          <w:p>
            <w:r>
              <w:t>360</w:t>
            </w:r>
          </w:p>
        </w:tc>
        <w:tc>
          <w:tcPr>
            <w:tcW w:type="dxa" w:w="1080"/>
          </w:tcPr>
          <w:p>
            <w:r>
              <w:t>30</w:t>
            </w:r>
          </w:p>
        </w:tc>
        <w:tc>
          <w:tcPr>
            <w:tcW w:type="dxa" w:w="1080"/>
          </w:tcPr>
          <w:p>
            <w:r>
              <w:t>1,080</w:t>
            </w:r>
          </w:p>
        </w:tc>
        <w:tc>
          <w:tcPr>
            <w:tcW w:type="dxa" w:w="1080"/>
          </w:tcPr>
          <w:p>
            <w:r>
              <w:t>1,404</w:t>
            </w:r>
          </w:p>
        </w:tc>
        <w:tc>
          <w:tcPr>
            <w:tcW w:type="dxa" w:w="1080"/>
          </w:tcPr>
          <w:p>
            <w:r>
              <w:t>3,312</w:t>
            </w:r>
          </w:p>
        </w:tc>
        <w:tc>
          <w:tcPr>
            <w:tcW w:type="dxa" w:w="1080"/>
          </w:tcPr>
          <w:p>
            <w:r>
              <w:t>80+</w:t>
            </w:r>
          </w:p>
        </w:tc>
      </w:tr>
      <w:tr>
        <w:tc>
          <w:tcPr>
            <w:tcW w:type="dxa" w:w="1080"/>
          </w:tcPr>
          <w:p>
            <w:r>
              <w:t>Q1 2028</w:t>
            </w:r>
          </w:p>
        </w:tc>
        <w:tc>
          <w:tcPr>
            <w:tcW w:type="dxa" w:w="1080"/>
          </w:tcPr>
          <w:p>
            <w:r>
              <w:t>15</w:t>
            </w:r>
          </w:p>
        </w:tc>
        <w:tc>
          <w:tcPr>
            <w:tcW w:type="dxa" w:w="1080"/>
          </w:tcPr>
          <w:p>
            <w:r>
              <w:t>360</w:t>
            </w:r>
          </w:p>
        </w:tc>
        <w:tc>
          <w:tcPr>
            <w:tcW w:type="dxa" w:w="1080"/>
          </w:tcPr>
          <w:p>
            <w:r>
              <w:t>25</w:t>
            </w:r>
          </w:p>
        </w:tc>
        <w:tc>
          <w:tcPr>
            <w:tcW w:type="dxa" w:w="1080"/>
          </w:tcPr>
          <w:p>
            <w:r>
              <w:t>900</w:t>
            </w:r>
          </w:p>
        </w:tc>
        <w:tc>
          <w:tcPr>
            <w:tcW w:type="dxa" w:w="1080"/>
          </w:tcPr>
          <w:p>
            <w:r>
              <w:t>1,764</w:t>
            </w:r>
          </w:p>
        </w:tc>
        <w:tc>
          <w:tcPr>
            <w:tcW w:type="dxa" w:w="1080"/>
          </w:tcPr>
          <w:p>
            <w:r>
              <w:t>4,212</w:t>
            </w:r>
          </w:p>
        </w:tc>
        <w:tc>
          <w:tcPr>
            <w:tcW w:type="dxa" w:w="1080"/>
          </w:tcPr>
          <w:p>
            <w:r>
              <w:t>80+</w:t>
            </w:r>
          </w:p>
        </w:tc>
      </w:tr>
      <w:tr>
        <w:tc>
          <w:tcPr>
            <w:tcW w:type="dxa" w:w="1080"/>
          </w:tcPr>
          <w:p>
            <w:r>
              <w:t>Q2 2028</w:t>
            </w:r>
          </w:p>
        </w:tc>
        <w:tc>
          <w:tcPr>
            <w:tcW w:type="dxa" w:w="1080"/>
          </w:tcPr>
          <w:p>
            <w:r>
              <w:t>—</w:t>
            </w:r>
          </w:p>
        </w:tc>
        <w:tc>
          <w:tcPr>
            <w:tcW w:type="dxa" w:w="1080"/>
          </w:tcPr>
          <w:p>
            <w:r>
              <w:t>—</w:t>
            </w:r>
          </w:p>
        </w:tc>
        <w:tc>
          <w:tcPr>
            <w:tcW w:type="dxa" w:w="1080"/>
          </w:tcPr>
          <w:p>
            <w:r>
              <w:t>22</w:t>
            </w:r>
          </w:p>
        </w:tc>
        <w:tc>
          <w:tcPr>
            <w:tcW w:type="dxa" w:w="1080"/>
          </w:tcPr>
          <w:p>
            <w:r>
              <w:t>792</w:t>
            </w:r>
          </w:p>
        </w:tc>
        <w:tc>
          <w:tcPr>
            <w:tcW w:type="dxa" w:w="1080"/>
          </w:tcPr>
          <w:p>
            <w:r>
              <w:t>—</w:t>
            </w:r>
          </w:p>
        </w:tc>
        <w:tc>
          <w:tcPr>
            <w:tcW w:type="dxa" w:w="1080"/>
          </w:tcPr>
          <w:p>
            <w:r>
              <w:t>**5,004**</w:t>
            </w:r>
          </w:p>
        </w:tc>
        <w:tc>
          <w:tcPr>
            <w:tcW w:type="dxa" w:w="1080"/>
          </w:tcPr>
          <w:p>
            <w:r>
              <w:t>Self-sustaining</w:t>
            </w:r>
          </w:p>
        </w:tc>
      </w:tr>
    </w:tbl>
    <w:p>
      <w:r>
        <w:rPr>
          <w:sz w:val="22"/>
        </w:rPr>
      </w:r>
      <w:r>
        <w:rPr>
          <w:b/>
          <w:sz w:val="22"/>
        </w:rPr>
        <w:t>US target (~1,000) reached by Q3 2027. GDS target (~5,000) reached by Q2 2028.</w:t>
      </w:r>
      <w:r>
        <w:rPr>
          <w:sz w:val="22"/>
        </w:rPr>
      </w:r>
    </w:p>
    <w:p>
      <w:r>
        <w:rPr>
          <w:sz w:val="22"/>
        </w:rPr>
        <w:t>Key levers:</w:t>
      </w:r>
    </w:p>
    <w:p>
      <w:pPr>
        <w:pStyle w:val="ListBullet"/>
      </w:pPr>
      <w:r>
        <w:rPr>
          <w:sz w:val="22"/>
        </w:rPr>
      </w:r>
      <w:r>
        <w:rPr>
          <w:b/>
          <w:sz w:val="22"/>
        </w:rPr>
        <w:t>US cohort size:</w:t>
      </w:r>
      <w:r>
        <w:rPr>
          <w:sz w:val="22"/>
        </w:rPr>
        <w:t xml:space="preserve"> 12 → 24 students as facilitator experience grows</w:t>
      </w:r>
    </w:p>
    <w:p>
      <w:pPr>
        <w:pStyle w:val="ListBullet"/>
      </w:pPr>
      <w:r>
        <w:rPr>
          <w:sz w:val="22"/>
        </w:rPr>
      </w:r>
      <w:r>
        <w:rPr>
          <w:b/>
          <w:sz w:val="22"/>
        </w:rPr>
        <w:t>GDS cohort size:</w:t>
      </w:r>
      <w:r>
        <w:rPr>
          <w:sz w:val="22"/>
        </w:rPr>
        <w:t xml:space="preserve"> 36 students (lower cost, higher density)</w:t>
      </w:r>
    </w:p>
    <w:p>
      <w:pPr>
        <w:pStyle w:val="ListBullet"/>
      </w:pPr>
      <w:r>
        <w:rPr>
          <w:sz w:val="22"/>
        </w:rPr>
      </w:r>
      <w:r>
        <w:rPr>
          <w:b/>
          <w:sz w:val="22"/>
        </w:rPr>
        <w:t>Concurrent vendors:</w:t>
      </w:r>
      <w:r>
        <w:rPr>
          <w:sz w:val="22"/>
        </w:rPr>
        <w:t xml:space="preserve"> By Q1 2027, running 4+ vendor tracks simultaneously</w:t>
      </w:r>
    </w:p>
    <w:p>
      <w:pPr>
        <w:pStyle w:val="ListBullet"/>
      </w:pPr>
      <w:r>
        <w:rPr>
          <w:sz w:val="22"/>
        </w:rPr>
      </w:r>
      <w:r>
        <w:rPr>
          <w:b/>
          <w:sz w:val="22"/>
        </w:rPr>
        <w:t>Trainer compounding:</w:t>
      </w:r>
      <w:r>
        <w:rPr>
          <w:sz w:val="22"/>
        </w:rPr>
        <w:t xml:space="preserve"> Each cohort produces 2-3 new trainers; by Q2 2027 we produce trainers faster than we consume them</w:t>
      </w:r>
    </w:p>
    <w:p>
      <w:pPr>
        <w:pStyle w:val="Heading3"/>
      </w:pPr>
      <w:r>
        <w:t>Technology Portfolio Architecture</w:t>
      </w:r>
    </w:p>
    <w:p>
      <w:r>
        <w:rPr>
          <w:sz w:val="22"/>
        </w:rPr>
        <w:t xml:space="preserve">The program is architected for multi-vendor reuse. This is a critical strategic advantage: we are not building an Anthropic training program — we are building a </w:t>
      </w:r>
      <w:r>
        <w:rPr>
          <w:b/>
          <w:sz w:val="22"/>
        </w:rPr>
        <w:t>technology enablement engine</w:t>
      </w:r>
      <w:r>
        <w:rPr>
          <w:sz w:val="22"/>
        </w:rPr>
        <w:t xml:space="preserve"> that works across any AI platform.</w:t>
      </w:r>
    </w:p>
    <w:p>
      <w:pPr>
        <w:pStyle w:val="ListBullet"/>
      </w:pPr>
      <w:r>
        <w:rPr>
          <w:sz w:val="22"/>
        </w:rPr>
      </w:r>
      <w:r>
        <w:rPr>
          <w:b/>
          <w:sz w:val="22"/>
        </w:rPr>
        <w:t>Week 1 is vendor-specific</w:t>
      </w:r>
      <w:r>
        <w:rPr>
          <w:sz w:val="22"/>
        </w:rPr>
        <w:t xml:space="preserve"> — rebuilt per technology to cover that vendor's products, APIs, architecture patterns, and certification domains</w:t>
      </w:r>
    </w:p>
    <w:p>
      <w:pPr>
        <w:pStyle w:val="ListBullet"/>
      </w:pPr>
      <w:r>
        <w:rPr>
          <w:sz w:val="22"/>
        </w:rPr>
      </w:r>
      <w:r>
        <w:rPr>
          <w:b/>
          <w:sz w:val="22"/>
        </w:rPr>
        <w:t>Week 2 (AI-Native Build Methodology) is vendor-agnostic</w:t>
      </w:r>
      <w:r>
        <w:rPr>
          <w:sz w:val="22"/>
        </w:rPr>
        <w:t xml:space="preserve"> — reusable as-is across all technologies. Specs, harnesses, collaboration patterns, testing, deployment, and communications apply regardless of the underlying AI platform</w:t>
      </w:r>
    </w:p>
    <w:p>
      <w:pPr>
        <w:pStyle w:val="ListBullet"/>
      </w:pPr>
      <w:r>
        <w:rPr>
          <w:sz w:val="22"/>
        </w:rPr>
        <w:t xml:space="preserve">Each new vendor Week 1 requires approximately </w:t>
      </w:r>
      <w:r>
        <w:rPr>
          <w:b/>
          <w:sz w:val="22"/>
        </w:rPr>
        <w:t>half the design effort</w:t>
      </w:r>
      <w:r>
        <w:rPr>
          <w:sz w:val="22"/>
        </w:rPr>
        <w:t xml:space="preserve"> of the initial Anthropic Week 1 — the pedagogical structure, lab format, and assessment framework are all reused</w:t>
      </w:r>
    </w:p>
    <w:p>
      <w:r>
        <w:rPr>
          <w:sz w:val="22"/>
        </w:rPr>
        <w:t>The train-the-trainer model compounds across technologies: a facilitator who has run the Anthropic cohort can run the OpenAI or AWS cohort with only Week 1 retraining, because the AI-Native Build Methodology skills transfer directly.</w:t>
      </w:r>
    </w:p>
    <w:p>
      <w:pPr>
        <w:pStyle w:val="Heading3"/>
      </w:pPr>
      <w:r>
        <w:t>Geographic Reach</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Geography</w:t>
            </w:r>
          </w:p>
        </w:tc>
        <w:tc>
          <w:tcPr>
            <w:tcW w:type="dxa" w:w="2160"/>
          </w:tcPr>
          <w:p>
            <w:r>
              <w:rPr>
                <w:b/>
              </w:rPr>
              <w:t>Cohort Size</w:t>
            </w:r>
          </w:p>
        </w:tc>
        <w:tc>
          <w:tcPr>
            <w:tcW w:type="dxa" w:w="2160"/>
          </w:tcPr>
          <w:p>
            <w:r>
              <w:rPr>
                <w:b/>
              </w:rPr>
              <w:t>Cost/Student</w:t>
            </w:r>
          </w:p>
        </w:tc>
        <w:tc>
          <w:tcPr>
            <w:tcW w:type="dxa" w:w="2160"/>
          </w:tcPr>
          <w:p>
            <w:r>
              <w:rPr>
                <w:b/>
              </w:rPr>
              <w:t>Strategic Value</w:t>
            </w:r>
          </w:p>
        </w:tc>
      </w:tr>
      <w:tr>
        <w:tc>
          <w:tcPr>
            <w:tcW w:type="dxa" w:w="2160"/>
          </w:tcPr>
          <w:p>
            <w:r>
              <w:t>**US (multi-city)**</w:t>
            </w:r>
          </w:p>
        </w:tc>
        <w:tc>
          <w:tcPr>
            <w:tcW w:type="dxa" w:w="2160"/>
          </w:tcPr>
          <w:p>
            <w:r>
              <w:t>12 → 24</w:t>
            </w:r>
          </w:p>
        </w:tc>
        <w:tc>
          <w:tcPr>
            <w:tcW w:type="dxa" w:w="2160"/>
          </w:tcPr>
          <w:p>
            <w:r>
              <w:t>~$12,000-24,000</w:t>
            </w:r>
          </w:p>
        </w:tc>
        <w:tc>
          <w:tcPr>
            <w:tcW w:type="dxa" w:w="2160"/>
          </w:tcPr>
          <w:p>
            <w:r>
              <w:t>Client-facing delivery bench, trainer pipeline</w:t>
            </w:r>
          </w:p>
        </w:tc>
      </w:tr>
      <w:tr>
        <w:tc>
          <w:tcPr>
            <w:tcW w:type="dxa" w:w="2160"/>
          </w:tcPr>
          <w:p>
            <w:r>
              <w:t>**GDS India** (Bangalore, Hyderabad)</w:t>
            </w:r>
          </w:p>
        </w:tc>
        <w:tc>
          <w:tcPr>
            <w:tcW w:type="dxa" w:w="2160"/>
          </w:tcPr>
          <w:p>
            <w:r>
              <w:t>36</w:t>
            </w:r>
          </w:p>
        </w:tc>
        <w:tc>
          <w:tcPr>
            <w:tcW w:type="dxa" w:w="2160"/>
          </w:tcPr>
          <w:p>
            <w:r>
              <w:t>~$5,000-7,500</w:t>
            </w:r>
          </w:p>
        </w:tc>
        <w:tc>
          <w:tcPr>
            <w:tcW w:type="dxa" w:w="2160"/>
          </w:tcPr>
          <w:p>
            <w:r>
              <w:t>Cost-efficient scale, 24/7 delivery capability</w:t>
            </w:r>
          </w:p>
        </w:tc>
      </w:tr>
      <w:tr>
        <w:tc>
          <w:tcPr>
            <w:tcW w:type="dxa" w:w="2160"/>
          </w:tcPr>
          <w:p>
            <w:r>
              <w:t>**GDS Mexico** (Mexico City, Guadalajara)</w:t>
            </w:r>
          </w:p>
        </w:tc>
        <w:tc>
          <w:tcPr>
            <w:tcW w:type="dxa" w:w="2160"/>
          </w:tcPr>
          <w:p>
            <w:r>
              <w:t>36</w:t>
            </w:r>
          </w:p>
        </w:tc>
        <w:tc>
          <w:tcPr>
            <w:tcW w:type="dxa" w:w="2160"/>
          </w:tcPr>
          <w:p>
            <w:r>
              <w:t>~$4,000-6,000</w:t>
            </w:r>
          </w:p>
        </w:tc>
        <w:tc>
          <w:tcPr>
            <w:tcW w:type="dxa" w:w="2160"/>
          </w:tcPr>
          <w:p>
            <w:r>
              <w:t>Nearshore bench, US time zone alignment</w:t>
            </w:r>
          </w:p>
        </w:tc>
      </w:tr>
    </w:tbl>
    <w:p>
      <w:pPr>
        <w:pStyle w:val="Heading2"/>
      </w:pPr>
      <w:r>
        <w:t>Appendix</w:t>
      </w:r>
    </w:p>
    <w:p>
      <w:pPr>
        <w:pStyle w:val="Heading3"/>
      </w:pPr>
      <w:r>
        <w:t>Vendor Overview</w:t>
      </w:r>
    </w:p>
    <w:p>
      <w:r>
        <w:rPr>
          <w:sz w:val="22"/>
        </w:rPr>
      </w:r>
      <w:r>
        <w:rPr>
          <w:b/>
          <w:sz w:val="22"/>
        </w:rPr>
        <w:t>Anthropic</w:t>
      </w:r>
      <w:r>
        <w:rPr>
          <w:sz w:val="22"/>
        </w:rPr>
        <w:t xml:space="preserve"> (founded 2021, San Francisco) is an AI safety company building frontier AI systems. Their Claude model family includes:</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Tier</w:t>
            </w:r>
          </w:p>
        </w:tc>
        <w:tc>
          <w:tcPr>
            <w:tcW w:type="dxa" w:w="2160"/>
          </w:tcPr>
          <w:p>
            <w:r>
              <w:rPr>
                <w:b/>
              </w:rPr>
              <w:t>Context Window</w:t>
            </w:r>
          </w:p>
        </w:tc>
        <w:tc>
          <w:tcPr>
            <w:tcW w:type="dxa" w:w="2160"/>
          </w:tcPr>
          <w:p>
            <w:r>
              <w:rPr>
                <w:b/>
              </w:rPr>
              <w:t>Best For</w:t>
            </w:r>
          </w:p>
        </w:tc>
      </w:tr>
      <w:tr>
        <w:tc>
          <w:tcPr>
            <w:tcW w:type="dxa" w:w="2160"/>
          </w:tcPr>
          <w:p>
            <w:r>
              <w:t>Claude Opus 4.6</w:t>
            </w:r>
          </w:p>
        </w:tc>
        <w:tc>
          <w:tcPr>
            <w:tcW w:type="dxa" w:w="2160"/>
          </w:tcPr>
          <w:p>
            <w:r>
              <w:t>Flagship</w:t>
            </w:r>
          </w:p>
        </w:tc>
        <w:tc>
          <w:tcPr>
            <w:tcW w:type="dxa" w:w="2160"/>
          </w:tcPr>
          <w:p>
            <w:r>
              <w:t>1M tokens</w:t>
            </w:r>
          </w:p>
        </w:tc>
        <w:tc>
          <w:tcPr>
            <w:tcW w:type="dxa" w:w="2160"/>
          </w:tcPr>
          <w:p>
            <w:r>
              <w:t>Deep reasoning, complex analysis, coding</w:t>
            </w:r>
          </w:p>
        </w:tc>
      </w:tr>
      <w:tr>
        <w:tc>
          <w:tcPr>
            <w:tcW w:type="dxa" w:w="2160"/>
          </w:tcPr>
          <w:p>
            <w:r>
              <w:t>Claude Sonnet 4.6</w:t>
            </w:r>
          </w:p>
        </w:tc>
        <w:tc>
          <w:tcPr>
            <w:tcW w:type="dxa" w:w="2160"/>
          </w:tcPr>
          <w:p>
            <w:r>
              <w:t>Balanced</w:t>
            </w:r>
          </w:p>
        </w:tc>
        <w:tc>
          <w:tcPr>
            <w:tcW w:type="dxa" w:w="2160"/>
          </w:tcPr>
          <w:p>
            <w:r>
              <w:t>200K tokens</w:t>
            </w:r>
          </w:p>
        </w:tc>
        <w:tc>
          <w:tcPr>
            <w:tcW w:type="dxa" w:w="2160"/>
          </w:tcPr>
          <w:p>
            <w:r>
              <w:t>Speed/quality balance, general tasks</w:t>
            </w:r>
          </w:p>
        </w:tc>
      </w:tr>
      <w:tr>
        <w:tc>
          <w:tcPr>
            <w:tcW w:type="dxa" w:w="2160"/>
          </w:tcPr>
          <w:p>
            <w:r>
              <w:t>Claude Haiku 4.5</w:t>
            </w:r>
          </w:p>
        </w:tc>
        <w:tc>
          <w:tcPr>
            <w:tcW w:type="dxa" w:w="2160"/>
          </w:tcPr>
          <w:p>
            <w:r>
              <w:t>Fast</w:t>
            </w:r>
          </w:p>
        </w:tc>
        <w:tc>
          <w:tcPr>
            <w:tcW w:type="dxa" w:w="2160"/>
          </w:tcPr>
          <w:p>
            <w:r>
              <w:t>200K tokens</w:t>
            </w:r>
          </w:p>
        </w:tc>
        <w:tc>
          <w:tcPr>
            <w:tcW w:type="dxa" w:w="2160"/>
          </w:tcPr>
          <w:p>
            <w:r>
              <w:t>High throughput, cost efficiency</w:t>
            </w:r>
          </w:p>
        </w:tc>
      </w:tr>
    </w:tbl>
    <w:p>
      <w:r>
        <w:rPr>
          <w:sz w:val="22"/>
        </w:rPr>
      </w:r>
      <w:r>
        <w:rPr>
          <w:b/>
          <w:sz w:val="22"/>
        </w:rPr>
        <w:t>Key platform capabilities:</w:t>
      </w:r>
      <w:r>
        <w:rPr>
          <w:sz w:val="22"/>
        </w:rPr>
        <w:t xml:space="preserve"> Messages API, tool use/function calling, vision, PDF processing, extended thinking, streaming, batch processing, prompt caching, citations, Claude Code (agentic CLI), Agent SDK.</w:t>
      </w:r>
    </w:p>
    <w:p>
      <w:r>
        <w:rPr>
          <w:sz w:val="22"/>
        </w:rPr>
      </w:r>
      <w:r>
        <w:rPr>
          <w:b/>
          <w:sz w:val="22"/>
        </w:rPr>
        <w:t>Cloud availability:</w:t>
      </w:r>
      <w:r>
        <w:rPr>
          <w:sz w:val="22"/>
        </w:rPr>
        <w:t xml:space="preserve"> Amazon Bedrock, Google Cloud Vertex AI.</w:t>
      </w:r>
    </w:p>
    <w:p>
      <w:r>
        <w:rPr>
          <w:sz w:val="22"/>
        </w:rPr>
      </w:r>
      <w:r>
        <w:rPr>
          <w:b/>
          <w:sz w:val="22"/>
        </w:rPr>
        <w:t>Enterprise posture:</w:t>
      </w:r>
      <w:r>
        <w:rPr>
          <w:sz w:val="22"/>
        </w:rPr>
        <w:t xml:space="preserve"> SOC 2 compliant, HIPAA eligible, enterprise SLAs available.</w:t>
      </w:r>
    </w:p>
    <w:p>
      <w:pPr>
        <w:pStyle w:val="Heading3"/>
      </w:pPr>
      <w:r>
        <w:t>References</w:t>
      </w:r>
    </w:p>
    <w:p>
      <w:pPr>
        <w:pStyle w:val="ListBullet"/>
      </w:pPr>
      <w:r>
        <w:rPr>
          <w:sz w:val="22"/>
        </w:rPr>
        <w:t>Anthropic Developer Documentation: docs.anthropic.com</w:t>
      </w:r>
    </w:p>
    <w:p>
      <w:pPr>
        <w:pStyle w:val="ListBullet"/>
      </w:pPr>
      <w:r>
        <w:rPr>
          <w:sz w:val="22"/>
        </w:rPr>
        <w:t>Anthropic Cookbook: github.com/anthropics/anthropic-cookbook</w:t>
      </w:r>
    </w:p>
    <w:p>
      <w:pPr>
        <w:pStyle w:val="ListBullet"/>
      </w:pPr>
      <w:r>
        <w:rPr>
          <w:sz w:val="22"/>
        </w:rPr>
        <w:t>Anthropic Courses: github.com/anthropics/courses</w:t>
      </w:r>
    </w:p>
    <w:p>
      <w:pPr>
        <w:pStyle w:val="ListBullet"/>
      </w:pPr>
      <w:r>
        <w:rPr>
          <w:sz w:val="22"/>
        </w:rPr>
        <w:t>Claude Certified Architect Program: anthropic.com/certifications</w:t>
      </w:r>
    </w:p>
    <w:p>
      <w:r>
        <w:rPr>
          <w:sz w:val="22"/>
        </w:rPr>
      </w:r>
      <w:r>
        <w:rPr>
          <w:i/>
          <w:sz w:val="22"/>
        </w:rPr>
        <w:t>Generated by Forge — Anthropic Enablement Program 2026</w:t>
      </w:r>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