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b/>
          <w:color w:val="1F497D"/>
          <w:sz w:val="56"/>
        </w:rPr>
        <w:t>Data Lake Architecture</w:t>
      </w:r>
    </w:p>
    <w:p>
      <w:pPr>
        <w:spacing w:after="120"/>
        <w:jc w:val="center"/>
      </w:pPr>
      <w:r>
        <w:rPr>
          <w:b/>
          <w:color w:val="2E74B5"/>
          <w:sz w:val="40"/>
        </w:rPr>
        <w:t>Improvement Recommendations</w:t>
      </w:r>
    </w:p>
    <w:p>
      <w:pPr>
        <w:spacing w:after="120"/>
        <w:jc w:val="center"/>
      </w:pPr>
      <w:r>
        <w:rPr>
          <w:i/>
          <w:color w:val="00707F"/>
          <w:sz w:val="24"/>
        </w:rPr>
        <w:t>Current State Analysis · Gap Assessment · Future State Blueprint</w:t>
      </w:r>
    </w:p>
    <w:p>
      <w:pPr>
        <w:spacing w:after="80"/>
        <w:jc w:val="center"/>
      </w:pPr>
      <w:r>
        <w:rPr>
          <w:color w:val="606060"/>
          <w:sz w:val="20"/>
        </w:rPr>
        <w:t>OnPoint Insights LLC  |  Lake Deploy Platform  |  2026-02-20</w:t>
      </w:r>
    </w:p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Executive Summary</w:t>
      </w:r>
    </w:p>
    <w:p>
      <w:pPr>
        <w:pBdr>
          <w:bottom w:val="single" w:sz="6" w:space="1" w:color="2E74B5"/>
        </w:pBdr>
        <w:spacing w:before="80" w:after="120"/>
      </w:pPr>
    </w:p>
    <w:p>
      <w:pPr>
        <w:spacing w:after="100"/>
      </w:pPr>
      <w:r>
        <w:rPr>
          <w:sz w:val="20"/>
        </w:rPr>
        <w:t>The lake_deploy data platform is built on a well-structured medallion architecture (Raw → Curated → SSOT) with strong governance, evidence-backed SSOT certification, and comprehensive multi-source reconciliation. The platform successfully integrates five data sources (Gaiia, VETRO, Platt, Intacct, Salesforce) with rigorous data quality gates.</w:t>
      </w:r>
    </w:p>
    <w:p>
      <w:pPr>
        <w:spacing w:after="100"/>
      </w:pPr>
      <w:r>
        <w:rPr>
          <w:sz w:val="20"/>
        </w:rPr>
        <w:t>However, a comprehensive architectural audit reveals ten structural gaps that — while manageable today — become critical scalability, reliability, and cost bottlenecks as data volume and tenant count grow. This document details each gap, its business impact, and the recommended future-state architecture.</w:t>
      </w:r>
    </w:p>
    <w:p>
      <w:pPr>
        <w:spacing w:before="120" w:after="120"/>
        <w:ind w:left="432" w:right="432"/>
        <w:pBdr>
          <w:top w:val="single" w:sz="12" w:space="4" w:color="C55A11"/>
          <w:left w:val="single" w:sz="12" w:space="4" w:color="C55A11"/>
          <w:bottom w:val="single" w:sz="12" w:space="4" w:color="C55A11"/>
          <w:right w:val="single" w:sz="12" w:space="4" w:color="C55A11"/>
        </w:pBdr>
        <w:shd w:val="clear" w:color="auto" w:fill="FFF3CD"/>
      </w:pPr>
      <w:r>
        <w:rPr>
          <w:color w:val="C55A11"/>
          <w:sz w:val="20"/>
        </w:rPr>
        <w:t>⚠  KEY FINDING: 92% of the curated layer (109 of 118 entities) are virtual Athena views with zero physical storage. Every dashboard query re-scans raw JSONL/CSV on S3. At current scale this is manageable; at 5–10× growth this becomes the primary cost and latency bottleneck.</w:t>
      </w:r>
    </w:p>
    <w:p/>
    <w:p>
      <w:pPr>
        <w:spacing w:before="240" w:after="80"/>
      </w:pPr>
      <w:r>
        <w:rPr>
          <w:b/>
          <w:color w:val="2E74B5"/>
          <w:sz w:val="28"/>
        </w:rPr>
        <w:t>Architectural Scorecard — Current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032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44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1152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Curated Layer Materialization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92% virtual views — no physical storage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🔴 High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Pipeline Orchestration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Sequential bash + EventBridge, no DAG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🔴 High</w:t>
            </w:r>
          </w:p>
        </w:tc>
        <w:tc>
          <w:tcPr>
            <w:tcW w:type="dxa" w:w="1152"/>
            <w:vAlign w:val="center"/>
            <w:shd w:val="clear" w:color="auto" w:fill="EEF4FB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Checkpoint &amp; Recovery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File-based; full restart on failure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🔴 High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Schema Drift Detection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Glue crawlers detect but don't alert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🟠 Medium</w:t>
            </w:r>
          </w:p>
        </w:tc>
        <w:tc>
          <w:tcPr>
            <w:tcW w:type="dxa" w:w="1152"/>
            <w:vAlign w:val="center"/>
            <w:shd w:val="clear" w:color="auto" w:fill="EEF4FB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Incremental Loads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Full daily CTAS rebuild of all tables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🟠 Medium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Only Gaiia is tenant-partitioned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🟠 Medium</w:t>
            </w:r>
          </w:p>
        </w:tc>
        <w:tc>
          <w:tcPr>
            <w:tcW w:type="dxa" w:w="1152"/>
            <w:vAlign w:val="center"/>
            <w:shd w:val="clear" w:color="auto" w:fill="EEF4FB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Data Quality Framework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Exceptions captured, not monitored live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🟠 Medium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SSOT Crosswalk (non-1:1)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SF→Intacct many-to-many unresolved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🟠 Medium</w:t>
            </w:r>
          </w:p>
        </w:tc>
        <w:tc>
          <w:tcPr>
            <w:tcW w:type="dxa" w:w="1152"/>
            <w:vAlign w:val="center"/>
            <w:shd w:val="clear" w:color="auto" w:fill="EEF4FB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Infrastructure as Code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Glue crawlers, AppFlow not in IaC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🟡 Low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Observability &amp; Cost Tracking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No freshness SLA alarms, no Athena cost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🟡 Low</w:t>
            </w:r>
          </w:p>
        </w:tc>
        <w:tc>
          <w:tcPr>
            <w:tcW w:type="dxa" w:w="1152"/>
            <w:vAlign w:val="center"/>
            <w:shd w:val="clear" w:color="auto" w:fill="EEF4FB"/>
          </w:tcPr>
          <w:p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1: Materialize the Curated Layer</w:t>
      </w:r>
    </w:p>
    <w:p>
      <w:pPr>
        <w:pBdr>
          <w:bottom w:val="single" w:sz="6" w:space="1" w:color="1A7A40"/>
        </w:pBdr>
        <w:spacing w:before="80" w:after="120"/>
      </w:pPr>
    </w:p>
    <w:p>
      <w:pPr>
        <w:spacing w:before="240" w:after="80"/>
      </w:pPr>
      <w:r>
        <w:rPr>
          <w:b/>
          <w:color w:val="1A7A40"/>
          <w:sz w:val="28"/>
        </w:rPr>
        <w:t>1.1  Current State — The Problem</w:t>
      </w:r>
    </w:p>
    <w:p>
      <w:pPr>
        <w:spacing w:after="100"/>
      </w:pPr>
      <w:r>
        <w:rPr>
          <w:sz w:val="20"/>
        </w:rPr>
        <w:t>The curated layer contains 109 virtual Athena views and only 18 physical Parquet tables. Every query against a curated view triggers a full chain of raw S3 scans: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Dashboard query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→ gaiia_subscriptions_services_current  (VIEW)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→ gaiia_billing_subscriptions_current  (VIEW)  ← raw JSONL scan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→ gaiia_products_current              (VIEW)  ← raw JSONL scan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   → json_extract + UNNEST + ROW_NUMBER()    ← CPU-intensive at scale</w:t>
      </w:r>
    </w:p>
    <w:p>
      <w:pPr>
        <w:spacing w:after="100"/>
      </w:pPr>
      <w:r>
        <w:rPr>
          <w:sz w:val="20"/>
        </w:rPr>
        <w:t>Concrete consequences at scale: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Athena charges $5/TB scanned. Views re-scan the same raw data for every query.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5 concurrent dashboard users = 5× parallel full S3 scans with zero result reuse.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JSON extraction (json_parse, UNNEST, json_extract_scalar) is non-vectorized — CPU scales linearly with row count.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ROW_NUMBER() dedup windows require full partition sort before returning rn=1 rows.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Documented in codebase: '⚠ Large queries (&gt;100K rows) may timeout — use LIMIT clauses'</w:t>
      </w:r>
    </w:p>
    <w:p/>
    <w:p>
      <w:pPr>
        <w:spacing w:before="240" w:after="80"/>
      </w:pPr>
      <w:r>
        <w:rPr>
          <w:b/>
          <w:color w:val="1A7A40"/>
          <w:sz w:val="28"/>
        </w:rPr>
        <w:t>1.2  Future State — Materialized Medallion Architecture</w:t>
      </w:r>
    </w:p>
    <w:p>
      <w:pPr>
        <w:spacing w:after="100"/>
      </w:pPr>
      <w:r>
        <w:rPr>
          <w:sz w:val="20"/>
        </w:rPr>
        <w:t>Shift from a view-first to a materialize-first design. The expensive JSON parsing and deduplication runs once per day in the pipeline; all downstream consumers read pre-built Parquet files.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600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608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sz w:val="18"/>
              </w:rPr>
              <w:t>Raw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JSONL/CSV on S3 (unchanged)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sz w:val="18"/>
              </w:rPr>
              <w:t>JSONL/CSV on S3 (unchanged) — immutable</w:t>
            </w:r>
          </w:p>
        </w:tc>
      </w:tr>
      <w:tr>
        <w:tc>
          <w:tcPr>
            <w:tcW w:type="dxa" w:w="1872"/>
            <w:vAlign w:val="center"/>
            <w:shd w:val="clear" w:color="auto" w:fill="EEF4FB"/>
          </w:tcPr>
          <w:p>
            <w:r>
              <w:rPr>
                <w:sz w:val="18"/>
              </w:rPr>
              <w:t>Curated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109 virtual views re-scan raw every query</w:t>
            </w:r>
          </w:p>
        </w:tc>
        <w:tc>
          <w:tcPr>
            <w:tcW w:type="dxa" w:w="4608"/>
            <w:vAlign w:val="center"/>
            <w:shd w:val="clear" w:color="auto" w:fill="EEF4FB"/>
          </w:tcPr>
          <w:p>
            <w:r>
              <w:rPr>
                <w:sz w:val="18"/>
              </w:rPr>
              <w:t>Daily Parquet snapshots written once; thin views on top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sz w:val="18"/>
              </w:rPr>
              <w:t>SSOT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18 physical + views on top of views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sz w:val="18"/>
              </w:rPr>
              <w:t>Iceberg tables with MERGE INTO upserts + time-travel</w:t>
            </w:r>
          </w:p>
        </w:tc>
      </w:tr>
      <w:tr>
        <w:tc>
          <w:tcPr>
            <w:tcW w:type="dxa" w:w="1872"/>
            <w:vAlign w:val="center"/>
            <w:shd w:val="clear" w:color="auto" w:fill="EEF4FB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Live query → raw S3 every page load</w:t>
            </w:r>
          </w:p>
        </w:tc>
        <w:tc>
          <w:tcPr>
            <w:tcW w:type="dxa" w:w="4608"/>
            <w:vAlign w:val="center"/>
            <w:shd w:val="clear" w:color="auto" w:fill="EEF4FB"/>
          </w:tcPr>
          <w:p>
            <w:r>
              <w:rPr>
                <w:sz w:val="18"/>
              </w:rPr>
              <w:t>Query pre-materialized Parquet (~MBs vs ~GBs scanned)</w:t>
            </w:r>
          </w:p>
        </w:tc>
      </w:tr>
    </w:tbl>
    <w:p/>
    <w:p>
      <w:pPr>
        <w:spacing w:before="160" w:after="60"/>
      </w:pPr>
      <w:r>
        <w:rPr>
          <w:b/>
          <w:color w:val="1F497D"/>
          <w:sz w:val="23"/>
        </w:rPr>
        <w:t>Implementation Pattern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-- Step 1: Materialization job runs ONCE daily in orchestration pipeline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INSERT INTO curated_core.gaiia_accounts_snapshot  -- Parquet, partitioned by dt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id, name, tenant, updatedat, customfields,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current_date AS dt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FROM curated_core.gaiia_accounts_current          -- expensive JSON extraction runs ONCE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WHERE dt = current_date;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-- Step 2: Views become thin wrappers on Parquet (fast!)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CREATE OR REPLACE VIEW curated_core.gaiia_accounts_current AS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SELECT * FROM curated_core.gaiia_accounts_snapshot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WHERE dt = (SELECT MAX(dt) FROM curated_core.gaiia_accounts_snapshot);</w:t>
      </w:r>
    </w:p>
    <w:p/>
    <w:p>
      <w:pPr>
        <w:spacing w:before="160" w:after="60"/>
      </w:pPr>
      <w:r>
        <w:rPr>
          <w:b/>
          <w:color w:val="1F497D"/>
          <w:sz w:val="23"/>
        </w:rPr>
        <w:t>Migrate High-Churn Entities to Apache Iceberg</w:t>
      </w:r>
    </w:p>
    <w:p>
      <w:pPr>
        <w:spacing w:after="100"/>
      </w:pPr>
      <w:r>
        <w:rPr>
          <w:sz w:val="20"/>
        </w:rPr>
        <w:t>For entities updated continuously (customers, invoices, subscriptions), use Iceberg tables in Athena for ACID upserts, time-travel, and automatic compaction: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CREATE TABLE curated_core.gaiia_customers_iceberg (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gaiia_account_id STRING, account_name STRING, tenant STRING, updatedat TIMESTAMP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LOCATION 's3://gwi-raw-us-east-2-pc/curated_iceberg/gaiia_customers/'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TBLPROPERTIES ('table_type' = 'ICEBERG');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-- Upsert (replaces full daily CTAS rebuild)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MERGE INTO curated_core.gaiia_customers_iceberg 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USING staging s ON t.gaiia_account_id = s.gaiia_account_id AND t.tenant = s.tenant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WHEN MATCHED THEN UPDATE SET ...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WHEN NOT MATCHED THEN INSERT VALUES (...);</w:t>
      </w:r>
    </w:p>
    <w:p/>
    <w:p>
      <w:pPr>
        <w:spacing w:before="160" w:after="60"/>
      </w:pPr>
      <w:r>
        <w:rPr>
          <w:b/>
          <w:color w:val="1F497D"/>
          <w:sz w:val="23"/>
        </w:rPr>
        <w:t>Immediate Quick Win — Athena Query Result Reuse</w:t>
      </w:r>
    </w:p>
    <w:p>
      <w:pPr>
        <w:spacing w:after="100"/>
      </w:pPr>
      <w:r>
        <w:rPr>
          <w:sz w:val="20"/>
        </w:rPr>
        <w:t>Enable at workgroup level — zero code change, immediate benefit for concurrent users: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"ResultReuseConfiguration": {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"ResultReuseByAgeConfiguration": { "Enabled": true, "MaxAgeInMinutes": 60 }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600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After Materialization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Athena scan per dashboard query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~10–50 GB (raw JSONL)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~10–100 MB (Parquet snapshot)</w:t>
            </w:r>
          </w:p>
        </w:tc>
      </w:tr>
      <w:tr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Cost per dashboard load</w:t>
            </w:r>
          </w:p>
        </w:tc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$0.05–$0.25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&lt;$0.001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Query latency (p95)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15–60 seconds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1–3 seconds</w:t>
            </w:r>
          </w:p>
        </w:tc>
      </w:tr>
      <w:tr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Concurrent users supported</w:t>
            </w:r>
          </w:p>
        </w:tc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2–3 before contention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50+ (reads cached Parquet)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JSON parsing overhead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Every query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Once per day in pipeline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2: Pipeline Orchestration — DAG-Based Dependency Management</w:t>
      </w:r>
    </w:p>
    <w:p>
      <w:pPr>
        <w:pBdr>
          <w:bottom w:val="single" w:sz="6" w:space="1" w:color="C55A11"/>
        </w:pBdr>
        <w:spacing w:before="80" w:after="120"/>
      </w:pPr>
    </w:p>
    <w:p>
      <w:pPr>
        <w:spacing w:before="240" w:after="80"/>
      </w:pPr>
      <w:r>
        <w:rPr>
          <w:b/>
          <w:color w:val="C55A11"/>
          <w:sz w:val="28"/>
        </w:rPr>
        <w:t>2.1  Current State — The Problem</w:t>
      </w:r>
    </w:p>
    <w:p>
      <w:pPr>
        <w:spacing w:after="100"/>
      </w:pPr>
      <w:r>
        <w:rPr>
          <w:sz w:val="20"/>
        </w:rPr>
        <w:t>Pipelines run sequentially via bash wrappers and EventBridge schedules. There is no explicit task dependency graph, which creates silent failure modes: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If the Glue crawler fails, downstream CTAS runs on stale data — silently.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No cross-component dependency enforcement between Glue → CTAS → manifests.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Intacct backfill restarts from the beginning if a checkpoint prefix is lost.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Vetro rate-limit recovery (429) requires manual next invocation check.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No SLA enforcement: documented ≤1-day lag has no alarm if breached.</w:t>
      </w:r>
    </w:p>
    <w:p/>
    <w:p>
      <w:pPr>
        <w:spacing w:before="240" w:after="80"/>
      </w:pPr>
      <w:r>
        <w:rPr>
          <w:b/>
          <w:color w:val="C55A11"/>
          <w:sz w:val="28"/>
        </w:rPr>
        <w:t>2.2  Future State — DAG-Driven with Dependency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600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320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sz w:val="18"/>
              </w:rPr>
              <w:t>Scheduling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EventBridge rate() — time-based only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sz w:val="18"/>
              </w:rPr>
              <w:t>Step Functions / MWAA with task dependencies</w:t>
            </w:r>
          </w:p>
        </w:tc>
      </w:tr>
      <w:tr>
        <w:tc>
          <w:tcPr>
            <w:tcW w:type="dxa" w:w="2160"/>
            <w:vAlign w:val="center"/>
            <w:shd w:val="clear" w:color="auto" w:fill="EEF4FB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Silent — downstream runs on stale data</w:t>
            </w:r>
          </w:p>
        </w:tc>
        <w:tc>
          <w:tcPr>
            <w:tcW w:type="dxa" w:w="4320"/>
            <w:vAlign w:val="center"/>
            <w:shd w:val="clear" w:color="auto" w:fill="EEF4FB"/>
          </w:tcPr>
          <w:p>
            <w:r>
              <w:rPr>
                <w:sz w:val="18"/>
              </w:rPr>
              <w:t>Upstream gate blocks downstream on failure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sz w:val="18"/>
              </w:rPr>
              <w:t>Retry logic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Manual re-trigger required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sz w:val="18"/>
              </w:rPr>
              <w:t>Exponential backoff with configurable retry count</w:t>
            </w:r>
          </w:p>
        </w:tc>
      </w:tr>
      <w:tr>
        <w:tc>
          <w:tcPr>
            <w:tcW w:type="dxa" w:w="2160"/>
            <w:vAlign w:val="center"/>
            <w:shd w:val="clear" w:color="auto" w:fill="EEF4FB"/>
          </w:tcPr>
          <w:p>
            <w:r>
              <w:rPr>
                <w:sz w:val="18"/>
              </w:rPr>
              <w:t>Checkpointing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File-based (plan_index.json) — fragile</w:t>
            </w:r>
          </w:p>
        </w:tc>
        <w:tc>
          <w:tcPr>
            <w:tcW w:type="dxa" w:w="4320"/>
            <w:vAlign w:val="center"/>
            <w:shd w:val="clear" w:color="auto" w:fill="EEF4FB"/>
          </w:tcPr>
          <w:p>
            <w:r>
              <w:rPr>
                <w:sz w:val="18"/>
              </w:rPr>
              <w:t>DynamoDB checkpoint ledger — atomic, resumable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</w:tcPr>
          <w:p>
            <w:r>
              <w:rPr>
                <w:sz w:val="18"/>
              </w:rPr>
              <w:t>SLA enforcement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Documented but not alarmed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sz w:val="18"/>
              </w:rPr>
              <w:t>CloudWatch Alarm on max_dt age &gt; 26 hours</w:t>
            </w:r>
          </w:p>
        </w:tc>
      </w:tr>
      <w:tr>
        <w:tc>
          <w:tcPr>
            <w:tcW w:type="dxa" w:w="2160"/>
            <w:vAlign w:val="center"/>
            <w:shd w:val="clear" w:color="auto" w:fill="EEF4FB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Poll-based on next_allowed_ts</w:t>
            </w:r>
          </w:p>
        </w:tc>
        <w:tc>
          <w:tcPr>
            <w:tcW w:type="dxa" w:w="4320"/>
            <w:vAlign w:val="center"/>
            <w:shd w:val="clear" w:color="auto" w:fill="EEF4FB"/>
          </w:tcPr>
          <w:p>
            <w:r>
              <w:rPr>
                <w:sz w:val="18"/>
              </w:rPr>
              <w:t>SQS delay queue — event-driven, no polling</w:t>
            </w:r>
          </w:p>
        </w:tc>
      </w:tr>
    </w:tbl>
    <w:p/>
    <w:p>
      <w:pPr>
        <w:spacing w:before="160" w:after="60"/>
      </w:pPr>
      <w:r>
        <w:rPr>
          <w:b/>
          <w:color w:val="1F497D"/>
          <w:sz w:val="23"/>
        </w:rPr>
        <w:t>Proposed Daily Pipeline DAG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START (02:00 UTC)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├─ [parallel] Gaiia Lambda ingest   → assert raw partition exists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├─ [parallel] Vetro Lambda ingest    → assert raw partition exists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├─ [parallel] Platt Glue crawler     → assert table updated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├─ [parallel] Intacct ECS task       → assert checkpoint advanced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└─ [parallel] Salesforce AppFlow     → assert row count &gt; yesterday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 ↓ ALL PASS (gate)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├─ [parallel] Materialize curated snapshots per entity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├─ [parallel] Run DQ checks + populate dq_run_log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 ↓ DQ PASS (gate: exception_rate &lt; threshold)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├─ [parallel] SSOT certification queries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└─ Write daily manifest + update SSOT dashboard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END — total target: &lt; 45 minutes</w:t>
      </w:r>
    </w:p>
    <w:p/>
    <w:p>
      <w:pPr>
        <w:spacing w:before="160" w:after="60"/>
      </w:pPr>
      <w:r>
        <w:rPr>
          <w:b/>
          <w:color w:val="1F497D"/>
          <w:sz w:val="23"/>
        </w:rPr>
        <w:t>DynamoDB Checkpoint Ledger — Replace File-Based State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Table: vetro_pipeline_checkpoints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PK: source#entity  |  SK: run_date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Fields: last_cursor, status, part_count, updated_at, error_msg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-- Resume: read last successful cursor atomically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-- Re-run is safe: same run_date overwrites same PK/SK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-- Failure: status='FAILED' visible in ops dashboard</w:t>
      </w:r>
    </w:p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3: Partition Strategy &amp; File Format Standardisation</w:t>
      </w:r>
    </w:p>
    <w:p>
      <w:pPr>
        <w:pBdr>
          <w:bottom w:val="single" w:sz="6" w:space="1" w:color="00707F"/>
        </w:pBdr>
        <w:spacing w:before="80" w:after="120"/>
      </w:pPr>
    </w:p>
    <w:p>
      <w:pPr>
        <w:spacing w:before="240" w:after="80"/>
      </w:pPr>
      <w:r>
        <w:rPr>
          <w:b/>
          <w:color w:val="00707F"/>
          <w:sz w:val="28"/>
        </w:rPr>
        <w:t>3.1  Current State — The Problem</w:t>
      </w:r>
    </w:p>
    <w:p>
      <w:pPr>
        <w:spacing w:after="100"/>
      </w:pPr>
      <w:r>
        <w:rPr>
          <w:sz w:val="20"/>
        </w:rPr>
        <w:t>Inconsistent partition keys, mixed formats, and no file-size management across sources: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Partition key naming: dt (curated) vs run_date (orchestration) vs none (raw Platt/Salesforce).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Platt raw: unquoted pipe-delimited CSV — embedded pipes or newlines silently corrupt rows.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Raw JSONL files have no target file size — small files (&lt;1 MB) degrade Athena performance by 10–100×.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No business_date / ingestion_date separation — late-arriving data gets today's dt, losing business context.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Parquet curated files use default Snappy compression — ZSTD gives 30% better compression.</w:t>
      </w:r>
    </w:p>
    <w:p/>
    <w:p>
      <w:pPr>
        <w:spacing w:before="240" w:after="80"/>
      </w:pPr>
      <w:r>
        <w:rPr>
          <w:b/>
          <w:color w:val="00707F"/>
          <w:sz w:val="28"/>
        </w:rPr>
        <w:t>3.2  Future State — Standardised Storage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3456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032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Partition key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dt / run_date / none (inconsistent)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dt everywhere; add ingestion_dt as metadata column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Business date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dt = load date (conflated)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business_dt column separate from ingestion dt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Raw format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JSONL, CSV, CSV.GZ, ZIP, XML mixed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NDJSON.GZ standard for all raw sources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Curated format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Parquet + Snappy (default)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Parquet + ZSTD (~30% smaller, same speed)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File size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No target — many small files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Target 128–256 MB per file; daily compaction job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Platt CSV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Unquoted pipe-delimited (fragile)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Convert to Parquet at landing via Glue ETL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S3 layout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source-specific ad-hoc prefixes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Standardised: &lt;tenant&gt;/&lt;domain&gt;/&lt;entity&gt;/dt=YYYY-MM-DD/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Multi-tenant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Only Gaiia uses tenant= partition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All sources partitioned by tenant= (default: gwi)</w:t>
            </w:r>
          </w:p>
        </w:tc>
      </w:tr>
    </w:tbl>
    <w:p/>
    <w:p>
      <w:pPr>
        <w:spacing w:before="160" w:after="60"/>
      </w:pPr>
      <w:r>
        <w:rPr>
          <w:b/>
          <w:color w:val="1F497D"/>
          <w:sz w:val="23"/>
        </w:rPr>
        <w:t>Proposed Unified S3 Layout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s3://gwi-raw-us-east-2-pc/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raw/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&lt;tenant&gt;/              ← gwi | lymefiber | dvfiber | nwfx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&lt;source&gt;/            ← gaiia | vetro | platt | intacct | salesforce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 &lt;entity&gt;/          ← accounts | invoices | plans | gl_entries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   dt=YYYY-MM-DD/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        part-0001.ndjson.gz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curated/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&lt;tenant&gt;/&lt;entity&gt;/dt=YYYY-MM-DD/part-0001.parquet  ← ZSTD, 128-256MB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ssot/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&lt;entity&gt;/             ← Iceberg tables with time-travel</w:t>
      </w:r>
    </w:p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4: Schema Management &amp; Drift Detection</w:t>
      </w:r>
    </w:p>
    <w:p>
      <w:pPr>
        <w:pBdr>
          <w:bottom w:val="single" w:sz="6" w:space="1" w:color="2E74B5"/>
        </w:pBdr>
        <w:spacing w:before="80" w:after="120"/>
      </w:pPr>
    </w:p>
    <w:p>
      <w:pPr>
        <w:spacing w:before="240" w:after="80"/>
      </w:pPr>
      <w:r>
        <w:rPr>
          <w:b/>
          <w:color w:val="2E74B5"/>
          <w:sz w:val="28"/>
        </w:rPr>
        <w:t>4.1  Current State — The Problem</w:t>
      </w:r>
    </w:p>
    <w:p>
      <w:pPr>
        <w:spacing w:after="100"/>
      </w:pPr>
      <w:r>
        <w:rPr>
          <w:sz w:val="20"/>
        </w:rPr>
        <w:t>Glue crawlers auto-detect new fields but generate no alerts. Breaking schema changes from upstream APIs propagate silently into views and can cause downstream query failures that are only discovered when a dashboard breaks.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Vetro JSON paths are hardcoded in extraction logic — API field rename = silent NULLs.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Platt: no drift detection; field additions/removals go unnoticed.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No schema versioning on views — breaking changes have no migration path.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DDL is inline in CTAS files — hard to version-control separately from logic.</w:t>
      </w:r>
    </w:p>
    <w:p/>
    <w:p>
      <w:pPr>
        <w:spacing w:before="240" w:after="80"/>
      </w:pPr>
      <w:r>
        <w:rPr>
          <w:b/>
          <w:color w:val="2E74B5"/>
          <w:sz w:val="28"/>
        </w:rPr>
        <w:t>4.2  Future State — Schema Contracts + Drift Alerting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032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Schema validation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None — Glue detects silently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Contract files per entity; diff on every crawler run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Drift alerting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Glue → Lambda → SNS alert on schema change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Schema versioning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None — breaking changes are silent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schema_version property on views; alias views for compat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JSON path safety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Hardcoded paths fail silently on rename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Probe Lambda: null-rate check on 100 sampled rows post-ingest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DDL management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Inline in CTAS files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Separate schema_contracts/ folder; tested in CI</w:t>
            </w:r>
          </w:p>
        </w:tc>
      </w:tr>
    </w:tbl>
    <w:p/>
    <w:p>
      <w:pPr>
        <w:spacing w:before="160" w:after="60"/>
      </w:pPr>
      <w:r>
        <w:rPr>
          <w:b/>
          <w:color w:val="1F497D"/>
          <w:sz w:val="23"/>
        </w:rPr>
        <w:t>Schema Contract File Example (schema_contracts/gaiia_accounts.json)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{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"entity": "gaiia_accounts",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"version": "1.2",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"required_fields": ["id", "name", "tenant", "updatedat"],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"optional_fields": ["customFields.platid", "customFields.vetroid"],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"null_rate_threshold": 0.05,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"alert_on_new_field": true,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"alert_on_missing_field": true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}</w:t>
      </w:r>
    </w:p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5: Centralised Data Quality Framework</w:t>
      </w:r>
    </w:p>
    <w:p>
      <w:pPr>
        <w:pBdr>
          <w:bottom w:val="single" w:sz="6" w:space="1" w:color="1A7A40"/>
        </w:pBdr>
        <w:spacing w:before="80" w:after="120"/>
      </w:pPr>
    </w:p>
    <w:p>
      <w:pPr>
        <w:spacing w:before="240" w:after="80"/>
      </w:pPr>
      <w:r>
        <w:rPr>
          <w:b/>
          <w:color w:val="1A7A40"/>
          <w:sz w:val="28"/>
        </w:rPr>
        <w:t>5.1  Current State — The Problem</w:t>
      </w:r>
    </w:p>
    <w:p>
      <w:pPr>
        <w:spacing w:after="100"/>
      </w:pPr>
      <w:r>
        <w:rPr>
          <w:sz w:val="20"/>
        </w:rPr>
        <w:t>Exception tables exist and capture failures, but there is no active monitoring, no centralised DQ metric store, no automated quarantine, and tolerance thresholds are hardcoded in shell scripts: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Exception tables are populated but never trigger alerts — failures are discovered manually.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Tolerance thresholds (±0.5% MRR, ±0.2% customers) hardcoded in bash variables.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No automated quarantine: bad rows mix with good rows in SSOT views.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No DQ trend visibility — can't tell if exception rate is improving or degrading over time.</w:t>
      </w:r>
    </w:p>
    <w:p/>
    <w:p>
      <w:pPr>
        <w:spacing w:before="240" w:after="80"/>
      </w:pPr>
      <w:r>
        <w:rPr>
          <w:b/>
          <w:color w:val="1A7A40"/>
          <w:sz w:val="28"/>
        </w:rPr>
        <w:t>5.2  Future State — Active DQ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DQ Component</w:t>
            </w:r>
          </w:p>
        </w:tc>
        <w:tc>
          <w:tcPr>
            <w:tcW w:type="dxa" w:w="3456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032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DQ metrics storage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Scattered manifests per run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curated_recon.dq_run_log table (centralised)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Threshold management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Hardcoded in shell scripts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config/dq_thresholds.json (versioned, auditable)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Quarantine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Bad rows mixed into SSOT views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Quarantine prefix; excluded from SSOT automatically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Alerting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None on exception counts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CloudWatch Alarm: exception_rate &gt; threshold → SNS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Trend visibility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30-day rolling exception rate chart per source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Assertion framework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Manual gate scripts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dbt tests / Great Expectations on curated tables</w:t>
            </w:r>
          </w:p>
        </w:tc>
      </w:tr>
    </w:tbl>
    <w:p/>
    <w:p>
      <w:pPr>
        <w:spacing w:before="160" w:after="60"/>
      </w:pPr>
      <w:r>
        <w:rPr>
          <w:b/>
          <w:color w:val="1F497D"/>
          <w:sz w:val="23"/>
        </w:rPr>
        <w:t>Centralised DQ Run Log Table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CREATE TABLE curated_recon.dq_run_log (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run_date        date,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source          string,    -- gaiia | vetro | platt | intacct | salesforce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entity          string,    -- accounts | invoices | plans | gl_entries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row_count       bigint,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exception_count bigint,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exception_rate  double,    -- exception_count / row_count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null_rate_pk    double,    -- null rate on primary key field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freshness_hours double,    -- hours since last business_dt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pass_fail       string,    -- PASS | WARN | FAIL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evaluated_at    timestamp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) STORED AS PARQUET LOCATION 's3://.../curated_recon/dq_run_log/';</w:t>
      </w:r>
    </w:p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6: SSOT Identity Spine &amp; Crosswalk Architecture</w:t>
      </w:r>
    </w:p>
    <w:p>
      <w:pPr>
        <w:pBdr>
          <w:bottom w:val="single" w:sz="6" w:space="1" w:color="C55A11"/>
        </w:pBdr>
        <w:spacing w:before="80" w:after="120"/>
      </w:pPr>
    </w:p>
    <w:p>
      <w:pPr>
        <w:spacing w:before="240" w:after="80"/>
      </w:pPr>
      <w:r>
        <w:rPr>
          <w:b/>
          <w:color w:val="C55A11"/>
          <w:sz w:val="28"/>
        </w:rPr>
        <w:t>6.1  Current State — The Problem</w:t>
      </w:r>
    </w:p>
    <w:p>
      <w:pPr>
        <w:spacing w:after="100"/>
      </w:pPr>
      <w:r>
        <w:rPr>
          <w:sz w:val="20"/>
        </w:rPr>
        <w:t>The Salesforce → Intacct crosswalk is non-1:1 due to account migrations and duplicates, causing many-to-many join explosions in SSOT views. No SCD Type 2 history. Source-system IDs are used interchangeably without a canonical surrogate key: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SF Account ID, Platt Customer ID, Intacct Customer ID used interchangeably in views.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Account migrations create many-to-many mappings — SSOT tiles cannot be certified.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Customer changes silently overwrite prior records — no audit history.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Source priority rules (SF &gt; Platt &gt; Intacct) hardcoded in view SQL, not externalised.</w:t>
      </w:r>
    </w:p>
    <w:p/>
    <w:p>
      <w:pPr>
        <w:spacing w:before="240" w:after="80"/>
      </w:pPr>
      <w:r>
        <w:rPr>
          <w:b/>
          <w:color w:val="C55A11"/>
          <w:sz w:val="28"/>
        </w:rPr>
        <w:t>6.2  Future State — Entity Spine with SCD Type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456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032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Identity model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Source IDs used directly in views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Surrogate ssot_entity_id (UUID) spine table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Crosswalk cardinality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Non-1:1 (many-to-many on migrations)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1:1 enforced; multiple entries → confidence tier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Customer history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Changes overwrite prior records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SCD Type 2: valid_from, valid_to, is_current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Source priority</w:t>
            </w:r>
          </w:p>
        </w:tc>
        <w:tc>
          <w:tcPr>
            <w:tcW w:type="dxa" w:w="3456"/>
            <w:vAlign w:val="center"/>
            <w:shd w:val="clear" w:color="auto" w:fill="EEF4FB"/>
          </w:tcPr>
          <w:p>
            <w:r>
              <w:rPr>
                <w:sz w:val="18"/>
              </w:rPr>
              <w:t>Hardcoded in view SQL (SF &gt; Platt &gt; Int)</w:t>
            </w:r>
          </w:p>
        </w:tc>
        <w:tc>
          <w:tcPr>
            <w:tcW w:type="dxa" w:w="4032"/>
            <w:vAlign w:val="center"/>
            <w:shd w:val="clear" w:color="auto" w:fill="EEF4FB"/>
          </w:tcPr>
          <w:p>
            <w:r>
              <w:rPr>
                <w:sz w:val="18"/>
              </w:rPr>
              <w:t>Externalised to ssot_source_priority_rules table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Unmapped handling</w:t>
            </w:r>
          </w:p>
        </w:tc>
        <w:tc>
          <w:tcPr>
            <w:tcW w:type="dxa" w:w="3456"/>
            <w:vAlign w:val="center"/>
            <w:shd w:val="clear" w:color="auto" w:fill="FFFFFF"/>
          </w:tcPr>
          <w:p>
            <w:r>
              <w:rPr>
                <w:sz w:val="18"/>
              </w:rPr>
              <w:t>Silently dropped or mis-counted</w:t>
            </w:r>
          </w:p>
        </w:tc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8"/>
              </w:rPr>
              <w:t>Explicit 'unmapped' bucket + daily alert if &gt; 0</w:t>
            </w:r>
          </w:p>
        </w:tc>
      </w:tr>
    </w:tbl>
    <w:p/>
    <w:p>
      <w:pPr>
        <w:spacing w:before="160" w:after="60"/>
      </w:pPr>
      <w:r>
        <w:rPr>
          <w:b/>
          <w:color w:val="1F497D"/>
          <w:sz w:val="23"/>
        </w:rPr>
        <w:t>Entity Spine Table Design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CREATE TABLE curated_ssot.entity_spine (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ssot_entity_id   STRING,   -- UUID assigned at first resolution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sf_account_id    STRING,   -- Salesforce Account ID (if known)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platt_customer_id STRING,  -- Platt Customer ID (if known)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intacct_id       STRING,   -- Intacct Customer ID (if known)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gaiia_account_id STRING,   -- Gaiia Account ID (if known)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confidence       STRING,   -- high | medium | low | unresolved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valid_from       DATE,     -- SCD Type 2 start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valid_to         DATE,     -- SCD Type 2 end (NULL = current)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is_current       BOOLEAN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) TBLPROPERTIES ('table_type' = 'ICEBERG');</w:t>
      </w:r>
    </w:p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7: Full Multi-Tenancy Architecture</w:t>
      </w:r>
    </w:p>
    <w:p>
      <w:pPr>
        <w:pBdr>
          <w:bottom w:val="single" w:sz="6" w:space="1" w:color="2E74B5"/>
        </w:pBdr>
        <w:spacing w:before="80" w:after="120"/>
      </w:pPr>
    </w:p>
    <w:p>
      <w:pPr>
        <w:spacing w:before="240" w:after="80"/>
      </w:pPr>
      <w:r>
        <w:rPr>
          <w:b/>
          <w:color w:val="2E74B5"/>
          <w:sz w:val="28"/>
        </w:rPr>
        <w:t>7.1  Current State</w:t>
      </w:r>
    </w:p>
    <w:p>
      <w:pPr>
        <w:spacing w:after="100"/>
      </w:pPr>
      <w:r>
        <w:rPr>
          <w:sz w:val="20"/>
        </w:rPr>
        <w:t>Only Gaiia GraphQL has tenant-partitioned storage (tenant=gwi/lymefiber/dvfiber). All other sources (Platt, Intacct, Vetro, Salesforce) are GWI-only with no tenant isolation. Adding a new network operator (e.g., LymeFiber on Platt) requires code changes, not configuration.</w:t>
      </w:r>
    </w:p>
    <w:p>
      <w:pPr>
        <w:spacing w:before="240" w:after="80"/>
      </w:pPr>
      <w:r>
        <w:rPr>
          <w:b/>
          <w:color w:val="2E74B5"/>
          <w:sz w:val="28"/>
        </w:rPr>
        <w:t>7.2  Future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60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Current Tenant Support</w:t>
            </w:r>
          </w:p>
        </w:tc>
        <w:tc>
          <w:tcPr>
            <w:tcW w:type="dxa" w:w="4752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sz w:val="18"/>
              </w:rPr>
              <w:t>Gaiia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✅ tenant= partition (gwi, lymefiber, dvfiber)</w:t>
            </w:r>
          </w:p>
        </w:tc>
        <w:tc>
          <w:tcPr>
            <w:tcW w:type="dxa" w:w="4752"/>
            <w:vAlign w:val="center"/>
            <w:shd w:val="clear" w:color="auto" w:fill="FFFFFF"/>
          </w:tcPr>
          <w:p>
            <w:r>
              <w:rPr>
                <w:sz w:val="18"/>
              </w:rPr>
              <w:t>✅ Extend to new operators via config</w:t>
            </w:r>
          </w:p>
        </w:tc>
      </w:tr>
      <w:tr>
        <w:tc>
          <w:tcPr>
            <w:tcW w:type="dxa" w:w="1728"/>
            <w:vAlign w:val="center"/>
            <w:shd w:val="clear" w:color="auto" w:fill="EEF4FB"/>
          </w:tcPr>
          <w:p>
            <w:r>
              <w:rPr>
                <w:sz w:val="18"/>
              </w:rPr>
              <w:t>Platt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❌ GWI only — hardcoded</w:t>
            </w:r>
          </w:p>
        </w:tc>
        <w:tc>
          <w:tcPr>
            <w:tcW w:type="dxa" w:w="4752"/>
            <w:vAlign w:val="center"/>
            <w:shd w:val="clear" w:color="auto" w:fill="EEF4FB"/>
          </w:tcPr>
          <w:p>
            <w:r>
              <w:rPr>
                <w:sz w:val="18"/>
              </w:rPr>
              <w:t>✅ tenant= partition from operator code in export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sz w:val="18"/>
              </w:rPr>
              <w:t>Intacct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❌ GWI only — single entity</w:t>
            </w:r>
          </w:p>
        </w:tc>
        <w:tc>
          <w:tcPr>
            <w:tcW w:type="dxa" w:w="4752"/>
            <w:vAlign w:val="center"/>
            <w:shd w:val="clear" w:color="auto" w:fill="FFFFFF"/>
          </w:tcPr>
          <w:p>
            <w:r>
              <w:rPr>
                <w:sz w:val="18"/>
              </w:rPr>
              <w:t>✅ entity_id mapped to tenant in checkpoint ledger</w:t>
            </w:r>
          </w:p>
        </w:tc>
      </w:tr>
      <w:tr>
        <w:tc>
          <w:tcPr>
            <w:tcW w:type="dxa" w:w="1728"/>
            <w:vAlign w:val="center"/>
            <w:shd w:val="clear" w:color="auto" w:fill="EEF4FB"/>
          </w:tcPr>
          <w:p>
            <w:r>
              <w:rPr>
                <w:sz w:val="18"/>
              </w:rPr>
              <w:t>Vetro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❌ GWI only — plan_id not tenant-tagged</w:t>
            </w:r>
          </w:p>
        </w:tc>
        <w:tc>
          <w:tcPr>
            <w:tcW w:type="dxa" w:w="4752"/>
            <w:vAlign w:val="center"/>
            <w:shd w:val="clear" w:color="auto" w:fill="EEF4FB"/>
          </w:tcPr>
          <w:p>
            <w:r>
              <w:rPr>
                <w:sz w:val="18"/>
              </w:rPr>
              <w:t>✅ plan_id → tenant resolved via crosswalk</w:t>
            </w:r>
          </w:p>
        </w:tc>
      </w:tr>
      <w:tr>
        <w:tc>
          <w:tcPr>
            <w:tcW w:type="dxa" w:w="1728"/>
            <w:vAlign w:val="center"/>
            <w:shd w:val="clear" w:color="auto" w:fill="FFFFFF"/>
          </w:tcPr>
          <w:p>
            <w:r>
              <w:rPr>
                <w:sz w:val="18"/>
              </w:rPr>
              <w:t>Salesforce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❌ Single AppFlow connection</w:t>
            </w:r>
          </w:p>
        </w:tc>
        <w:tc>
          <w:tcPr>
            <w:tcW w:type="dxa" w:w="4752"/>
            <w:vAlign w:val="center"/>
            <w:shd w:val="clear" w:color="auto" w:fill="FFFFFF"/>
          </w:tcPr>
          <w:p>
            <w:r>
              <w:rPr>
                <w:sz w:val="18"/>
              </w:rPr>
              <w:t>✅ Separate AppFlow per tenant or custom Lambda</w:t>
            </w:r>
          </w:p>
        </w:tc>
      </w:tr>
    </w:tbl>
    <w:p/>
    <w:p>
      <w:pPr>
        <w:spacing w:before="160" w:after="60"/>
      </w:pPr>
      <w:r>
        <w:rPr>
          <w:b/>
          <w:color w:val="1F497D"/>
          <w:sz w:val="23"/>
        </w:rPr>
        <w:t>Parameterised Tenant Config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// config/tenants.json — add tenant with zero code changes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{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"tenants": [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{ "id": "gwi",       "gaiia_key": "gwi_key",       "platt_prefix": "gwi/" },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{ "id": "lymefiber", "gaiia_key": "lymefiber_key", "platt_prefix": "lymefiber/" },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  { "id": "dvfiber",   "gaiia_key": "dvfiber_key",   "platt_prefix": "dvfiber/" }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 xml:space="preserve">  ]</w:t>
      </w:r>
    </w:p>
    <w:p>
      <w:pPr>
        <w:spacing w:before="20" w:after="20"/>
        <w:ind w:left="576"/>
      </w:pPr>
      <w:r>
        <w:rPr>
          <w:rFonts w:ascii="Courier New" w:hAnsi="Courier New"/>
          <w:color w:val="171A1A"/>
          <w:sz w:val="17"/>
          <w:shd w:val="clear" w:color="auto" w:fill="F2F2F2"/>
        </w:rPr>
        <w:t>}</w:t>
      </w:r>
    </w:p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8: Observability, Cost Tracking &amp; Alerting</w:t>
      </w:r>
    </w:p>
    <w:p>
      <w:pPr>
        <w:pBdr>
          <w:bottom w:val="single" w:sz="6" w:space="1" w:color="00707F"/>
        </w:pBdr>
        <w:spacing w:before="80" w:after="120"/>
      </w:pPr>
    </w:p>
    <w:p>
      <w:pPr>
        <w:spacing w:before="240" w:after="80"/>
      </w:pPr>
      <w:r>
        <w:rPr>
          <w:b/>
          <w:color w:val="00707F"/>
          <w:sz w:val="28"/>
        </w:rPr>
        <w:t>8.1  Current State — The Problem</w:t>
      </w:r>
    </w:p>
    <w:p>
      <w:pPr>
        <w:spacing w:after="100"/>
      </w:pPr>
      <w:r>
        <w:rPr>
          <w:sz w:val="20"/>
        </w:rPr>
        <w:t>CloudWatch logs exist but are not wired to actionable alarms. No Athena cost allocation. No freshness SLA enforcement: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SLA documented as ≤1-day lag — but no CloudWatch alarm fires if max_dt is 36 hours old.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Exception counts logged but never trigger alerts — failures found manually.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No Athena cost allocation by pipeline stage — can't identify expensive queries.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SQS DLQ exists for Vetro but no alarm on messages arriving.</w:t>
      </w:r>
    </w:p>
    <w:p>
      <w:pPr>
        <w:pStyle w:val="ListBullet"/>
        <w:spacing w:after="40"/>
        <w:ind w:left="360"/>
      </w:pPr>
      <w:r>
        <w:rPr>
          <w:color w:val="A4262F"/>
          <w:sz w:val="20"/>
        </w:rPr>
        <w:t>SSOT audit evidence produced but not integrated into operational dashboard.</w:t>
      </w:r>
    </w:p>
    <w:p/>
    <w:p>
      <w:pPr>
        <w:spacing w:before="240" w:after="80"/>
      </w:pPr>
      <w:r>
        <w:rPr>
          <w:b/>
          <w:color w:val="00707F"/>
          <w:sz w:val="28"/>
        </w:rPr>
        <w:t>8.2  Future State — Observability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Observable</w:t>
            </w:r>
          </w:p>
        </w:tc>
        <w:tc>
          <w:tcPr>
            <w:tcW w:type="dxa" w:w="3168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320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Data freshness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sz w:val="18"/>
              </w:rPr>
              <w:t>Documented SLA, no alarm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sz w:val="18"/>
              </w:rPr>
              <w:t>CloudWatch Alarm: max_dt age &gt; 26h per source → SNS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Exception rate</w:t>
            </w:r>
          </w:p>
        </w:tc>
        <w:tc>
          <w:tcPr>
            <w:tcW w:type="dxa" w:w="3168"/>
            <w:vAlign w:val="center"/>
            <w:shd w:val="clear" w:color="auto" w:fill="EEF4FB"/>
          </w:tcPr>
          <w:p>
            <w:r>
              <w:rPr>
                <w:sz w:val="18"/>
              </w:rPr>
              <w:t>Logged, not alarmed</w:t>
            </w:r>
          </w:p>
        </w:tc>
        <w:tc>
          <w:tcPr>
            <w:tcW w:type="dxa" w:w="4320"/>
            <w:vAlign w:val="center"/>
            <w:shd w:val="clear" w:color="auto" w:fill="EEF4FB"/>
          </w:tcPr>
          <w:p>
            <w:r>
              <w:rPr>
                <w:sz w:val="18"/>
              </w:rPr>
              <w:t>Alarm: exception_rate &gt; threshold in dq_run_log → SNS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SQS DLQ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sz w:val="18"/>
              </w:rPr>
              <w:t>No alarm on message arrival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sz w:val="18"/>
              </w:rPr>
              <w:t>Alarm: ApproximateNumberOfMessagesVisible &gt; 0 → PagerDuty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Athena cost</w:t>
            </w:r>
          </w:p>
        </w:tc>
        <w:tc>
          <w:tcPr>
            <w:tcW w:type="dxa" w:w="3168"/>
            <w:vAlign w:val="center"/>
            <w:shd w:val="clear" w:color="auto" w:fill="EEF4FB"/>
          </w:tcPr>
          <w:p>
            <w:r>
              <w:rPr>
                <w:sz w:val="18"/>
              </w:rPr>
              <w:t>No allocation by stage</w:t>
            </w:r>
          </w:p>
        </w:tc>
        <w:tc>
          <w:tcPr>
            <w:tcW w:type="dxa" w:w="4320"/>
            <w:vAlign w:val="center"/>
            <w:shd w:val="clear" w:color="auto" w:fill="EEF4FB"/>
          </w:tcPr>
          <w:p>
            <w:r>
              <w:rPr>
                <w:sz w:val="18"/>
              </w:rPr>
              <w:t>Workgroups: raw-ingestion | curated | ssot; cost by stage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Pipeline duration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sz w:val="18"/>
              </w:rPr>
              <w:t>Not tracked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sz w:val="18"/>
              </w:rPr>
              <w:t>Metric: pipeline_end_ts - pipeline_start_ts; P95 alarm</w:t>
            </w:r>
          </w:p>
        </w:tc>
      </w:tr>
      <w:tr>
        <w:tc>
          <w:tcPr>
            <w:tcW w:type="dxa" w:w="2592"/>
            <w:vAlign w:val="center"/>
            <w:shd w:val="clear" w:color="auto" w:fill="EEF4FB"/>
          </w:tcPr>
          <w:p>
            <w:r>
              <w:rPr>
                <w:sz w:val="18"/>
              </w:rPr>
              <w:t>Schema drift</w:t>
            </w:r>
          </w:p>
        </w:tc>
        <w:tc>
          <w:tcPr>
            <w:tcW w:type="dxa" w:w="3168"/>
            <w:vAlign w:val="center"/>
            <w:shd w:val="clear" w:color="auto" w:fill="EEF4FB"/>
          </w:tcPr>
          <w:p>
            <w:r>
              <w:rPr>
                <w:sz w:val="18"/>
              </w:rPr>
              <w:t>Glue logs only</w:t>
            </w:r>
          </w:p>
        </w:tc>
        <w:tc>
          <w:tcPr>
            <w:tcW w:type="dxa" w:w="4320"/>
            <w:vAlign w:val="center"/>
            <w:shd w:val="clear" w:color="auto" w:fill="EEF4FB"/>
          </w:tcPr>
          <w:p>
            <w:r>
              <w:rPr>
                <w:sz w:val="18"/>
              </w:rPr>
              <w:t>Glue → Lambda → SNS on any field add/remove/type change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8"/>
              </w:rPr>
              <w:t>SSOT certification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sz w:val="18"/>
              </w:rPr>
              <w:t>Manual evidence review</w:t>
            </w:r>
          </w:p>
        </w:tc>
        <w:tc>
          <w:tcPr>
            <w:tcW w:type="dxa" w:w="4320"/>
            <w:vAlign w:val="center"/>
            <w:shd w:val="clear" w:color="auto" w:fill="FFFFFF"/>
          </w:tcPr>
          <w:p>
            <w:r>
              <w:rPr>
                <w:sz w:val="18"/>
              </w:rPr>
              <w:t>Auto-publish status.json to ops dashboard daily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Improvement 9: Infrastructure as Code &amp; CI/CD Completeness</w:t>
      </w:r>
    </w:p>
    <w:p>
      <w:pPr>
        <w:pBdr>
          <w:bottom w:val="single" w:sz="6" w:space="1" w:color="2E74B5"/>
        </w:pBdr>
        <w:spacing w:before="80" w:after="120"/>
      </w:pPr>
    </w:p>
    <w:p>
      <w:pPr>
        <w:spacing w:before="240" w:after="80"/>
      </w:pPr>
      <w:r>
        <w:rPr>
          <w:b/>
          <w:color w:val="2E74B5"/>
          <w:sz w:val="28"/>
        </w:rPr>
        <w:t>9.1  Current State — Gaps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IaC Status</w:t>
            </w:r>
          </w:p>
        </w:tc>
        <w:tc>
          <w:tcPr>
            <w:tcW w:type="dxa" w:w="288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Vetro Export Lambda + EventBridge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✅ CloudFormation (vetro_export_stack.yaml)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Gaiia Ingest Lambda + EventBridge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✅ CloudFormation (gaiia_ingest_stack.yaml)</w:t>
            </w:r>
          </w:p>
        </w:tc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Glue Crawlers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❌ Reference YAML only — console deployed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High — drift-prone</w:t>
            </w:r>
          </w:p>
        </w:tc>
      </w:tr>
      <w:tr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Salesforce AppFlow connections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❌ Console only — no IaC</w:t>
            </w:r>
          </w:p>
        </w:tc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High — unrecoverable without docs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Athena Workgroups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❌ Console only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S3 Bucket policies / lifecycle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❌ Console only</w:t>
            </w:r>
          </w:p>
        </w:tc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High — data retention risk</w:t>
            </w:r>
          </w:p>
        </w:tc>
      </w:tr>
      <w:tr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Amplify Frontend Deploy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❌ Manual artifact upload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Medium — error-prone</w:t>
            </w:r>
          </w:p>
        </w:tc>
      </w:tr>
      <w:tr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OIDC GitHub → AWS auth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❌ Long-lived keys (if used)</w:t>
            </w:r>
          </w:p>
        </w:tc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High — credential leak risk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9.2  Future State — Full IaC Coverage</w:t>
      </w:r>
    </w:p>
    <w:p>
      <w:pPr>
        <w:pStyle w:val="ListBullet"/>
        <w:spacing w:after="40"/>
        <w:ind w:left="360"/>
      </w:pPr>
      <w:r>
        <w:rPr>
          <w:sz w:val="20"/>
        </w:rPr>
        <w:t>Codify all Glue crawlers in CloudFormation (or Terraform) — re-creatable from code in a fresh AWS account.</w:t>
      </w:r>
    </w:p>
    <w:p>
      <w:pPr>
        <w:pStyle w:val="ListBullet"/>
        <w:spacing w:after="40"/>
        <w:ind w:left="360"/>
      </w:pPr>
      <w:r>
        <w:rPr>
          <w:sz w:val="20"/>
        </w:rPr>
        <w:t>AppFlow connections via CloudFormation resource type AWS::AppFlow::ConnectorProfile.</w:t>
      </w:r>
    </w:p>
    <w:p>
      <w:pPr>
        <w:pStyle w:val="ListBullet"/>
        <w:spacing w:after="40"/>
        <w:ind w:left="360"/>
      </w:pPr>
      <w:r>
        <w:rPr>
          <w:sz w:val="20"/>
        </w:rPr>
        <w:t>S3 lifecycle rules in IaC: raw → Glacier after 90 days; Athena results → delete after 30 days.</w:t>
      </w:r>
    </w:p>
    <w:p>
      <w:pPr>
        <w:pStyle w:val="ListBullet"/>
        <w:spacing w:after="40"/>
        <w:ind w:left="360"/>
      </w:pPr>
      <w:r>
        <w:rPr>
          <w:sz w:val="20"/>
        </w:rPr>
        <w:t>CI pipeline: on every PR — run Athena EXPLAIN on critical views, validate all DDL files, check S3 path consistency.</w:t>
      </w:r>
    </w:p>
    <w:p>
      <w:pPr>
        <w:pStyle w:val="ListBullet"/>
        <w:spacing w:after="40"/>
        <w:ind w:left="360"/>
      </w:pPr>
      <w:r>
        <w:rPr>
          <w:sz w:val="20"/>
        </w:rPr>
        <w:t>OIDC GitHub Actions → AWS: replace long-lived IAM keys with short-lived STS tokens from OIDC federation.</w:t>
      </w:r>
    </w:p>
    <w:p>
      <w:pPr>
        <w:pStyle w:val="ListBullet"/>
        <w:spacing w:after="40"/>
        <w:ind w:left="360"/>
      </w:pPr>
      <w:r>
        <w:rPr>
          <w:sz w:val="20"/>
        </w:rPr>
        <w:t>Amplify connected to GitHub main branch — auto-deploy on merge.</w:t>
      </w:r>
    </w:p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Implementation Roadmap</w:t>
      </w:r>
    </w:p>
    <w:p>
      <w:pPr>
        <w:pBdr>
          <w:bottom w:val="single" w:sz="6" w:space="1" w:color="2E74B5"/>
        </w:pBdr>
        <w:spacing w:before="80" w:after="120"/>
      </w:pPr>
    </w:p>
    <w:p>
      <w:pPr>
        <w:spacing w:before="240" w:after="80"/>
      </w:pPr>
      <w:r>
        <w:rPr>
          <w:b/>
          <w:color w:val="2E74B5"/>
          <w:sz w:val="28"/>
        </w:rPr>
        <w:t>Phase 0 — Immediate Wins (Week 1, No Architecture Change)</w:t>
      </w:r>
    </w:p>
    <w:p>
      <w:pPr>
        <w:spacing w:before="120" w:after="120"/>
        <w:ind w:left="432" w:right="432"/>
        <w:pBdr>
          <w:top w:val="single" w:sz="12" w:space="4" w:color="1A7A40"/>
          <w:left w:val="single" w:sz="12" w:space="4" w:color="1A7A40"/>
          <w:bottom w:val="single" w:sz="12" w:space="4" w:color="1A7A40"/>
          <w:right w:val="single" w:sz="12" w:space="4" w:color="1A7A40"/>
        </w:pBdr>
        <w:shd w:val="clear" w:color="auto" w:fill="E8F5ED"/>
      </w:pPr>
      <w:r>
        <w:rPr>
          <w:color w:val="1A7A40"/>
          <w:sz w:val="20"/>
        </w:rPr>
        <w:t>These changes can be made TODAY with no risk to existing pipelines. Combined, they reduce Athena query latency for concurrent users by 60–80%.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00"/>
            <w:vAlign w:val="center"/>
            <w:shd w:val="clear" w:color="auto" w:fill="1A7A40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Enable Athena Query Result Reuse on dashboard workgroup (60-min TTL)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Immediate: concurrent users share cached results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Add CloudWatch Alarm on Vetro SQS DLQ (ApproximateNumberOfMessages &gt; 0)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Immediate: DLQ failures now alerted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Externalise DQ tolerance thresholds to config/dq_thresholds.json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1 hour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Auditable thresholds without code deploy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Add WHERE dt = MAX(dt) guard to all *_current views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Prevents full partition scan on dedup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Add tenant column (default 'gwi') to all curated views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Future-proofs multi-tenant expansion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Standardise partition key name to dt everywhere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Eliminates dt vs run_date confusion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Phase 1 — Materialization &amp; Reliability (Weeks 2–4)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00"/>
            <w:vAlign w:val="center"/>
            <w:shd w:val="clear" w:color="auto" w:fill="C55A11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Materialize top 5 curated entities as daily Parquet snapshots (Gaiia accounts, customers, subscriptions; Vetro GIS layers; Platt billing)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1 week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50–100× reduction in Athena scan per dashboard query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Implement DynamoDB checkpoint ledger replacing plan_index.json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Vetro/Intacct restarts resume from last cursor, not beginning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Create curated_recon.dq_run_log table + populate daily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Centralised DQ trend visibility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Cloudwatch Alarm: max_dt age &gt; 26h per source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SLA breach now generates alert, not manual discovery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Schema contract files for Gaiia + Vetro top 5 entities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API breaking changes caught before they hit SSOT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Codify Glue crawlers in CloudFormation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Crawler config version-controlled, recoverable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Phase 2 — Iceberg &amp; Full DAG (Month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00"/>
            <w:vAlign w:val="center"/>
            <w:shd w:val="clear" w:color="auto" w:fill="00707F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Migrate curated_core high-churn entities to Apache Iceberg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2 weeks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MERGE INTO upserts, time-travel, auto-compaction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Build Step Functions DAG replacing sequential bash pipeline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2 weeks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Upstream failures block downstream; parallel execution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Implement entity_spine surrogate key table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1 week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Resolves SF→Intacct many-to-many crosswalk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SCD Type 2 for customer/account changes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1 week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Full historical audit trail for customer changes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Athena Workgroups by pipeline stage + cost dashboards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3 days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Cost attribution by source and pipeline phase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OIDC GitHub→AWS auth in CI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Eliminates long-lived IAM key risk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8"/>
        </w:rPr>
        <w:t>Phase 3 — Multi-Tenancy &amp; Full Observability (Month 3+)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04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360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Unified S3 layout: tenant/source/entity/dt= for all sources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2 weeks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Consistent partitioning; add new tenants via config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Parameterise Lambda/Glue jobs with tenant_id from tenants.json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1 week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New operator onboarding = config change, not code change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Data freshness + exception rate dashboards in CloudWatch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1 week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Operational SLA visibility in real time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dbt project or Great Expectations suite on curated tables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3 weeks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Automated data contract testing per entity</w:t>
            </w:r>
          </w:p>
        </w:tc>
      </w:tr>
      <w:tr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8"/>
              </w:rPr>
              <w:t>AppFlow → IaC (CloudFormation connector profiles)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8"/>
              </w:rPr>
              <w:t>1 week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Salesforce connection recoverable from code</w:t>
            </w:r>
          </w:p>
        </w:tc>
      </w:tr>
      <w:tr>
        <w:tc>
          <w:tcPr>
            <w:tcW w:type="dxa" w:w="5040"/>
            <w:vAlign w:val="center"/>
            <w:shd w:val="clear" w:color="auto" w:fill="EEF4FB"/>
          </w:tcPr>
          <w:p>
            <w:r>
              <w:rPr>
                <w:sz w:val="18"/>
              </w:rPr>
              <w:t>Amplify + GitHub CI/CD auto-deploy</w:t>
            </w:r>
          </w:p>
        </w:tc>
        <w:tc>
          <w:tcPr>
            <w:tcW w:type="dxa" w:w="1440"/>
            <w:vAlign w:val="center"/>
            <w:shd w:val="clear" w:color="auto" w:fill="EEF4FB"/>
          </w:tcPr>
          <w:p>
            <w:r>
              <w:rPr>
                <w:sz w:val="18"/>
              </w:rPr>
              <w:t>2 days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Frontend deploys on merge, not manual upload</w:t>
            </w:r>
          </w:p>
        </w:tc>
      </w:tr>
    </w:tbl>
    <w:p/>
    <w:p>
      <w:r>
        <w:br w:type="page"/>
      </w:r>
    </w:p>
    <w:p>
      <w:pPr>
        <w:spacing w:before="360" w:after="80"/>
      </w:pPr>
      <w:r>
        <w:rPr>
          <w:b/>
          <w:color w:val="1F497D"/>
          <w:sz w:val="40"/>
        </w:rPr>
        <w:t>Architecture Comparison — Before &amp; After</w:t>
      </w:r>
    </w:p>
    <w:p>
      <w:pPr>
        <w:pBdr>
          <w:bottom w:val="single" w:sz="6" w:space="1" w:color="2E74B5"/>
        </w:pBdr>
        <w:spacing w:before="80" w:after="120"/>
      </w:pPr>
    </w:p>
    <w:p>
      <w:pPr>
        <w:spacing w:before="240" w:after="80"/>
      </w:pPr>
      <w:r>
        <w:rPr>
          <w:b/>
          <w:color w:val="2E74B5"/>
          <w:sz w:val="28"/>
        </w:rPr>
        <w:t>Data Flow: Current State vs Future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3600"/>
            <w:vAlign w:val="center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Future State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Ingestion trigger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EventBridge time-based (fixed schedule)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Step Functions DAG — dependency-aware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Ingestion checkpoint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File-based JSON (fragile on loss)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DynamoDB ledger (atomic, resumable)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Rate-limit handling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Poll-based on next_allowed_ts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SQS delay queue (event-driven, no polling)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Raw storage format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Mixed: JSONL, CSV, XML, ZIP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NDJSON.GZ standard (all sources)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Raw partitioning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Inconsistent: dt / run_date / none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Unified: tenant/source/entity/dt=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Curated layer type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92% virtual views — no physical storage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Daily Parquet snapshots; thin views on top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Curated format/codec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Parquet + Snappy (default)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Parquet + ZSTD; 128–256 MB target file size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SSOT tables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EXTERNAL tables + views on top of views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Apache Iceberg with MERGE INTO + time-travel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JSON extraction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Every query — CPU-intensive at scale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Once per day in pipeline; Parquet for queries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Dedup (ROW_NUMBER)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Every query — full partition sort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Once per day at materialisation time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Gaiia only (tenant= partition)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All sources partitioned by tenant=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DQ thresholds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Hardcoded in bash scripts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config/dq_thresholds.json (versioned)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DQ monitoring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Exception tables — not alarmed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dq_run_log + CloudWatch alarms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Schema drift detection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Glue detects — no alert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Contract files + Lambda → SNS alert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SSOT identity model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Source IDs used directly (no surrogate)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entity_spine UUID + SCD Type 2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Customer history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Overwrite on update — no history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valid_from/valid_to/is_current (SCD2)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Freshness SLA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Documented ≤1 day — no alarm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CloudWatch Alarm: max_dt age &gt; 26h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Pipeline duration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Not tracked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P95 metric + alarm on 2× baseline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IaC coverage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Lambdas + CF; Glue + AppFlow = console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100% IaC: all resources in CloudFormation</w:t>
            </w:r>
          </w:p>
        </w:tc>
      </w:tr>
      <w:tr>
        <w:tc>
          <w:tcPr>
            <w:tcW w:type="dxa" w:w="2880"/>
            <w:vAlign w:val="center"/>
            <w:shd w:val="clear" w:color="auto" w:fill="EEF4FB"/>
          </w:tcPr>
          <w:p>
            <w:r>
              <w:rPr>
                <w:sz w:val="18"/>
              </w:rPr>
              <w:t>Frontend deploy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Manual Amplify upload</w:t>
            </w:r>
          </w:p>
        </w:tc>
        <w:tc>
          <w:tcPr>
            <w:tcW w:type="dxa" w:w="3600"/>
            <w:vAlign w:val="center"/>
            <w:shd w:val="clear" w:color="auto" w:fill="EEF4FB"/>
          </w:tcPr>
          <w:p>
            <w:r>
              <w:rPr>
                <w:sz w:val="18"/>
              </w:rPr>
              <w:t>GitHub CI → Amplify auto-deploy on merge</w:t>
            </w:r>
          </w:p>
        </w:tc>
      </w:tr>
      <w:tr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8"/>
              </w:rPr>
              <w:t>Auth in CI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Long-lived IAM keys (if used)</w:t>
            </w:r>
          </w:p>
        </w:tc>
        <w:tc>
          <w:tcPr>
            <w:tcW w:type="dxa" w:w="3600"/>
            <w:vAlign w:val="center"/>
            <w:shd w:val="clear" w:color="auto" w:fill="FFFFFF"/>
          </w:tcPr>
          <w:p>
            <w:r>
              <w:rPr>
                <w:sz w:val="18"/>
              </w:rPr>
              <w:t>OIDC short-lived STS tokens</w:t>
            </w:r>
          </w:p>
        </w:tc>
      </w:tr>
    </w:tbl>
    <w:p/>
    <w:p>
      <w:pPr>
        <w:pBdr>
          <w:bottom w:val="single" w:sz="6" w:space="1" w:color="2E74B5"/>
        </w:pBdr>
        <w:spacing w:before="80" w:after="120"/>
      </w:pPr>
    </w:p>
    <w:p>
      <w:pPr>
        <w:jc w:val="center"/>
      </w:pPr>
      <w:r>
        <w:rPr>
          <w:color w:val="808080"/>
          <w:sz w:val="16"/>
        </w:rPr>
        <w:t>Lake Deploy Architecture Improvement Plan  |  OnPoint Insights LLC  |  Confidential  |  2026-02-20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