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jc w:val="center"/>
      </w:pPr>
      <w:r>
        <w:rPr>
          <w:rFonts w:ascii="Arial" w:cs="Arial" w:eastAsia="Arial" w:hAnsi="Arial"/>
          <w:b/>
          <w:bCs/>
          <w:color w:val="0D1F35"/>
          <w:sz w:val="52"/>
          <w:szCs w:val="52"/>
        </w:rPr>
        <w:t xml:space="preserve">NOVARIS SOLUTIONS</w:t>
      </w:r>
    </w:p>
    <w:p>
      <w:pPr>
        <w:spacing w:after="60"/>
        <w:jc w:val="center"/>
      </w:pPr>
      <w:r>
        <w:rPr>
          <w:rFonts w:ascii="Arial" w:cs="Arial" w:eastAsia="Arial" w:hAnsi="Arial"/>
          <w:color w:val="C2933A"/>
          <w:sz w:val="36"/>
          <w:szCs w:val="36"/>
        </w:rPr>
        <w:t xml:space="preserve">Benefits &amp; Compensation Policy</w:t>
      </w:r>
    </w:p>
    <w:p>
      <w:pPr>
        <w:spacing w:after="400"/>
        <w:jc w:val="center"/>
      </w:pPr>
      <w:r>
        <w:rPr>
          <w:rFonts w:ascii="Arial" w:cs="Arial" w:eastAsia="Arial" w:hAnsi="Arial"/>
          <w:color w:val="888888"/>
          <w:sz w:val="24"/>
          <w:szCs w:val="24"/>
        </w:rPr>
        <w:t xml:space="preserve">Dubai, United Arab Emirates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single" w:color="C2933A" w:sz="8"/>
              <w:right w:val="none" w:color="FFFFFF" w:sz="0"/>
            </w:tcBorders>
            <w:tcMar>
              <w:top w:type="dxa" w:w="0"/>
              <w:left w:type="dxa" w:w="0"/>
              <w:bottom w:type="dxa" w:w="160"/>
              <w:right w:type="dxa" w:w="0"/>
            </w:tcMar>
          </w:tcPr>
          <w:p>
            <w:pPr>
              <w:jc w:val="center"/>
            </w:pPr>
            <w:r>
              <w:t xml:space="preserve"/>
            </w:r>
          </w:p>
        </w:tc>
      </w:tr>
    </w:tbl>
    <w:p>
      <w:pPr>
        <w:spacing w:after="240" w:before="0"/>
      </w:pPr>
      <w:r>
        <w:t xml:space="preserve"/>
      </w:r>
    </w:p>
    <w:p>
      <w:pPr>
        <w:spacing w:after="60"/>
        <w:jc w:val="center"/>
      </w:pPr>
      <w:r>
        <w:rPr>
          <w:rFonts w:ascii="Arial" w:cs="Arial" w:eastAsia="Arial" w:hAnsi="Arial"/>
          <w:color w:val="888888"/>
          <w:sz w:val="20"/>
          <w:szCs w:val="20"/>
        </w:rPr>
        <w:t xml:space="preserve">Version 1.0  |  Effective Date: January 2025</w:t>
      </w:r>
    </w:p>
    <w:p>
      <w:pPr>
        <w:jc w:val="center"/>
      </w:pPr>
      <w:r>
        <w:rPr>
          <w:rFonts w:ascii="Arial" w:cs="Arial" w:eastAsia="Arial" w:hAnsi="Arial"/>
          <w:color w:val="888888"/>
          <w:sz w:val="20"/>
          <w:szCs w:val="20"/>
        </w:rPr>
        <w:t xml:space="preserve">Human Resources Department</w:t>
      </w:r>
    </w:p>
    <w:p>
      <w:r>
        <w:br w:type="page"/>
      </w:r>
    </w:p>
    <w:p>
      <w:pPr>
        <w:pStyle w:val="Heading1"/>
        <w:pBdr>
          <w:bottom w:val="single" w:color="C2933A" w:sz="8" w:space="4"/>
        </w:pBdr>
        <w:spacing w:after="120" w:before="360"/>
      </w:pPr>
      <w:r>
        <w:rPr>
          <w:rFonts w:ascii="Arial" w:cs="Arial" w:eastAsia="Arial" w:hAnsi="Arial"/>
          <w:b/>
          <w:bCs/>
          <w:color w:val="0D1F35"/>
          <w:sz w:val="32"/>
          <w:szCs w:val="32"/>
        </w:rPr>
        <w:t xml:space="preserve">1. Purpose and Scope</w:t>
      </w:r>
    </w:p>
    <w:p>
      <w:pPr>
        <w:spacing w:after="100" w:before="60"/>
      </w:pPr>
      <w:r>
        <w:rPr>
          <w:rFonts w:ascii="Arial" w:cs="Arial" w:eastAsia="Arial" w:hAnsi="Arial"/>
          <w:color w:val="1A1A2E"/>
          <w:sz w:val="22"/>
          <w:szCs w:val="22"/>
        </w:rPr>
        <w:t xml:space="preserve">This policy sets out the compensation structure, benefits entitlements, and related procedures for all employees of Novaris Solutions LLC in the United Arab Emirates. It should be read alongside the Novaris Solutions Employee HR Handbook.</w:t>
      </w:r>
    </w:p>
    <w:p>
      <w:pPr>
        <w:spacing w:after="100" w:before="60"/>
      </w:pPr>
      <w:r>
        <w:rPr>
          <w:rFonts w:ascii="Arial" w:cs="Arial" w:eastAsia="Arial" w:hAnsi="Arial"/>
          <w:color w:val="1A1A2E"/>
          <w:sz w:val="22"/>
          <w:szCs w:val="22"/>
        </w:rPr>
        <w:t xml:space="preserve">This policy applies to all full-time employees on Novaris Solutions employment contracts. Compensation and benefits for contractors or third-party consultants are governed by their respective agreements and are not covered here.</w:t>
      </w:r>
    </w:p>
    <w:p>
      <w:pPr>
        <w:pBdr>
          <w:left w:val="single" w:color="C2933A" w:sz="12" w:space="8"/>
        </w:pBdr>
        <w:spacing w:after="80" w:before="80"/>
        <w:ind w:left="360"/>
      </w:pPr>
      <w:r>
        <w:rPr>
          <w:rFonts w:ascii="Arial" w:cs="Arial" w:eastAsia="Arial" w:hAnsi="Arial"/>
          <w:i/>
          <w:iCs/>
          <w:color w:val="5A5A5A"/>
          <w:sz w:val="20"/>
          <w:szCs w:val="20"/>
        </w:rPr>
        <w:t xml:space="preserve">Where any provision of this policy conflicts with UAE Federal Decree-Law No. 33 of 2021 on the Regulation of Labour Relations (as amended), UAE law shall prevail.</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2. Salary</w:t>
      </w:r>
    </w:p>
    <w:p>
      <w:pPr>
        <w:pStyle w:val="Heading2"/>
        <w:spacing w:after="80" w:before="280"/>
      </w:pPr>
      <w:r>
        <w:rPr>
          <w:rFonts w:ascii="Arial" w:cs="Arial" w:eastAsia="Arial" w:hAnsi="Arial"/>
          <w:b/>
          <w:bCs/>
          <w:color w:val="0D1F35"/>
          <w:sz w:val="26"/>
          <w:szCs w:val="26"/>
        </w:rPr>
        <w:t xml:space="preserve">2.1 Salary Structure</w:t>
      </w:r>
    </w:p>
    <w:p>
      <w:pPr>
        <w:spacing w:after="100" w:before="60"/>
      </w:pPr>
      <w:r>
        <w:rPr>
          <w:rFonts w:ascii="Arial" w:cs="Arial" w:eastAsia="Arial" w:hAnsi="Arial"/>
          <w:color w:val="1A1A2E"/>
          <w:sz w:val="22"/>
          <w:szCs w:val="22"/>
        </w:rPr>
        <w:t xml:space="preserve">Novaris Solutions pays a monthly salary comprising two components: a basic salary and a fixed monthly allowance. The allowance covers transport and housing contribution. Both components are stated in each employee's employment contract and paid together as a single monthly payment.</w:t>
      </w:r>
    </w:p>
    <w:p>
      <w:pPr>
        <w:spacing w:after="100" w:before="60"/>
      </w:pPr>
      <w:r>
        <w:rPr>
          <w:rFonts w:ascii="Arial" w:cs="Arial" w:eastAsia="Arial" w:hAnsi="Arial"/>
          <w:color w:val="1A1A2E"/>
          <w:sz w:val="22"/>
          <w:szCs w:val="22"/>
        </w:rPr>
        <w:t xml:space="preserve">End of Service Gratuity (EOSG) is calculated on the basic salary component only, in accordance with UAE Federal Decree-Law No. 33 of 2021. The table below sets out the indicative salary ranges by band: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2000"/>
        <w:gridCol w:w="960"/>
      </w:tblGrid>
      <w:tr>
        <w:tc>
          <w:tcPr>
            <w:tcW w:type="dxa" w:w="1400"/>
            <w:tcBorders>
              <w:top w:val="single" w:color="CCCCCC" w:sz="1"/>
              <w:left w:val="single" w:color="CCCCCC" w:sz="1"/>
              <w:bottom w:val="single" w:color="CCCCCC" w:sz="1"/>
              <w:right w:val="single" w:color="CCCCCC" w:sz="1"/>
            </w:tcBorders>
            <w:shd w:fill="0D1F35"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3000"/>
            <w:tcBorders>
              <w:top w:val="single" w:color="CCCCCC" w:sz="1"/>
              <w:left w:val="single" w:color="CCCCCC" w:sz="1"/>
              <w:bottom w:val="single" w:color="CCCCCC" w:sz="1"/>
              <w:right w:val="single" w:color="CCCCCC" w:sz="1"/>
            </w:tcBorders>
            <w:shd w:fill="0D1F35" w:val="clear"/>
            <w:tcMar>
              <w:top w:type="dxa" w:w="80"/>
              <w:left w:type="dxa" w:w="120"/>
              <w:bottom w:type="dxa" w:w="80"/>
              <w:right w:type="dxa" w:w="120"/>
            </w:tcMar>
          </w:tcPr>
          <w:p>
            <w:r>
              <w:rPr>
                <w:rFonts w:ascii="Arial" w:cs="Arial" w:eastAsia="Arial" w:hAnsi="Arial"/>
                <w:b/>
                <w:bCs/>
                <w:color w:val="FFFFFF"/>
                <w:sz w:val="20"/>
                <w:szCs w:val="20"/>
              </w:rPr>
              <w:t xml:space="preserve">Title(s)</w:t>
            </w:r>
          </w:p>
        </w:tc>
        <w:tc>
          <w:tcPr>
            <w:tcW w:type="dxa" w:w="2000"/>
            <w:tcBorders>
              <w:top w:val="single" w:color="CCCCCC" w:sz="1"/>
              <w:left w:val="single" w:color="CCCCCC" w:sz="1"/>
              <w:bottom w:val="single" w:color="CCCCCC" w:sz="1"/>
              <w:right w:val="single" w:color="CCCCCC" w:sz="1"/>
            </w:tcBorders>
            <w:shd w:fill="0D1F35" w:val="clear"/>
            <w:tcMar>
              <w:top w:type="dxa" w:w="80"/>
              <w:left w:type="dxa" w:w="120"/>
              <w:bottom w:type="dxa" w:w="80"/>
              <w:right w:type="dxa" w:w="120"/>
            </w:tcMar>
          </w:tcPr>
          <w:p>
            <w:r>
              <w:rPr>
                <w:rFonts w:ascii="Arial" w:cs="Arial" w:eastAsia="Arial" w:hAnsi="Arial"/>
                <w:b/>
                <w:bCs/>
                <w:color w:val="FFFFFF"/>
                <w:sz w:val="20"/>
                <w:szCs w:val="20"/>
              </w:rPr>
              <w:t xml:space="preserve">Basic (AED)</w:t>
            </w:r>
          </w:p>
        </w:tc>
        <w:tc>
          <w:tcPr>
            <w:tcW w:type="dxa" w:w="2000"/>
            <w:tcBorders>
              <w:top w:val="single" w:color="CCCCCC" w:sz="1"/>
              <w:left w:val="single" w:color="CCCCCC" w:sz="1"/>
              <w:bottom w:val="single" w:color="CCCCCC" w:sz="1"/>
              <w:right w:val="single" w:color="CCCCCC" w:sz="1"/>
            </w:tcBorders>
            <w:shd w:fill="0D1F35" w:val="clear"/>
            <w:tcMar>
              <w:top w:type="dxa" w:w="80"/>
              <w:left w:type="dxa" w:w="120"/>
              <w:bottom w:type="dxa" w:w="80"/>
              <w:right w:type="dxa" w:w="120"/>
            </w:tcMar>
          </w:tcPr>
          <w:p>
            <w:r>
              <w:rPr>
                <w:rFonts w:ascii="Arial" w:cs="Arial" w:eastAsia="Arial" w:hAnsi="Arial"/>
                <w:b/>
                <w:bCs/>
                <w:color w:val="FFFFFF"/>
                <w:sz w:val="20"/>
                <w:szCs w:val="20"/>
              </w:rPr>
              <w:t xml:space="preserve">Allowances (AED)</w:t>
            </w:r>
          </w:p>
        </w:tc>
        <w:tc>
          <w:tcPr>
            <w:tcW w:type="dxa" w:w="960"/>
            <w:tcBorders>
              <w:top w:val="single" w:color="CCCCCC" w:sz="1"/>
              <w:left w:val="single" w:color="CCCCCC" w:sz="1"/>
              <w:bottom w:val="single" w:color="CCCCCC" w:sz="1"/>
              <w:right w:val="single" w:color="CCCCCC" w:sz="1"/>
            </w:tcBorders>
            <w:shd w:fill="0D1F35" w:val="clear"/>
            <w:tcMar>
              <w:top w:type="dxa" w:w="80"/>
              <w:left w:type="dxa" w:w="120"/>
              <w:bottom w:type="dxa" w:w="80"/>
              <w:right w:type="dxa" w:w="120"/>
            </w:tcMar>
          </w:tcPr>
          <w:p>
            <w:r>
              <w:rPr>
                <w:rFonts w:ascii="Arial" w:cs="Arial" w:eastAsia="Arial" w:hAnsi="Arial"/>
                <w:b/>
                <w:bCs/>
                <w:color w:val="FFFFFF"/>
                <w:sz w:val="20"/>
                <w:szCs w:val="20"/>
              </w:rPr>
              <w:t xml:space="preserve">Total (AED)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Band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Analyst / Associate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Band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Consultant / Senior Consultant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13,000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3,000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16,000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Band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Manager / Senior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17,000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20,000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Band 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Director and above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25,000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5,000</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20"/>
                <w:szCs w:val="20"/>
              </w:rPr>
              <w:t xml:space="preserve">30,000</w:t>
            </w:r>
          </w:p>
        </w:tc>
      </w:tr>
    </w:tbl>
    <w:p>
      <w:pPr>
        <w:spacing w:after="60" w:before="0"/>
      </w:pPr>
      <w:r>
        <w:t xml:space="preserve"/>
      </w:r>
    </w:p>
    <w:p>
      <w:pPr>
        <w:spacing w:after="100" w:before="60"/>
      </w:pPr>
      <w:r>
        <w:rPr>
          <w:rFonts w:ascii="Arial" w:cs="Arial" w:eastAsia="Arial" w:hAnsi="Arial"/>
          <w:color w:val="1A1A2E"/>
          <w:sz w:val="22"/>
          <w:szCs w:val="22"/>
        </w:rPr>
        <w:t xml:space="preserve">Salaries are set at the time of hiring based on the role, band, market benchmarking, and the candidate's experience. All salary offers are subject to final approval by the HR Director and the relevant business leader.</w:t>
      </w:r>
    </w:p>
    <w:p>
      <w:pPr>
        <w:pStyle w:val="Heading2"/>
        <w:spacing w:after="80" w:before="280"/>
      </w:pPr>
      <w:r>
        <w:rPr>
          <w:rFonts w:ascii="Arial" w:cs="Arial" w:eastAsia="Arial" w:hAnsi="Arial"/>
          <w:b/>
          <w:bCs/>
          <w:color w:val="0D1F35"/>
          <w:sz w:val="26"/>
          <w:szCs w:val="26"/>
        </w:rPr>
        <w:t xml:space="preserve">2.2 Salary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frequency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Monthly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method</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Bank transfer via the UAE Wage Protection System (WPS)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date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On or before the last working day of each calendar 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Currency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UAE Dirhams (AED)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Payslip</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Issued electronically each month via the HR system</w:t>
            </w:r>
          </w:p>
        </w:tc>
      </w:tr>
    </w:tbl>
    <w:p>
      <w:pPr>
        <w:pBdr>
          <w:left w:val="single" w:color="C2933A" w:sz="12" w:space="8"/>
        </w:pBdr>
        <w:spacing w:after="80" w:before="80"/>
        <w:ind w:left="360"/>
      </w:pPr>
      <w:r>
        <w:rPr>
          <w:rFonts w:ascii="Arial" w:cs="Arial" w:eastAsia="Arial" w:hAnsi="Arial"/>
          <w:i/>
          <w:iCs/>
          <w:color w:val="5A5A5A"/>
          <w:sz w:val="20"/>
          <w:szCs w:val="20"/>
        </w:rPr>
        <w:t xml:space="preserve">The Wage Protection System (WPS) is a UAE government initiative administered by MOHRE that ensures timely and accurate salary payments. All employees are required to maintain an active UAE bank account for WPS purposes. Employees must notify HR of any change to their bank account details at least ten (10) working days before the next payroll date.</w:t>
      </w:r>
    </w:p>
    <w:p>
      <w:pPr>
        <w:pStyle w:val="Heading2"/>
        <w:spacing w:after="80" w:before="280"/>
      </w:pPr>
      <w:r>
        <w:rPr>
          <w:rFonts w:ascii="Arial" w:cs="Arial" w:eastAsia="Arial" w:hAnsi="Arial"/>
          <w:b/>
          <w:bCs/>
          <w:color w:val="0D1F35"/>
          <w:sz w:val="26"/>
          <w:szCs w:val="26"/>
        </w:rPr>
        <w:t xml:space="preserve">2.3 Salary Deductions</w:t>
      </w:r>
    </w:p>
    <w:p>
      <w:pPr>
        <w:spacing w:after="100" w:before="60"/>
      </w:pPr>
      <w:r>
        <w:rPr>
          <w:rFonts w:ascii="Arial" w:cs="Arial" w:eastAsia="Arial" w:hAnsi="Arial"/>
          <w:color w:val="1A1A2E"/>
          <w:sz w:val="22"/>
          <w:szCs w:val="22"/>
        </w:rPr>
        <w:t xml:space="preserve">Deductions from salary will only be made in the following circumstances:</w:t>
      </w:r>
    </w:p>
    <w:p>
      <w:pPr>
        <w:pStyle w:val="ListParagraph"/>
        <w:numPr>
          <w:ilvl w:val="0"/>
          <w:numId w:val="2"/>
        </w:numPr>
        <w:spacing w:after="40" w:before="40"/>
      </w:pPr>
      <w:r>
        <w:rPr>
          <w:rFonts w:ascii="Arial" w:cs="Arial" w:eastAsia="Arial" w:hAnsi="Arial"/>
          <w:color w:val="1A1A2E"/>
          <w:sz w:val="22"/>
          <w:szCs w:val="22"/>
        </w:rPr>
        <w:t xml:space="preserve">Statutory deductions as required by UAE law</w:t>
      </w:r>
    </w:p>
    <w:p>
      <w:pPr>
        <w:pStyle w:val="ListParagraph"/>
        <w:numPr>
          <w:ilvl w:val="0"/>
          <w:numId w:val="2"/>
        </w:numPr>
        <w:spacing w:after="40" w:before="40"/>
      </w:pPr>
      <w:r>
        <w:rPr>
          <w:rFonts w:ascii="Arial" w:cs="Arial" w:eastAsia="Arial" w:hAnsi="Arial"/>
          <w:color w:val="1A1A2E"/>
          <w:sz w:val="22"/>
          <w:szCs w:val="22"/>
        </w:rPr>
        <w:t xml:space="preserve">Recovery of overpayments made in error in a previous payroll period</w:t>
      </w:r>
    </w:p>
    <w:p>
      <w:pPr>
        <w:pStyle w:val="ListParagraph"/>
        <w:numPr>
          <w:ilvl w:val="0"/>
          <w:numId w:val="2"/>
        </w:numPr>
        <w:spacing w:after="40" w:before="40"/>
      </w:pPr>
      <w:r>
        <w:rPr>
          <w:rFonts w:ascii="Arial" w:cs="Arial" w:eastAsia="Arial" w:hAnsi="Arial"/>
          <w:color w:val="1A1A2E"/>
          <w:sz w:val="22"/>
          <w:szCs w:val="22"/>
        </w:rPr>
        <w:t xml:space="preserve">Deduction of excess annual leave taken beyond accrued entitlement at the time of exit</w:t>
      </w:r>
    </w:p>
    <w:p>
      <w:pPr>
        <w:pStyle w:val="ListParagraph"/>
        <w:numPr>
          <w:ilvl w:val="0"/>
          <w:numId w:val="2"/>
        </w:numPr>
        <w:spacing w:after="40" w:before="40"/>
      </w:pPr>
      <w:r>
        <w:rPr>
          <w:rFonts w:ascii="Arial" w:cs="Arial" w:eastAsia="Arial" w:hAnsi="Arial"/>
          <w:color w:val="1A1A2E"/>
          <w:sz w:val="22"/>
          <w:szCs w:val="22"/>
        </w:rPr>
        <w:t xml:space="preserve">Any other deduction explicitly authorised in writing by the employee</w:t>
      </w:r>
    </w:p>
    <w:p>
      <w:pPr>
        <w:spacing w:after="100" w:before="60"/>
      </w:pPr>
      <w:r>
        <w:rPr>
          <w:rFonts w:ascii="Arial" w:cs="Arial" w:eastAsia="Arial" w:hAnsi="Arial"/>
          <w:color w:val="1A1A2E"/>
          <w:sz w:val="22"/>
          <w:szCs w:val="22"/>
        </w:rPr>
        <w:t xml:space="preserve">Novaris Solutions will not make any unauthorised or punitive deductions from salary. In the event of a payroll error, HR will notify the affected employee and agree a repayment schedule where a full immediate deduction would cause financial hardship.</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3. Salary Review</w:t>
      </w:r>
    </w:p>
    <w:p>
      <w:pPr>
        <w:pStyle w:val="Heading2"/>
        <w:spacing w:after="80" w:before="280"/>
      </w:pPr>
      <w:r>
        <w:rPr>
          <w:rFonts w:ascii="Arial" w:cs="Arial" w:eastAsia="Arial" w:hAnsi="Arial"/>
          <w:b/>
          <w:bCs/>
          <w:color w:val="0D1F35"/>
          <w:sz w:val="26"/>
          <w:szCs w:val="26"/>
        </w:rPr>
        <w:t xml:space="preserve">3.1 Annual Review Cycle</w:t>
      </w:r>
    </w:p>
    <w:p>
      <w:pPr>
        <w:spacing w:after="100" w:before="60"/>
      </w:pPr>
      <w:r>
        <w:rPr>
          <w:rFonts w:ascii="Arial" w:cs="Arial" w:eastAsia="Arial" w:hAnsi="Arial"/>
          <w:color w:val="1A1A2E"/>
          <w:sz w:val="22"/>
          <w:szCs w:val="22"/>
        </w:rPr>
        <w:t xml:space="preserve">Salaries are reviewed once per year as part of the annual performance cycle. The review is not an automatic increase — it is a considered decision based on individual performance, role scope, market positioning, and company financial performance.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Timing</w:t>
            </w:r>
          </w:p>
        </w:tc>
        <w:tc>
          <w:tcPr>
            <w:tcW w:type="dxa" w:w="49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Goal Setting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January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Employee and manager agree on objectives aligned to team and company goals for the year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Mid-Year Check-In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July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Progress review, goal adjustment if required, development discussion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Annual 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December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Formal performance evaluation resulting in an overall rating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Salary Review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December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Compensation decisions based on annual rating, effective 1 January</w:t>
            </w:r>
          </w:p>
        </w:tc>
      </w:tr>
    </w:tbl>
    <w:p>
      <w:pPr>
        <w:spacing w:after="60" w:before="0"/>
      </w:pPr>
      <w:r>
        <w:t xml:space="preserve"/>
      </w:r>
    </w:p>
    <w:p>
      <w:pPr>
        <w:spacing w:after="100" w:before="60"/>
      </w:pPr>
      <w:r>
        <w:rPr>
          <w:rFonts w:ascii="Arial" w:cs="Arial" w:eastAsia="Arial" w:hAnsi="Arial"/>
          <w:color w:val="1A1A2E"/>
          <w:sz w:val="22"/>
          <w:szCs w:val="22"/>
        </w:rPr>
        <w:t xml:space="preserve">Salary adjustments, where approved, are effective from 1 January of the following year and will be reflected in the January payroll.</w:t>
      </w:r>
    </w:p>
    <w:p>
      <w:pPr>
        <w:pStyle w:val="Heading2"/>
        <w:spacing w:after="80" w:before="280"/>
      </w:pPr>
      <w:r>
        <w:rPr>
          <w:rFonts w:ascii="Arial" w:cs="Arial" w:eastAsia="Arial" w:hAnsi="Arial"/>
          <w:b/>
          <w:bCs/>
          <w:color w:val="0D1F35"/>
          <w:sz w:val="26"/>
          <w:szCs w:val="26"/>
        </w:rPr>
        <w:t xml:space="preserve">3.2 New Joiners</w:t>
      </w:r>
    </w:p>
    <w:p>
      <w:pPr>
        <w:spacing w:after="100" w:before="60"/>
      </w:pPr>
      <w:r>
        <w:rPr>
          <w:rFonts w:ascii="Arial" w:cs="Arial" w:eastAsia="Arial" w:hAnsi="Arial"/>
          <w:color w:val="1A1A2E"/>
          <w:sz w:val="22"/>
          <w:szCs w:val="22"/>
        </w:rPr>
        <w:t xml:space="preserve">Employees who join Novaris Solutions after 1 July in any given year will not be eligible for the salary review in that same December cycle. Their first eligible review will be in the December following their completion of at least six months of service.</w:t>
      </w:r>
    </w:p>
    <w:p>
      <w:pPr>
        <w:pStyle w:val="Heading2"/>
        <w:spacing w:after="80" w:before="280"/>
      </w:pPr>
      <w:r>
        <w:rPr>
          <w:rFonts w:ascii="Arial" w:cs="Arial" w:eastAsia="Arial" w:hAnsi="Arial"/>
          <w:b/>
          <w:bCs/>
          <w:color w:val="0D1F35"/>
          <w:sz w:val="26"/>
          <w:szCs w:val="26"/>
        </w:rPr>
        <w:t xml:space="preserve">3.3 Employees on Performance Improvement Plans</w:t>
      </w:r>
    </w:p>
    <w:p>
      <w:pPr>
        <w:spacing w:after="100" w:before="60"/>
      </w:pPr>
      <w:r>
        <w:rPr>
          <w:rFonts w:ascii="Arial" w:cs="Arial" w:eastAsia="Arial" w:hAnsi="Arial"/>
          <w:color w:val="1A1A2E"/>
          <w:sz w:val="22"/>
          <w:szCs w:val="22"/>
        </w:rPr>
        <w:t xml:space="preserve">Employees who are on an active Performance Improvement Plan (PIP) at the time of the annual salary review are not eligible for a salary increase in that cycle. Eligibility may be reinstated in a subsequent cycle following successful completion of the PIP.</w:t>
      </w:r>
    </w:p>
    <w:p>
      <w:pPr>
        <w:pBdr>
          <w:left w:val="single" w:color="C2933A" w:sz="12" w:space="8"/>
        </w:pBdr>
        <w:spacing w:after="80" w:before="80"/>
        <w:ind w:left="360"/>
      </w:pPr>
      <w:r>
        <w:rPr>
          <w:rFonts w:ascii="Arial" w:cs="Arial" w:eastAsia="Arial" w:hAnsi="Arial"/>
          <w:i/>
          <w:iCs/>
          <w:color w:val="5A5A5A"/>
          <w:sz w:val="20"/>
          <w:szCs w:val="20"/>
        </w:rPr>
        <w:t xml:space="preserve">A salary review does not guarantee an increase. The outcome of each review depends on individual performance ratings, team budget allocations, and company-wide compensation decisions. Employees will be notified of their review outcome by their line manager in December each year.</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4. End of Service Gratuity (EOSG)</w:t>
      </w:r>
    </w:p>
    <w:p>
      <w:pPr>
        <w:pStyle w:val="Heading2"/>
        <w:spacing w:after="80" w:before="280"/>
      </w:pPr>
      <w:r>
        <w:rPr>
          <w:rFonts w:ascii="Arial" w:cs="Arial" w:eastAsia="Arial" w:hAnsi="Arial"/>
          <w:b/>
          <w:bCs/>
          <w:color w:val="0D1F35"/>
          <w:sz w:val="26"/>
          <w:szCs w:val="26"/>
        </w:rPr>
        <w:t xml:space="preserve">4.1 Entitlement</w:t>
      </w:r>
    </w:p>
    <w:p>
      <w:pPr>
        <w:spacing w:after="100" w:before="60"/>
      </w:pPr>
      <w:r>
        <w:rPr>
          <w:rFonts w:ascii="Arial" w:cs="Arial" w:eastAsia="Arial" w:hAnsi="Arial"/>
          <w:color w:val="1A1A2E"/>
          <w:sz w:val="22"/>
          <w:szCs w:val="22"/>
        </w:rPr>
        <w:t xml:space="preserve">All employees who complete at least one (1) year of continuous service with Novaris Solutions are entitled to an End of Service Gratuity payment upon separation, in accordance with UAE Federal Decree-Law No. 33 of 2021.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Years of Service</w:t>
            </w:r>
          </w:p>
        </w:tc>
        <w:tc>
          <w:tcPr>
            <w:tcW w:type="dxa" w:w="280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Gratuity Rate</w:t>
            </w:r>
          </w:p>
        </w:tc>
        <w:tc>
          <w:tcPr>
            <w:tcW w:type="dxa" w:w="3760"/>
            <w:tcBorders>
              <w:top w:val="single" w:color="CCCCCC" w:sz="1"/>
              <w:left w:val="single" w:color="CCCCCC" w:sz="1"/>
              <w:bottom w:val="single" w:color="CCCCCC" w:sz="1"/>
              <w:right w:val="single" w:color="CCCCCC" w:sz="1"/>
            </w:tcBorders>
            <w:shd w:fill="0D1F35" w:val="clear"/>
            <w:tcMar>
              <w:top w:type="dxa" w:w="80"/>
              <w:left w:type="dxa" w:w="160"/>
              <w:bottom w:type="dxa" w:w="80"/>
              <w:right w:type="dxa" w:w="160"/>
            </w:tcMar>
          </w:tcPr>
          <w:p>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Less than 1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 applicable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 gratuity entitlement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1 to 5 years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21 calendar days per year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1A1A2E"/>
                <w:sz w:val="20"/>
                <w:szCs w:val="20"/>
              </w:rPr>
              <w:t xml:space="preserve">Calculated on last drawn monthly salary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More than 5 years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30 calendar days per year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Calculated on last drawn monthly salary</w:t>
            </w:r>
          </w:p>
        </w:tc>
      </w:tr>
    </w:tbl>
    <w:p>
      <w:pPr>
        <w:spacing w:after="60" w:before="0"/>
      </w:pPr>
      <w:r>
        <w:t xml:space="preserve"/>
      </w:r>
    </w:p>
    <w:p>
      <w:pPr>
        <w:pBdr>
          <w:left w:val="single" w:color="C2933A" w:sz="12" w:space="8"/>
        </w:pBdr>
        <w:spacing w:after="80" w:before="80"/>
        <w:ind w:left="360"/>
      </w:pPr>
      <w:r>
        <w:rPr>
          <w:rFonts w:ascii="Arial" w:cs="Arial" w:eastAsia="Arial" w:hAnsi="Arial"/>
          <w:i/>
          <w:iCs/>
          <w:color w:val="5A5A5A"/>
          <w:sz w:val="20"/>
          <w:szCs w:val="20"/>
        </w:rPr>
        <w:t xml:space="preserve">For the purposes of EOSG calculation at Novaris Solutions, the salary base is the employee's last drawn basic salary (excluding allowances), in accordance with UAE Federal Decree-Law No. 33 of 2021. Partial years of service are calculated on a pro-rata basis.</w:t>
      </w:r>
    </w:p>
    <w:p>
      <w:pPr>
        <w:pStyle w:val="Heading2"/>
        <w:spacing w:after="80" w:before="280"/>
      </w:pPr>
      <w:r>
        <w:rPr>
          <w:rFonts w:ascii="Arial" w:cs="Arial" w:eastAsia="Arial" w:hAnsi="Arial"/>
          <w:b/>
          <w:bCs/>
          <w:color w:val="0D1F35"/>
          <w:sz w:val="26"/>
          <w:szCs w:val="26"/>
        </w:rPr>
        <w:t xml:space="preserve">4.2 EOSG Calculation Example</w:t>
      </w:r>
    </w:p>
    <w:p>
      <w:pPr>
        <w:spacing w:after="100" w:before="60"/>
      </w:pPr>
      <w:r>
        <w:rPr>
          <w:rFonts w:ascii="Arial" w:cs="Arial" w:eastAsia="Arial" w:hAnsi="Arial"/>
          <w:color w:val="1A1A2E"/>
          <w:sz w:val="22"/>
          <w:szCs w:val="22"/>
        </w:rPr>
        <w:t xml:space="preserve">An employee who has completed 7 years of service with a final monthly salary of AED 20,000 would receive the following EOSG:</w:t>
      </w:r>
    </w:p>
    <w:p>
      <w:pPr>
        <w:pStyle w:val="ListParagraph"/>
        <w:numPr>
          <w:ilvl w:val="0"/>
          <w:numId w:val="2"/>
        </w:numPr>
        <w:spacing w:after="40" w:before="40"/>
      </w:pPr>
      <w:r>
        <w:rPr>
          <w:rFonts w:ascii="Arial" w:cs="Arial" w:eastAsia="Arial" w:hAnsi="Arial"/>
          <w:color w:val="1A1A2E"/>
          <w:sz w:val="22"/>
          <w:szCs w:val="22"/>
        </w:rPr>
        <w:t xml:space="preserve">First 5 years: (20,000 / 30) x 21 days x 5 years = AED 70,000</w:t>
      </w:r>
    </w:p>
    <w:p>
      <w:pPr>
        <w:pStyle w:val="ListParagraph"/>
        <w:numPr>
          <w:ilvl w:val="0"/>
          <w:numId w:val="2"/>
        </w:numPr>
        <w:spacing w:after="40" w:before="40"/>
      </w:pPr>
      <w:r>
        <w:rPr>
          <w:rFonts w:ascii="Arial" w:cs="Arial" w:eastAsia="Arial" w:hAnsi="Arial"/>
          <w:color w:val="1A1A2E"/>
          <w:sz w:val="22"/>
          <w:szCs w:val="22"/>
        </w:rPr>
        <w:t xml:space="preserve">Years 6 and 7: (20,000 / 30) x 30 days x 2 years = AED 40,000</w:t>
      </w:r>
    </w:p>
    <w:p>
      <w:pPr>
        <w:pStyle w:val="ListParagraph"/>
        <w:numPr>
          <w:ilvl w:val="0"/>
          <w:numId w:val="2"/>
        </w:numPr>
        <w:spacing w:after="40" w:before="40"/>
      </w:pPr>
      <w:r>
        <w:rPr>
          <w:rFonts w:ascii="Arial" w:cs="Arial" w:eastAsia="Arial" w:hAnsi="Arial"/>
          <w:color w:val="1A1A2E"/>
          <w:sz w:val="22"/>
          <w:szCs w:val="22"/>
        </w:rPr>
        <w:t xml:space="preserve">Total EOSG = AED 110,000</w:t>
      </w:r>
    </w:p>
    <w:p>
      <w:pPr>
        <w:pBdr>
          <w:left w:val="single" w:color="C2933A" w:sz="12" w:space="8"/>
        </w:pBdr>
        <w:spacing w:after="80" w:before="80"/>
        <w:ind w:left="360"/>
      </w:pPr>
      <w:r>
        <w:rPr>
          <w:rFonts w:ascii="Arial" w:cs="Arial" w:eastAsia="Arial" w:hAnsi="Arial"/>
          <w:i/>
          <w:iCs/>
          <w:color w:val="5A5A5A"/>
          <w:sz w:val="20"/>
          <w:szCs w:val="20"/>
        </w:rPr>
        <w:t xml:space="preserve">This example is for illustrative purposes only. Actual EOSG calculations are performed by HR and Finance at the time of separation based on the employee's final salary and confirmed service record.</w:t>
      </w:r>
    </w:p>
    <w:p>
      <w:pPr>
        <w:pStyle w:val="Heading2"/>
        <w:spacing w:after="80" w:before="280"/>
      </w:pPr>
      <w:r>
        <w:rPr>
          <w:rFonts w:ascii="Arial" w:cs="Arial" w:eastAsia="Arial" w:hAnsi="Arial"/>
          <w:b/>
          <w:bCs/>
          <w:color w:val="0D1F35"/>
          <w:sz w:val="26"/>
          <w:szCs w:val="26"/>
        </w:rPr>
        <w:t xml:space="preserve">4.3 EOSG on Resignation</w:t>
      </w:r>
    </w:p>
    <w:p>
      <w:pPr>
        <w:spacing w:after="100" w:before="60"/>
      </w:pPr>
      <w:r>
        <w:rPr>
          <w:rFonts w:ascii="Arial" w:cs="Arial" w:eastAsia="Arial" w:hAnsi="Arial"/>
          <w:color w:val="1A1A2E"/>
          <w:sz w:val="22"/>
          <w:szCs w:val="22"/>
        </w:rPr>
        <w:t xml:space="preserve">Employees who resign are entitled to full EOSG as calculated above, provided they have completed at least one year of continuous service and serve their notice period in full. EOSG is not forfeited on resignation under UAE Federal Decree-Law No. 33 of 2021.</w:t>
      </w:r>
    </w:p>
    <w:p>
      <w:pPr>
        <w:pStyle w:val="Heading2"/>
        <w:spacing w:after="80" w:before="280"/>
      </w:pPr>
      <w:r>
        <w:rPr>
          <w:rFonts w:ascii="Arial" w:cs="Arial" w:eastAsia="Arial" w:hAnsi="Arial"/>
          <w:b/>
          <w:bCs/>
          <w:color w:val="0D1F35"/>
          <w:sz w:val="26"/>
          <w:szCs w:val="26"/>
        </w:rPr>
        <w:t xml:space="preserve">4.4 EOSG on Termination</w:t>
      </w:r>
    </w:p>
    <w:p>
      <w:pPr>
        <w:spacing w:after="100" w:before="60"/>
      </w:pPr>
      <w:r>
        <w:rPr>
          <w:rFonts w:ascii="Arial" w:cs="Arial" w:eastAsia="Arial" w:hAnsi="Arial"/>
          <w:color w:val="1A1A2E"/>
          <w:sz w:val="22"/>
          <w:szCs w:val="22"/>
        </w:rPr>
        <w:t xml:space="preserve">In cases of termination by the Company, EOSG is payable in full in accordance with the table above, unless the termination is for a reason that permits withholding of EOSG under Article 44 of UAE Federal Decree-Law No. 33 of 2021. HR will advise on the applicable treatment at the time of separation.</w:t>
      </w:r>
    </w:p>
    <w:p>
      <w:pPr>
        <w:pStyle w:val="Heading2"/>
        <w:spacing w:after="80" w:before="280"/>
      </w:pPr>
      <w:r>
        <w:rPr>
          <w:rFonts w:ascii="Arial" w:cs="Arial" w:eastAsia="Arial" w:hAnsi="Arial"/>
          <w:b/>
          <w:bCs/>
          <w:color w:val="0D1F35"/>
          <w:sz w:val="26"/>
          <w:szCs w:val="26"/>
        </w:rPr>
        <w:t xml:space="preserve">4.5 EOSG Payment Timeline</w:t>
      </w:r>
    </w:p>
    <w:p>
      <w:pPr>
        <w:spacing w:after="100" w:before="60"/>
      </w:pPr>
      <w:r>
        <w:rPr>
          <w:rFonts w:ascii="Arial" w:cs="Arial" w:eastAsia="Arial" w:hAnsi="Arial"/>
          <w:color w:val="1A1A2E"/>
          <w:sz w:val="22"/>
          <w:szCs w:val="22"/>
        </w:rPr>
        <w:t xml:space="preserve">EOSG and all other final entitlements will be paid within fourteen (14) calendar days of the employee's last working day, in accordance with UAE Labour Law.</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5. Annual Air Ticket Allowance</w:t>
      </w:r>
    </w:p>
    <w:p>
      <w:pPr>
        <w:pStyle w:val="Heading2"/>
        <w:spacing w:after="80" w:before="280"/>
      </w:pPr>
      <w:r>
        <w:rPr>
          <w:rFonts w:ascii="Arial" w:cs="Arial" w:eastAsia="Arial" w:hAnsi="Arial"/>
          <w:b/>
          <w:bCs/>
          <w:color w:val="0D1F35"/>
          <w:sz w:val="26"/>
          <w:szCs w:val="26"/>
        </w:rPr>
        <w:t xml:space="preserve">5.1 Entitlement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Type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Fixed annual cash allowance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Amount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As specified in the individual employment contract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Purpose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To facilitate one annual return journey to the employee's home country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Eligibility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Employees who have completed one (1) full year of continuous service as of 1 June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Payment date</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Paid in June, with the monthly salary payroll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Receipt requirement</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No receipts required — the allowance is paid unconditionally upon eligibility</w:t>
            </w:r>
          </w:p>
        </w:tc>
      </w:tr>
    </w:tbl>
    <w:p>
      <w:pPr>
        <w:pStyle w:val="Heading2"/>
        <w:spacing w:after="80" w:before="280"/>
      </w:pPr>
      <w:r>
        <w:rPr>
          <w:rFonts w:ascii="Arial" w:cs="Arial" w:eastAsia="Arial" w:hAnsi="Arial"/>
          <w:b/>
          <w:bCs/>
          <w:color w:val="0D1F35"/>
          <w:sz w:val="26"/>
          <w:szCs w:val="26"/>
        </w:rPr>
        <w:t xml:space="preserve">5.2 Proration</w:t>
      </w:r>
    </w:p>
    <w:p>
      <w:pPr>
        <w:spacing w:after="100" w:before="60"/>
      </w:pPr>
      <w:r>
        <w:rPr>
          <w:rFonts w:ascii="Arial" w:cs="Arial" w:eastAsia="Arial" w:hAnsi="Arial"/>
          <w:color w:val="1A1A2E"/>
          <w:sz w:val="22"/>
          <w:szCs w:val="22"/>
        </w:rPr>
        <w:t xml:space="preserve">The air ticket allowance is prorated in the following circumstances:</w:t>
      </w:r>
    </w:p>
    <w:p>
      <w:pPr>
        <w:pStyle w:val="ListParagraph"/>
        <w:numPr>
          <w:ilvl w:val="0"/>
          <w:numId w:val="2"/>
        </w:numPr>
        <w:spacing w:after="40" w:before="40"/>
      </w:pPr>
      <w:r>
        <w:rPr>
          <w:rFonts w:ascii="Arial" w:cs="Arial" w:eastAsia="Arial" w:hAnsi="Arial"/>
          <w:color w:val="1A1A2E"/>
          <w:sz w:val="22"/>
          <w:szCs w:val="22"/>
        </w:rPr>
        <w:t xml:space="preserve">In the year of joining — if an employee joins between 1 January and 31 May and has not yet completed one year of service by 1 June, they will not receive the allowance in that June. Their first payment will be in June of the following year, provided they have then completed one full year of service.</w:t>
      </w:r>
    </w:p>
    <w:p>
      <w:pPr>
        <w:pStyle w:val="ListParagraph"/>
        <w:numPr>
          <w:ilvl w:val="0"/>
          <w:numId w:val="2"/>
        </w:numPr>
        <w:spacing w:after="40" w:before="40"/>
      </w:pPr>
      <w:r>
        <w:rPr>
          <w:rFonts w:ascii="Arial" w:cs="Arial" w:eastAsia="Arial" w:hAnsi="Arial"/>
          <w:color w:val="1A1A2E"/>
          <w:sz w:val="22"/>
          <w:szCs w:val="22"/>
        </w:rPr>
        <w:t xml:space="preserve">In the year of exit — if an employee exits employment after June, no additional proration applies as the allowance will already have been paid. If an employee exits before the June payment date in any year and has completed at least one full year of service, a prorated amount for the months served in that calendar year will be included in the final settlement.</w:t>
      </w:r>
    </w:p>
    <w:p>
      <w:pPr>
        <w:pStyle w:val="Heading2"/>
        <w:spacing w:after="80" w:before="280"/>
      </w:pPr>
      <w:r>
        <w:rPr>
          <w:rFonts w:ascii="Arial" w:cs="Arial" w:eastAsia="Arial" w:hAnsi="Arial"/>
          <w:b/>
          <w:bCs/>
          <w:color w:val="0D1F35"/>
          <w:sz w:val="26"/>
          <w:szCs w:val="26"/>
        </w:rPr>
        <w:t xml:space="preserve">5.3 No Carry Forward</w:t>
      </w:r>
    </w:p>
    <w:p>
      <w:pPr>
        <w:spacing w:after="100" w:before="60"/>
      </w:pPr>
      <w:r>
        <w:rPr>
          <w:rFonts w:ascii="Arial" w:cs="Arial" w:eastAsia="Arial" w:hAnsi="Arial"/>
          <w:color w:val="1A1A2E"/>
          <w:sz w:val="22"/>
          <w:szCs w:val="22"/>
        </w:rPr>
        <w:t xml:space="preserve">The air ticket allowance is an annual benefit and does not carry forward. If an employee does not travel to their home country in a given year, the allowance is still paid and is not reclaimed by the Company.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6. Health Insurance</w:t>
      </w:r>
    </w:p>
    <w:p>
      <w:pPr>
        <w:pStyle w:val="Heading2"/>
        <w:spacing w:after="80" w:before="280"/>
      </w:pPr>
      <w:r>
        <w:rPr>
          <w:rFonts w:ascii="Arial" w:cs="Arial" w:eastAsia="Arial" w:hAnsi="Arial"/>
          <w:b/>
          <w:bCs/>
          <w:color w:val="0D1F35"/>
          <w:sz w:val="26"/>
          <w:szCs w:val="26"/>
        </w:rPr>
        <w:t xml:space="preserve">6.1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Provider framework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Dubai Health Authority (DHA)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Effective from</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First day of employment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Covered party</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Employee only (dependant coverage not included as standard)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Network</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Details of the approved provider network are issued by HR upon joining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D1F35"/>
                <w:sz w:val="20"/>
                <w:szCs w:val="20"/>
              </w:rPr>
              <w:t xml:space="preserve">Renewal</w:t>
            </w:r>
          </w:p>
        </w:tc>
        <w:tc>
          <w:tcPr>
            <w:tcW w:type="dxa" w:w="6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A1A2E"/>
                <w:sz w:val="20"/>
                <w:szCs w:val="20"/>
              </w:rPr>
              <w:t xml:space="preserve">Policy renews annually — HR will communicate any changes to coverage or network</w:t>
            </w:r>
          </w:p>
        </w:tc>
      </w:tr>
    </w:tbl>
    <w:p>
      <w:pPr>
        <w:spacing w:after="100" w:before="60"/>
      </w:pPr>
      <w:r>
        <w:rPr>
          <w:rFonts w:ascii="Arial" w:cs="Arial" w:eastAsia="Arial" w:hAnsi="Arial"/>
          <w:color w:val="1A1A2E"/>
          <w:sz w:val="22"/>
          <w:szCs w:val="22"/>
        </w:rPr>
        <w:t xml:space="preserve">Health insurance coverage is a legal requirement for all employees working in Dubai under the Dubai Health Insurance Law (Law No. 11 of 2013). Novaris Solutions maintains a group health insurance policy that meets or exceeds DHA minimum requirements.</w:t>
      </w:r>
    </w:p>
    <w:p>
      <w:pPr>
        <w:pStyle w:val="Heading2"/>
        <w:spacing w:after="80" w:before="280"/>
      </w:pPr>
      <w:r>
        <w:rPr>
          <w:rFonts w:ascii="Arial" w:cs="Arial" w:eastAsia="Arial" w:hAnsi="Arial"/>
          <w:b/>
          <w:bCs/>
          <w:color w:val="0D1F35"/>
          <w:sz w:val="26"/>
          <w:szCs w:val="26"/>
        </w:rPr>
        <w:t xml:space="preserve">6.2 Employee Responsibilities</w:t>
      </w:r>
    </w:p>
    <w:p>
      <w:pPr>
        <w:pStyle w:val="ListParagraph"/>
        <w:numPr>
          <w:ilvl w:val="0"/>
          <w:numId w:val="2"/>
        </w:numPr>
        <w:spacing w:after="40" w:before="40"/>
      </w:pPr>
      <w:r>
        <w:rPr>
          <w:rFonts w:ascii="Arial" w:cs="Arial" w:eastAsia="Arial" w:hAnsi="Arial"/>
          <w:color w:val="1A1A2E"/>
          <w:sz w:val="22"/>
          <w:szCs w:val="22"/>
        </w:rPr>
        <w:t xml:space="preserve">Employees must carry their health insurance card at all times for medical appointments</w:t>
      </w:r>
    </w:p>
    <w:p>
      <w:pPr>
        <w:pStyle w:val="ListParagraph"/>
        <w:numPr>
          <w:ilvl w:val="0"/>
          <w:numId w:val="2"/>
        </w:numPr>
        <w:spacing w:after="40" w:before="40"/>
      </w:pPr>
      <w:r>
        <w:rPr>
          <w:rFonts w:ascii="Arial" w:cs="Arial" w:eastAsia="Arial" w:hAnsi="Arial"/>
          <w:color w:val="1A1A2E"/>
          <w:sz w:val="22"/>
          <w:szCs w:val="22"/>
        </w:rPr>
        <w:t xml:space="preserve">Employees must notify HR immediately of any change in personal circumstances that may affect insurance eligibility (for example, a change in visa status)</w:t>
      </w:r>
    </w:p>
    <w:p>
      <w:pPr>
        <w:pStyle w:val="ListParagraph"/>
        <w:numPr>
          <w:ilvl w:val="0"/>
          <w:numId w:val="2"/>
        </w:numPr>
        <w:spacing w:after="40" w:before="40"/>
      </w:pPr>
      <w:r>
        <w:rPr>
          <w:rFonts w:ascii="Arial" w:cs="Arial" w:eastAsia="Arial" w:hAnsi="Arial"/>
          <w:color w:val="1A1A2E"/>
          <w:sz w:val="22"/>
          <w:szCs w:val="22"/>
        </w:rPr>
        <w:t xml:space="preserve">Costs for treatments outside the approved network, or for services not covered under the policy, are the employee's own responsibility</w:t>
      </w:r>
    </w:p>
    <w:p>
      <w:pPr>
        <w:pStyle w:val="ListParagraph"/>
        <w:numPr>
          <w:ilvl w:val="0"/>
          <w:numId w:val="2"/>
        </w:numPr>
        <w:spacing w:after="40" w:before="40"/>
      </w:pPr>
      <w:r>
        <w:rPr>
          <w:rFonts w:ascii="Arial" w:cs="Arial" w:eastAsia="Arial" w:hAnsi="Arial"/>
          <w:color w:val="1A1A2E"/>
          <w:sz w:val="22"/>
          <w:szCs w:val="22"/>
        </w:rPr>
        <w:t xml:space="preserve">Lost or damaged insurance cards must be reported to HR promptly for replacement</w:t>
      </w:r>
    </w:p>
    <w:p>
      <w:pPr>
        <w:pStyle w:val="Heading2"/>
        <w:spacing w:after="80" w:before="280"/>
      </w:pPr>
      <w:r>
        <w:rPr>
          <w:rFonts w:ascii="Arial" w:cs="Arial" w:eastAsia="Arial" w:hAnsi="Arial"/>
          <w:b/>
          <w:bCs/>
          <w:color w:val="0D1F35"/>
          <w:sz w:val="26"/>
          <w:szCs w:val="26"/>
        </w:rPr>
        <w:t xml:space="preserve">6.3 Coverage During Notice Period</w:t>
      </w:r>
    </w:p>
    <w:p>
      <w:pPr>
        <w:spacing w:after="100" w:before="60"/>
      </w:pPr>
      <w:r>
        <w:rPr>
          <w:rFonts w:ascii="Arial" w:cs="Arial" w:eastAsia="Arial" w:hAnsi="Arial"/>
          <w:color w:val="1A1A2E"/>
          <w:sz w:val="22"/>
          <w:szCs w:val="22"/>
        </w:rPr>
        <w:t xml:space="preserve">Health insurance coverage remains active throughout the notice period and until the employee's final working day. Coverage ceases on the date of separation. Employees are responsible for arranging their own health insurance coverage after their employment with Novaris Solutions ends.</w:t>
      </w:r>
    </w:p>
    <w:p>
      <w:pPr>
        <w:pStyle w:val="Heading2"/>
        <w:spacing w:after="80" w:before="280"/>
      </w:pPr>
      <w:r>
        <w:rPr>
          <w:rFonts w:ascii="Arial" w:cs="Arial" w:eastAsia="Arial" w:hAnsi="Arial"/>
          <w:b/>
          <w:bCs/>
          <w:color w:val="0D1F35"/>
          <w:sz w:val="26"/>
          <w:szCs w:val="26"/>
        </w:rPr>
        <w:t xml:space="preserve">6.4 Dependant Coverage</w:t>
      </w:r>
    </w:p>
    <w:p>
      <w:pPr>
        <w:spacing w:after="100" w:before="60"/>
      </w:pPr>
      <w:r>
        <w:rPr>
          <w:rFonts w:ascii="Arial" w:cs="Arial" w:eastAsia="Arial" w:hAnsi="Arial"/>
          <w:color w:val="1A1A2E"/>
          <w:sz w:val="22"/>
          <w:szCs w:val="22"/>
        </w:rPr>
        <w:t xml:space="preserve">Dependant coverage (spouse and children) is not included as a standard benefit. Employees wishing to add dependants to the policy may do so at their own cost. HR can provide details of the applicable premium rates upon request.</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7. Additional Benefits</w:t>
      </w:r>
    </w:p>
    <w:p>
      <w:pPr>
        <w:pStyle w:val="Heading2"/>
        <w:spacing w:after="80" w:before="280"/>
      </w:pPr>
      <w:r>
        <w:rPr>
          <w:rFonts w:ascii="Arial" w:cs="Arial" w:eastAsia="Arial" w:hAnsi="Arial"/>
          <w:b/>
          <w:bCs/>
          <w:color w:val="0D1F35"/>
          <w:sz w:val="26"/>
          <w:szCs w:val="26"/>
        </w:rPr>
        <w:t xml:space="preserve">7.1 Learning and Development</w:t>
      </w:r>
    </w:p>
    <w:p>
      <w:pPr>
        <w:spacing w:after="100" w:before="60"/>
      </w:pPr>
      <w:r>
        <w:rPr>
          <w:rFonts w:ascii="Arial" w:cs="Arial" w:eastAsia="Arial" w:hAnsi="Arial"/>
          <w:color w:val="1A1A2E"/>
          <w:sz w:val="22"/>
          <w:szCs w:val="22"/>
        </w:rPr>
        <w:t xml:space="preserve">Novaris Solutions is committed to the continuous professional development of its employees. As an HR technology company, we recognise that our people are our product. The following support is available:</w:t>
      </w:r>
    </w:p>
    <w:p>
      <w:pPr>
        <w:pStyle w:val="ListParagraph"/>
        <w:numPr>
          <w:ilvl w:val="0"/>
          <w:numId w:val="2"/>
        </w:numPr>
        <w:spacing w:after="40" w:before="40"/>
      </w:pPr>
      <w:r>
        <w:rPr>
          <w:rFonts w:ascii="Arial" w:cs="Arial" w:eastAsia="Arial" w:hAnsi="Arial"/>
          <w:color w:val="1A1A2E"/>
          <w:sz w:val="22"/>
          <w:szCs w:val="22"/>
        </w:rPr>
        <w:t xml:space="preserve">Access to the Novaris Solutions internal learning platform</w:t>
      </w:r>
    </w:p>
    <w:p>
      <w:pPr>
        <w:pStyle w:val="ListParagraph"/>
        <w:numPr>
          <w:ilvl w:val="0"/>
          <w:numId w:val="2"/>
        </w:numPr>
        <w:spacing w:after="40" w:before="40"/>
      </w:pPr>
      <w:r>
        <w:rPr>
          <w:rFonts w:ascii="Arial" w:cs="Arial" w:eastAsia="Arial" w:hAnsi="Arial"/>
          <w:color w:val="1A1A2E"/>
          <w:sz w:val="22"/>
          <w:szCs w:val="22"/>
        </w:rPr>
        <w:t xml:space="preserve">Reimbursement of professional certifications and qualifications relevant to the employee's role, subject to prior approval by the line manager and HR Director</w:t>
      </w:r>
    </w:p>
    <w:p>
      <w:pPr>
        <w:pStyle w:val="ListParagraph"/>
        <w:numPr>
          <w:ilvl w:val="0"/>
          <w:numId w:val="2"/>
        </w:numPr>
        <w:spacing w:after="40" w:before="40"/>
      </w:pPr>
      <w:r>
        <w:rPr>
          <w:rFonts w:ascii="Arial" w:cs="Arial" w:eastAsia="Arial" w:hAnsi="Arial"/>
          <w:color w:val="1A1A2E"/>
          <w:sz w:val="22"/>
          <w:szCs w:val="22"/>
        </w:rPr>
        <w:t xml:space="preserve">Study leave of up to five (5) working days per year for approved programmes, as detailed in the Leave &amp; Attendance Policy</w:t>
      </w:r>
    </w:p>
    <w:p>
      <w:pPr>
        <w:spacing w:after="100" w:before="60"/>
      </w:pPr>
      <w:r>
        <w:rPr>
          <w:rFonts w:ascii="Arial" w:cs="Arial" w:eastAsia="Arial" w:hAnsi="Arial"/>
          <w:color w:val="1A1A2E"/>
          <w:sz w:val="22"/>
          <w:szCs w:val="22"/>
        </w:rPr>
        <w:t xml:space="preserve">Requests for development funding must be submitted to HR in writing before any costs are incurred. Retrospective reimbursement requests will not be considered.</w:t>
      </w:r>
    </w:p>
    <w:p>
      <w:pPr>
        <w:pStyle w:val="Heading2"/>
        <w:spacing w:after="80" w:before="280"/>
      </w:pPr>
      <w:r>
        <w:rPr>
          <w:rFonts w:ascii="Arial" w:cs="Arial" w:eastAsia="Arial" w:hAnsi="Arial"/>
          <w:b/>
          <w:bCs/>
          <w:color w:val="0D1F35"/>
          <w:sz w:val="26"/>
          <w:szCs w:val="26"/>
        </w:rPr>
        <w:t xml:space="preserve">7.2 Employee Referral Programme</w:t>
      </w:r>
    </w:p>
    <w:p>
      <w:pPr>
        <w:spacing w:after="100" w:before="60"/>
      </w:pPr>
      <w:r>
        <w:rPr>
          <w:rFonts w:ascii="Arial" w:cs="Arial" w:eastAsia="Arial" w:hAnsi="Arial"/>
          <w:color w:val="1A1A2E"/>
          <w:sz w:val="22"/>
          <w:szCs w:val="22"/>
        </w:rPr>
        <w:t xml:space="preserve">Novaris Solutions operates an employee referral programme to support talent acquisition. Employees who refer a successful candidate who completes six (6) months of service will receive a referral bonus as specified in the current programme terms, which are available from HR. Terms and conditions of the referral programme may be updated from time to time.</w:t>
      </w:r>
    </w:p>
    <w:p>
      <w:pPr>
        <w:pStyle w:val="Heading2"/>
        <w:spacing w:after="80" w:before="280"/>
      </w:pPr>
      <w:r>
        <w:rPr>
          <w:rFonts w:ascii="Arial" w:cs="Arial" w:eastAsia="Arial" w:hAnsi="Arial"/>
          <w:b/>
          <w:bCs/>
          <w:color w:val="0D1F35"/>
          <w:sz w:val="26"/>
          <w:szCs w:val="26"/>
        </w:rPr>
        <w:t xml:space="preserve">7.3 Future Benefits</w:t>
      </w:r>
    </w:p>
    <w:p>
      <w:pPr>
        <w:spacing w:after="100" w:before="60"/>
      </w:pPr>
      <w:r>
        <w:rPr>
          <w:rFonts w:ascii="Arial" w:cs="Arial" w:eastAsia="Arial" w:hAnsi="Arial"/>
          <w:color w:val="1A1A2E"/>
          <w:sz w:val="22"/>
          <w:szCs w:val="22"/>
        </w:rPr>
        <w:t xml:space="preserve">As Novaris Solutions grows, the Company intends to expand its benefits offering. Any new benefits introduced will be communicated to all employees by HR and this policy will be updated accordingly.</w:t>
      </w:r>
    </w:p>
    <w:p>
      <w:pPr>
        <w:spacing w:after="120" w:before="0"/>
      </w:pPr>
      <w:r>
        <w:t xml:space="preserve"/>
      </w:r>
    </w:p>
    <w:p>
      <w:pPr>
        <w:pStyle w:val="Heading1"/>
        <w:pBdr>
          <w:bottom w:val="single" w:color="C2933A" w:sz="8" w:space="4"/>
        </w:pBdr>
        <w:spacing w:after="120" w:before="360"/>
      </w:pPr>
      <w:r>
        <w:rPr>
          <w:rFonts w:ascii="Arial" w:cs="Arial" w:eastAsia="Arial" w:hAnsi="Arial"/>
          <w:b/>
          <w:bCs/>
          <w:color w:val="0D1F35"/>
          <w:sz w:val="32"/>
          <w:szCs w:val="32"/>
        </w:rPr>
        <w:t xml:space="preserve">8. Policy Amendments</w:t>
      </w:r>
    </w:p>
    <w:p>
      <w:pPr>
        <w:spacing w:after="100" w:before="60"/>
      </w:pPr>
      <w:r>
        <w:rPr>
          <w:rFonts w:ascii="Arial" w:cs="Arial" w:eastAsia="Arial" w:hAnsi="Arial"/>
          <w:color w:val="1A1A2E"/>
          <w:sz w:val="22"/>
          <w:szCs w:val="22"/>
        </w:rPr>
        <w:t xml:space="preserve">This policy will be reviewed annually by the Human Resources department. Amendments will be communicated to all employees in writing. Continued employment following notification of a change constitutes acceptance of the revised policy.</w:t>
      </w:r>
    </w:p>
    <w:p>
      <w:pPr>
        <w:spacing w:after="240" w:before="0"/>
      </w:pPr>
      <w:r>
        <w:t xml:space="preserve"/>
      </w:r>
    </w:p>
    <w:p>
      <w:pPr>
        <w:pBdr>
          <w:top w:val="single" w:color="CCCCCC" w:sz="4" w:space="6"/>
        </w:pBdr>
        <w:spacing w:after="60" w:before="200"/>
        <w:jc w:val="center"/>
      </w:pPr>
      <w:r>
        <w:rPr>
          <w:rFonts w:ascii="Arial" w:cs="Arial" w:eastAsia="Arial" w:hAnsi="Arial"/>
          <w:color w:val="AAAAAA"/>
          <w:sz w:val="18"/>
          <w:szCs w:val="18"/>
        </w:rPr>
        <w:t xml:space="preserve">Novaris Solutions  |  Human Resources Department  |  hr@novarissolutions.ae</w:t>
      </w:r>
    </w:p>
    <w:p>
      <w:pPr>
        <w:spacing w:after="60"/>
        <w:jc w:val="center"/>
      </w:pPr>
      <w:r>
        <w:rPr>
          <w:rFonts w:ascii="Arial" w:cs="Arial" w:eastAsia="Arial" w:hAnsi="Arial"/>
          <w:color w:val="AAAAAA"/>
          <w:sz w:val="18"/>
          <w:szCs w:val="18"/>
        </w:rPr>
        <w:t xml:space="preserve">Version 1.0  |  January 2025  |  Confidential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60"/>
    </w:pPr>
    <w:r>
      <w:rPr>
        <w:rFonts w:ascii="Arial" w:cs="Arial" w:eastAsia="Arial" w:hAnsi="Arial"/>
        <w:color w:val="AAAAAA"/>
        <w:sz w:val="16"/>
        <w:szCs w:val="16"/>
      </w:rPr>
      <w:t xml:space="preserve">Confidential — For Internal Use Only</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933A" w:sz="6" w:space="4"/>
      </w:pBdr>
      <w:tabs>
        <w:tab w:val="right" w:pos="9360"/>
      </w:tabs>
      <w:spacing w:after="0"/>
    </w:pPr>
    <w:r>
      <w:rPr>
        <w:rFonts w:ascii="Arial" w:cs="Arial" w:eastAsia="Arial" w:hAnsi="Arial"/>
        <w:b/>
        <w:bCs/>
        <w:color w:val="0D1F35"/>
        <w:sz w:val="18"/>
        <w:szCs w:val="18"/>
      </w:rPr>
      <w:t xml:space="preserve">NOVARIS SOLUTIONS</w:t>
    </w:r>
    <w:r>
      <w:rPr>
        <w:rFonts w:ascii="Arial" w:cs="Arial" w:eastAsia="Arial" w:hAnsi="Arial"/>
        <w:color w:val="888888"/>
        <w:sz w:val="18"/>
        <w:szCs w:val="18"/>
      </w:rPr>
      <w:t xml:space="preserve">	Benefits &amp; Compensation Policy</w:t>
    </w:r>
  </w:p>
  <w:p>
    <w:pPr>
      <w:spacing w:after="36"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1F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2026-04-22T10:12:56.488Z</dcterms:created>
  <dcterms:modified xsi:type="dcterms:W3CDTF">2026-04-22T10:12:56.488Z</dcterms:modified>
</cp:coreProperties>
</file>

<file path=docProps/custom.xml><?xml version="1.0" encoding="utf-8"?>
<Properties xmlns="http://schemas.openxmlformats.org/officeDocument/2006/custom-properties" xmlns:vt="http://schemas.openxmlformats.org/officeDocument/2006/docPropsVTypes"/>
</file>