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jc w:val="center"/>
      </w:pPr>
      <w:r>
        <w:rPr>
          <w:rFonts w:ascii="Arial" w:cs="Arial" w:eastAsia="Arial" w:hAnsi="Arial"/>
          <w:b/>
          <w:bCs/>
          <w:color w:val="0D1F35"/>
          <w:sz w:val="52"/>
          <w:szCs w:val="52"/>
        </w:rPr>
        <w:t xml:space="preserve">NOVARIS SOLUTIONS</w:t>
      </w:r>
    </w:p>
    <w:p>
      <w:pPr>
        <w:spacing w:after="60"/>
        <w:jc w:val="center"/>
      </w:pPr>
      <w:r>
        <w:rPr>
          <w:rFonts w:ascii="Arial" w:cs="Arial" w:eastAsia="Arial" w:hAnsi="Arial"/>
          <w:color w:val="C2933A"/>
          <w:sz w:val="36"/>
          <w:szCs w:val="36"/>
        </w:rPr>
        <w:t xml:space="preserve">Code of Conduct</w:t>
      </w:r>
    </w:p>
    <w:p>
      <w:pPr>
        <w:spacing w:after="400"/>
        <w:jc w:val="center"/>
      </w:pPr>
      <w:r>
        <w:rPr>
          <w:rFonts w:ascii="Arial" w:cs="Arial" w:eastAsia="Arial" w:hAnsi="Arial"/>
          <w:color w:val="888888"/>
          <w:sz w:val="24"/>
          <w:szCs w:val="24"/>
        </w:rPr>
        <w:t xml:space="preserve">Dubai, United Arab Emirates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single" w:color="C2933A" w:sz="8"/>
              <w:right w:val="none" w:color="FFFFFF" w:sz="0"/>
            </w:tcBorders>
            <w:tcMar>
              <w:top w:type="dxa" w:w="0"/>
              <w:left w:type="dxa" w:w="0"/>
              <w:bottom w:type="dxa" w:w="160"/>
              <w:right w:type="dxa" w:w="0"/>
            </w:tcMar>
          </w:tcPr>
          <w:p>
            <w:pPr>
              <w:jc w:val="center"/>
            </w:pPr>
            <w:r>
              <w:t xml:space="preserve"/>
            </w:r>
          </w:p>
        </w:tc>
      </w:tr>
    </w:tbl>
    <w:p>
      <w:pPr>
        <w:spacing w:after="240" w:before="0"/>
      </w:pPr>
      <w:r>
        <w:t xml:space="preserve"/>
      </w:r>
    </w:p>
    <w:p>
      <w:pPr>
        <w:spacing w:after="60"/>
        <w:jc w:val="center"/>
      </w:pPr>
      <w:r>
        <w:rPr>
          <w:rFonts w:ascii="Arial" w:cs="Arial" w:eastAsia="Arial" w:hAnsi="Arial"/>
          <w:color w:val="888888"/>
          <w:sz w:val="20"/>
          <w:szCs w:val="20"/>
        </w:rPr>
        <w:t xml:space="preserve">Version 1.0  |  Effective Date: January 2025</w:t>
      </w:r>
    </w:p>
    <w:p>
      <w:pPr>
        <w:jc w:val="center"/>
      </w:pPr>
      <w:r>
        <w:rPr>
          <w:rFonts w:ascii="Arial" w:cs="Arial" w:eastAsia="Arial" w:hAnsi="Arial"/>
          <w:color w:val="888888"/>
          <w:sz w:val="20"/>
          <w:szCs w:val="20"/>
        </w:rPr>
        <w:t xml:space="preserve">Human Resources Department</w:t>
      </w:r>
    </w:p>
    <w:p>
      <w:r>
        <w:br w:type="page"/>
      </w:r>
    </w:p>
    <w:p>
      <w:pPr>
        <w:pStyle w:val="Heading1"/>
        <w:pBdr>
          <w:bottom w:val="single" w:color="C2933A" w:sz="8" w:space="4"/>
        </w:pBdr>
        <w:spacing w:after="120" w:before="360"/>
      </w:pPr>
      <w:r>
        <w:rPr>
          <w:rFonts w:ascii="Arial" w:cs="Arial" w:eastAsia="Arial" w:hAnsi="Arial"/>
          <w:b/>
          <w:bCs/>
          <w:color w:val="0D1F35"/>
          <w:sz w:val="32"/>
          <w:szCs w:val="32"/>
        </w:rPr>
        <w:t xml:space="preserve">1. Purpose and Scope</w:t>
      </w:r>
    </w:p>
    <w:p>
      <w:pPr>
        <w:spacing w:after="100" w:before="60"/>
      </w:pPr>
      <w:r>
        <w:rPr>
          <w:rFonts w:ascii="Arial" w:cs="Arial" w:eastAsia="Arial" w:hAnsi="Arial"/>
          <w:color w:val="1A1A2E"/>
          <w:sz w:val="22"/>
          <w:szCs w:val="22"/>
        </w:rPr>
        <w:t xml:space="preserve">This Code of Conduct sets out the standards of behaviour, ethics, and professional conduct expected of all employees of Novaris Solutions LLC. It reflects our values as a company and our obligations as an employer, a service provider, and a member of the UAE business community.</w:t>
      </w:r>
    </w:p>
    <w:p>
      <w:pPr>
        <w:spacing w:after="100" w:before="60"/>
      </w:pPr>
      <w:r>
        <w:rPr>
          <w:rFonts w:ascii="Arial" w:cs="Arial" w:eastAsia="Arial" w:hAnsi="Arial"/>
          <w:color w:val="1A1A2E"/>
          <w:sz w:val="22"/>
          <w:szCs w:val="22"/>
        </w:rPr>
        <w:t xml:space="preserve">This Code applies to all Novaris Solutions employees across all bands and locations, including when representing the Company at client sites, industry events, or in any other external capacity. It also applies to conduct on company systems and communication platforms, whether accessed from the office or remotely.</w:t>
      </w:r>
    </w:p>
    <w:p>
      <w:pPr>
        <w:spacing w:after="100" w:before="60"/>
      </w:pPr>
      <w:r>
        <w:rPr>
          <w:rFonts w:ascii="Arial" w:cs="Arial" w:eastAsia="Arial" w:hAnsi="Arial"/>
          <w:color w:val="1A1A2E"/>
          <w:sz w:val="22"/>
          <w:szCs w:val="22"/>
        </w:rPr>
        <w:t xml:space="preserve">Breaches of this Code are managed under the Novaris Solutions Grievance and Disciplinary Policy and may result in disciplinary action up to and including termination of employment.</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2. Professional Conduct</w:t>
      </w:r>
    </w:p>
    <w:p>
      <w:pPr>
        <w:pStyle w:val="Heading2"/>
        <w:spacing w:after="80" w:before="280"/>
      </w:pPr>
      <w:r>
        <w:rPr>
          <w:rFonts w:ascii="Arial" w:cs="Arial" w:eastAsia="Arial" w:hAnsi="Arial"/>
          <w:b/>
          <w:bCs/>
          <w:color w:val="0D1F35"/>
          <w:sz w:val="26"/>
          <w:szCs w:val="26"/>
        </w:rPr>
        <w:t xml:space="preserve">2.1 Workplace Behaviour</w:t>
      </w:r>
    </w:p>
    <w:p>
      <w:pPr>
        <w:spacing w:after="100" w:before="60"/>
      </w:pPr>
      <w:r>
        <w:rPr>
          <w:rFonts w:ascii="Arial" w:cs="Arial" w:eastAsia="Arial" w:hAnsi="Arial"/>
          <w:color w:val="1A1A2E"/>
          <w:sz w:val="22"/>
          <w:szCs w:val="22"/>
        </w:rPr>
        <w:t xml:space="preserve">All employees are expected to conduct themselves professionally, respectfully, and in a manner that reflects positively on Novaris Solutions at all times. The following standards apply:</w:t>
      </w:r>
    </w:p>
    <w:p>
      <w:pPr>
        <w:pStyle w:val="ListParagraph"/>
        <w:numPr>
          <w:ilvl w:val="0"/>
          <w:numId w:val="2"/>
        </w:numPr>
        <w:spacing w:after="40" w:before="40"/>
      </w:pPr>
      <w:r>
        <w:rPr>
          <w:rFonts w:ascii="Arial" w:cs="Arial" w:eastAsia="Arial" w:hAnsi="Arial"/>
          <w:color w:val="1A1A2E"/>
          <w:sz w:val="22"/>
          <w:szCs w:val="22"/>
        </w:rPr>
        <w:t xml:space="preserve">Treat all colleagues, clients, partners, and visitors with dignity and respect, regardless of their role, seniority, nationality, gender, religion, or background</w:t>
      </w:r>
    </w:p>
    <w:p>
      <w:pPr>
        <w:pStyle w:val="ListParagraph"/>
        <w:numPr>
          <w:ilvl w:val="0"/>
          <w:numId w:val="2"/>
        </w:numPr>
        <w:spacing w:after="40" w:before="40"/>
      </w:pPr>
      <w:r>
        <w:rPr>
          <w:rFonts w:ascii="Arial" w:cs="Arial" w:eastAsia="Arial" w:hAnsi="Arial"/>
          <w:color w:val="1A1A2E"/>
          <w:sz w:val="22"/>
          <w:szCs w:val="22"/>
        </w:rPr>
        <w:t xml:space="preserve">Communicate in a professional and constructive manner, whether in person, in writing, or on digital platforms</w:t>
      </w:r>
    </w:p>
    <w:p>
      <w:pPr>
        <w:pStyle w:val="ListParagraph"/>
        <w:numPr>
          <w:ilvl w:val="0"/>
          <w:numId w:val="2"/>
        </w:numPr>
        <w:spacing w:after="40" w:before="40"/>
      </w:pPr>
      <w:r>
        <w:rPr>
          <w:rFonts w:ascii="Arial" w:cs="Arial" w:eastAsia="Arial" w:hAnsi="Arial"/>
          <w:color w:val="1A1A2E"/>
          <w:sz w:val="22"/>
          <w:szCs w:val="22"/>
        </w:rPr>
        <w:t xml:space="preserve">Contribute positively to a collaborative and inclusive working environment</w:t>
      </w:r>
    </w:p>
    <w:p>
      <w:pPr>
        <w:pStyle w:val="ListParagraph"/>
        <w:numPr>
          <w:ilvl w:val="0"/>
          <w:numId w:val="2"/>
        </w:numPr>
        <w:spacing w:after="40" w:before="40"/>
      </w:pPr>
      <w:r>
        <w:rPr>
          <w:rFonts w:ascii="Arial" w:cs="Arial" w:eastAsia="Arial" w:hAnsi="Arial"/>
          <w:color w:val="1A1A2E"/>
          <w:sz w:val="22"/>
          <w:szCs w:val="22"/>
        </w:rPr>
        <w:t xml:space="preserve">Manage disagreements professionally — through direct conversation, line management, or HR — and not through behaviour that undermines, excludes, or demeans others</w:t>
      </w:r>
    </w:p>
    <w:p>
      <w:pPr>
        <w:pStyle w:val="ListParagraph"/>
        <w:numPr>
          <w:ilvl w:val="0"/>
          <w:numId w:val="2"/>
        </w:numPr>
        <w:spacing w:after="40" w:before="40"/>
      </w:pPr>
      <w:r>
        <w:rPr>
          <w:rFonts w:ascii="Arial" w:cs="Arial" w:eastAsia="Arial" w:hAnsi="Arial"/>
          <w:color w:val="1A1A2E"/>
          <w:sz w:val="22"/>
          <w:szCs w:val="22"/>
        </w:rPr>
        <w:t xml:space="preserve">Arrive prepared and engaged for meetings and client interactions</w:t>
      </w:r>
    </w:p>
    <w:p>
      <w:pPr>
        <w:pStyle w:val="Heading2"/>
        <w:spacing w:after="80" w:before="280"/>
      </w:pPr>
      <w:r>
        <w:rPr>
          <w:rFonts w:ascii="Arial" w:cs="Arial" w:eastAsia="Arial" w:hAnsi="Arial"/>
          <w:b/>
          <w:bCs/>
          <w:color w:val="0D1F35"/>
          <w:sz w:val="26"/>
          <w:szCs w:val="26"/>
        </w:rPr>
        <w:t xml:space="preserve">2.2 Dress and Appearance</w:t>
      </w:r>
    </w:p>
    <w:p>
      <w:pPr>
        <w:spacing w:after="100" w:before="60"/>
      </w:pPr>
      <w:r>
        <w:rPr>
          <w:rFonts w:ascii="Arial" w:cs="Arial" w:eastAsia="Arial" w:hAnsi="Arial"/>
          <w:color w:val="1A1A2E"/>
          <w:sz w:val="22"/>
          <w:szCs w:val="22"/>
        </w:rPr>
        <w:t xml:space="preserve">Employees are expected to dress appropriately for their working environment. As a client-facing consulting company, professional attire is expected when attending client sites or external meetings. When working from the office or remotely on video calls, a smart-casual standard applies. During the Holy Month of Ramadan, employees are expected to dress modestly in respect of cultural norms.</w:t>
      </w:r>
    </w:p>
    <w:p>
      <w:pPr>
        <w:pStyle w:val="Heading2"/>
        <w:spacing w:after="80" w:before="280"/>
      </w:pPr>
      <w:r>
        <w:rPr>
          <w:rFonts w:ascii="Arial" w:cs="Arial" w:eastAsia="Arial" w:hAnsi="Arial"/>
          <w:b/>
          <w:bCs/>
          <w:color w:val="0D1F35"/>
          <w:sz w:val="26"/>
          <w:szCs w:val="26"/>
        </w:rPr>
        <w:t xml:space="preserve">2.3 Punctuality and Reliability</w:t>
      </w:r>
    </w:p>
    <w:p>
      <w:pPr>
        <w:spacing w:after="100" w:before="60"/>
      </w:pPr>
      <w:r>
        <w:rPr>
          <w:rFonts w:ascii="Arial" w:cs="Arial" w:eastAsia="Arial" w:hAnsi="Arial"/>
          <w:color w:val="1A1A2E"/>
          <w:sz w:val="22"/>
          <w:szCs w:val="22"/>
        </w:rPr>
        <w:t xml:space="preserve">Employees are expected to be reliable, punctual, and to honour their commitments — to clients, to colleagues, and to the Company. Consistent lateness, missed deadlines, or failure to communicate proactively when commitments cannot be met are conduct matters that will be addressed by line managers.</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3. Respect, Inclusion, and Anti-Harassment</w:t>
      </w:r>
    </w:p>
    <w:p>
      <w:pPr>
        <w:pStyle w:val="Heading2"/>
        <w:spacing w:after="80" w:before="280"/>
      </w:pPr>
      <w:r>
        <w:rPr>
          <w:rFonts w:ascii="Arial" w:cs="Arial" w:eastAsia="Arial" w:hAnsi="Arial"/>
          <w:b/>
          <w:bCs/>
          <w:color w:val="0D1F35"/>
          <w:sz w:val="26"/>
          <w:szCs w:val="26"/>
        </w:rPr>
        <w:t xml:space="preserve">3.1 Commitment to an Inclusive Workplace</w:t>
      </w:r>
    </w:p>
    <w:p>
      <w:pPr>
        <w:spacing w:after="100" w:before="60"/>
      </w:pPr>
      <w:r>
        <w:rPr>
          <w:rFonts w:ascii="Arial" w:cs="Arial" w:eastAsia="Arial" w:hAnsi="Arial"/>
          <w:color w:val="1A1A2E"/>
          <w:sz w:val="22"/>
          <w:szCs w:val="22"/>
        </w:rPr>
        <w:t xml:space="preserve">Novaris Solutions employs people from diverse nationalities, backgrounds, and cultures. This diversity is a strength and is central to the kind of company we are building. Every employee has the right to work in an environment free from discrimination, harassment, bullying, or victimisation.</w:t>
      </w:r>
    </w:p>
    <w:p>
      <w:pPr>
        <w:spacing w:after="100" w:before="60"/>
      </w:pPr>
      <w:r>
        <w:rPr>
          <w:rFonts w:ascii="Arial" w:cs="Arial" w:eastAsia="Arial" w:hAnsi="Arial"/>
          <w:color w:val="1A1A2E"/>
          <w:sz w:val="22"/>
          <w:szCs w:val="22"/>
        </w:rPr>
        <w:t xml:space="preserve">Discrimination or unfair treatment on the basis of gender, nationality, religion, age, marital status, disability, or any other characteristic is not tolerated at Novaris Solutions and is in breach of both this Code and UAE law.</w:t>
      </w:r>
    </w:p>
    <w:p>
      <w:pPr>
        <w:pStyle w:val="Heading2"/>
        <w:spacing w:after="80" w:before="280"/>
      </w:pPr>
      <w:r>
        <w:rPr>
          <w:rFonts w:ascii="Arial" w:cs="Arial" w:eastAsia="Arial" w:hAnsi="Arial"/>
          <w:b/>
          <w:bCs/>
          <w:color w:val="0D1F35"/>
          <w:sz w:val="26"/>
          <w:szCs w:val="26"/>
        </w:rPr>
        <w:t xml:space="preserve">3.2 Harassment and Bullying</w:t>
      </w:r>
    </w:p>
    <w:p>
      <w:pPr>
        <w:spacing w:after="100" w:before="60"/>
      </w:pPr>
      <w:r>
        <w:rPr>
          <w:rFonts w:ascii="Arial" w:cs="Arial" w:eastAsia="Arial" w:hAnsi="Arial"/>
          <w:color w:val="1A1A2E"/>
          <w:sz w:val="22"/>
          <w:szCs w:val="22"/>
        </w:rPr>
        <w:t xml:space="preserve">Harassment includes any unwanted behaviour — verbal, physical, written, or digital — that has the purpose or effect of creating an intimidating, hostile, or offensive working environment. This includes but is not limited to:</w:t>
      </w:r>
    </w:p>
    <w:p>
      <w:pPr>
        <w:pStyle w:val="ListParagraph"/>
        <w:numPr>
          <w:ilvl w:val="0"/>
          <w:numId w:val="2"/>
        </w:numPr>
        <w:spacing w:after="40" w:before="40"/>
      </w:pPr>
      <w:r>
        <w:rPr>
          <w:rFonts w:ascii="Arial" w:cs="Arial" w:eastAsia="Arial" w:hAnsi="Arial"/>
          <w:color w:val="1A1A2E"/>
          <w:sz w:val="22"/>
          <w:szCs w:val="22"/>
        </w:rPr>
        <w:t xml:space="preserve">Offensive comments, jokes, or gestures relating to a person's nationality, religion, gender, or appearance</w:t>
      </w:r>
    </w:p>
    <w:p>
      <w:pPr>
        <w:pStyle w:val="ListParagraph"/>
        <w:numPr>
          <w:ilvl w:val="0"/>
          <w:numId w:val="2"/>
        </w:numPr>
        <w:spacing w:after="40" w:before="40"/>
      </w:pPr>
      <w:r>
        <w:rPr>
          <w:rFonts w:ascii="Arial" w:cs="Arial" w:eastAsia="Arial" w:hAnsi="Arial"/>
          <w:color w:val="1A1A2E"/>
          <w:sz w:val="22"/>
          <w:szCs w:val="22"/>
        </w:rPr>
        <w:t xml:space="preserve">Unwanted physical contact</w:t>
      </w:r>
    </w:p>
    <w:p>
      <w:pPr>
        <w:pStyle w:val="ListParagraph"/>
        <w:numPr>
          <w:ilvl w:val="0"/>
          <w:numId w:val="2"/>
        </w:numPr>
        <w:spacing w:after="40" w:before="40"/>
      </w:pPr>
      <w:r>
        <w:rPr>
          <w:rFonts w:ascii="Arial" w:cs="Arial" w:eastAsia="Arial" w:hAnsi="Arial"/>
          <w:color w:val="1A1A2E"/>
          <w:sz w:val="22"/>
          <w:szCs w:val="22"/>
        </w:rPr>
        <w:t xml:space="preserve">Persistent unwanted communication outside working hours</w:t>
      </w:r>
    </w:p>
    <w:p>
      <w:pPr>
        <w:pStyle w:val="ListParagraph"/>
        <w:numPr>
          <w:ilvl w:val="0"/>
          <w:numId w:val="2"/>
        </w:numPr>
        <w:spacing w:after="40" w:before="40"/>
      </w:pPr>
      <w:r>
        <w:rPr>
          <w:rFonts w:ascii="Arial" w:cs="Arial" w:eastAsia="Arial" w:hAnsi="Arial"/>
          <w:color w:val="1A1A2E"/>
          <w:sz w:val="22"/>
          <w:szCs w:val="22"/>
        </w:rPr>
        <w:t xml:space="preserve">Exclusionary behaviour designed to isolate or undermine a colleague</w:t>
      </w:r>
    </w:p>
    <w:p>
      <w:pPr>
        <w:pStyle w:val="ListParagraph"/>
        <w:numPr>
          <w:ilvl w:val="0"/>
          <w:numId w:val="2"/>
        </w:numPr>
        <w:spacing w:after="40" w:before="40"/>
      </w:pPr>
      <w:r>
        <w:rPr>
          <w:rFonts w:ascii="Arial" w:cs="Arial" w:eastAsia="Arial" w:hAnsi="Arial"/>
          <w:color w:val="1A1A2E"/>
          <w:sz w:val="22"/>
          <w:szCs w:val="22"/>
        </w:rPr>
        <w:t xml:space="preserve">Threats or intimidation, whether explicit or implied</w:t>
      </w:r>
    </w:p>
    <w:p>
      <w:pPr>
        <w:spacing w:after="100" w:before="60"/>
      </w:pPr>
      <w:r>
        <w:rPr>
          <w:rFonts w:ascii="Arial" w:cs="Arial" w:eastAsia="Arial" w:hAnsi="Arial"/>
          <w:color w:val="1A1A2E"/>
          <w:sz w:val="22"/>
          <w:szCs w:val="22"/>
        </w:rPr>
        <w:t xml:space="preserve">Any employee who experiences or witnesses harassment or bullying should report it immediately to HR or use the process set out in the Grievance and Disciplinary Policy. All reports will be treated confidentially and investigated promptly.</w:t>
      </w:r>
    </w:p>
    <w:p>
      <w:pPr>
        <w:pStyle w:val="Heading2"/>
        <w:spacing w:after="80" w:before="280"/>
      </w:pPr>
      <w:r>
        <w:rPr>
          <w:rFonts w:ascii="Arial" w:cs="Arial" w:eastAsia="Arial" w:hAnsi="Arial"/>
          <w:b/>
          <w:bCs/>
          <w:color w:val="0D1F35"/>
          <w:sz w:val="26"/>
          <w:szCs w:val="26"/>
        </w:rPr>
        <w:t xml:space="preserve">3.3 Cultural Sensitivity</w:t>
      </w:r>
    </w:p>
    <w:p>
      <w:pPr>
        <w:spacing w:after="100" w:before="60"/>
      </w:pPr>
      <w:r>
        <w:rPr>
          <w:rFonts w:ascii="Arial" w:cs="Arial" w:eastAsia="Arial" w:hAnsi="Arial"/>
          <w:color w:val="1A1A2E"/>
          <w:sz w:val="22"/>
          <w:szCs w:val="22"/>
        </w:rPr>
        <w:t xml:space="preserve">Novaris Solutions operates in the UAE, a country with a rich cultural and religious heritage. All employees — regardless of their own background — are expected to be respectful of UAE cultural norms, Islamic practices, and the customs of their colleagues. This includes being mindful of language, behaviour, and dress, particularly during Ramadan and other significant occasions.</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4. Confidentiality and Data Privacy</w:t>
      </w:r>
    </w:p>
    <w:p>
      <w:pPr>
        <w:pStyle w:val="Heading2"/>
        <w:spacing w:after="80" w:before="280"/>
      </w:pPr>
      <w:r>
        <w:rPr>
          <w:rFonts w:ascii="Arial" w:cs="Arial" w:eastAsia="Arial" w:hAnsi="Arial"/>
          <w:b/>
          <w:bCs/>
          <w:color w:val="0D1F35"/>
          <w:sz w:val="26"/>
          <w:szCs w:val="26"/>
        </w:rPr>
        <w:t xml:space="preserve">4.1 Confidential Information</w:t>
      </w:r>
    </w:p>
    <w:p>
      <w:pPr>
        <w:spacing w:after="100" w:before="60"/>
      </w:pPr>
      <w:r>
        <w:rPr>
          <w:rFonts w:ascii="Arial" w:cs="Arial" w:eastAsia="Arial" w:hAnsi="Arial"/>
          <w:color w:val="1A1A2E"/>
          <w:sz w:val="22"/>
          <w:szCs w:val="22"/>
        </w:rPr>
        <w:t xml:space="preserve">In the course of their employment, employees will have access to confidential information belonging to Novaris Solutions and its clients. This may include business strategies, financial data, client lists, product roadmaps, pricing, employee information, and proprietary processes and methodologies.</w:t>
      </w:r>
    </w:p>
    <w:p>
      <w:pPr>
        <w:spacing w:after="100" w:before="60"/>
      </w:pPr>
      <w:r>
        <w:rPr>
          <w:rFonts w:ascii="Arial" w:cs="Arial" w:eastAsia="Arial" w:hAnsi="Arial"/>
          <w:color w:val="1A1A2E"/>
          <w:sz w:val="22"/>
          <w:szCs w:val="22"/>
        </w:rPr>
        <w:t xml:space="preserve">Employees must:</w:t>
      </w:r>
    </w:p>
    <w:p>
      <w:pPr>
        <w:pStyle w:val="ListParagraph"/>
        <w:numPr>
          <w:ilvl w:val="0"/>
          <w:numId w:val="2"/>
        </w:numPr>
        <w:spacing w:after="40" w:before="40"/>
      </w:pPr>
      <w:r>
        <w:rPr>
          <w:rFonts w:ascii="Arial" w:cs="Arial" w:eastAsia="Arial" w:hAnsi="Arial"/>
          <w:color w:val="1A1A2E"/>
          <w:sz w:val="22"/>
          <w:szCs w:val="22"/>
        </w:rPr>
        <w:t xml:space="preserve">Treat all confidential information with the highest level of discretion</w:t>
      </w:r>
    </w:p>
    <w:p>
      <w:pPr>
        <w:pStyle w:val="ListParagraph"/>
        <w:numPr>
          <w:ilvl w:val="0"/>
          <w:numId w:val="2"/>
        </w:numPr>
        <w:spacing w:after="40" w:before="40"/>
      </w:pPr>
      <w:r>
        <w:rPr>
          <w:rFonts w:ascii="Arial" w:cs="Arial" w:eastAsia="Arial" w:hAnsi="Arial"/>
          <w:color w:val="1A1A2E"/>
          <w:sz w:val="22"/>
          <w:szCs w:val="22"/>
        </w:rPr>
        <w:t xml:space="preserve">Not disclose confidential information to any unauthorised party, whether inside or outside the Company</w:t>
      </w:r>
    </w:p>
    <w:p>
      <w:pPr>
        <w:pStyle w:val="ListParagraph"/>
        <w:numPr>
          <w:ilvl w:val="0"/>
          <w:numId w:val="2"/>
        </w:numPr>
        <w:spacing w:after="40" w:before="40"/>
      </w:pPr>
      <w:r>
        <w:rPr>
          <w:rFonts w:ascii="Arial" w:cs="Arial" w:eastAsia="Arial" w:hAnsi="Arial"/>
          <w:color w:val="1A1A2E"/>
          <w:sz w:val="22"/>
          <w:szCs w:val="22"/>
        </w:rPr>
        <w:t xml:space="preserve">Not use confidential information for personal gain or for the benefit of any third party</w:t>
      </w:r>
    </w:p>
    <w:p>
      <w:pPr>
        <w:pStyle w:val="ListParagraph"/>
        <w:numPr>
          <w:ilvl w:val="0"/>
          <w:numId w:val="2"/>
        </w:numPr>
        <w:spacing w:after="40" w:before="40"/>
      </w:pPr>
      <w:r>
        <w:rPr>
          <w:rFonts w:ascii="Arial" w:cs="Arial" w:eastAsia="Arial" w:hAnsi="Arial"/>
          <w:color w:val="1A1A2E"/>
          <w:sz w:val="22"/>
          <w:szCs w:val="22"/>
        </w:rPr>
        <w:t xml:space="preserve">Ensure that confidential documents and data are stored securely and not left accessible to unauthorised individuals</w:t>
      </w:r>
    </w:p>
    <w:p>
      <w:pPr>
        <w:pStyle w:val="ListParagraph"/>
        <w:numPr>
          <w:ilvl w:val="0"/>
          <w:numId w:val="2"/>
        </w:numPr>
        <w:spacing w:after="40" w:before="40"/>
      </w:pPr>
      <w:r>
        <w:rPr>
          <w:rFonts w:ascii="Arial" w:cs="Arial" w:eastAsia="Arial" w:hAnsi="Arial"/>
          <w:color w:val="1A1A2E"/>
          <w:sz w:val="22"/>
          <w:szCs w:val="22"/>
        </w:rPr>
        <w:t xml:space="preserve">Return or destroy all confidential materials upon exit from the Company</w:t>
      </w:r>
    </w:p>
    <w:p>
      <w:pPr>
        <w:spacing w:after="100" w:before="60"/>
      </w:pPr>
      <w:r>
        <w:rPr>
          <w:rFonts w:ascii="Arial" w:cs="Arial" w:eastAsia="Arial" w:hAnsi="Arial"/>
          <w:color w:val="1A1A2E"/>
          <w:sz w:val="22"/>
          <w:szCs w:val="22"/>
        </w:rPr>
        <w:t xml:space="preserve">Confidentiality obligations continue after employment ends. Former employees remain bound by their confidentiality obligations in respect of information accessed during their tenure.</w:t>
      </w:r>
    </w:p>
    <w:p>
      <w:pPr>
        <w:pStyle w:val="Heading2"/>
        <w:spacing w:after="80" w:before="280"/>
      </w:pPr>
      <w:r>
        <w:rPr>
          <w:rFonts w:ascii="Arial" w:cs="Arial" w:eastAsia="Arial" w:hAnsi="Arial"/>
          <w:b/>
          <w:bCs/>
          <w:color w:val="0D1F35"/>
          <w:sz w:val="26"/>
          <w:szCs w:val="26"/>
        </w:rPr>
        <w:t xml:space="preserve">4.2 Client Data — Heightened Obligation</w:t>
      </w:r>
    </w:p>
    <w:p>
      <w:pPr>
        <w:spacing w:after="100" w:before="60"/>
      </w:pPr>
      <w:r>
        <w:rPr>
          <w:rFonts w:ascii="Arial" w:cs="Arial" w:eastAsia="Arial" w:hAnsi="Arial"/>
          <w:color w:val="1A1A2E"/>
          <w:sz w:val="22"/>
          <w:szCs w:val="22"/>
        </w:rPr>
        <w:t xml:space="preserve">As an HR technology and consulting company, Novaris Solutions handles some of the most sensitive data an organisation holds — employee records, payroll data, performance information, and workforce analytics. Employees who access or process client workforce data carry a heightened responsibility.</w:t>
      </w:r>
    </w:p>
    <w:p>
      <w:pPr>
        <w:pStyle w:val="ListParagraph"/>
        <w:numPr>
          <w:ilvl w:val="0"/>
          <w:numId w:val="2"/>
        </w:numPr>
        <w:spacing w:after="40" w:before="40"/>
      </w:pPr>
      <w:r>
        <w:rPr>
          <w:rFonts w:ascii="Arial" w:cs="Arial" w:eastAsia="Arial" w:hAnsi="Arial"/>
          <w:color w:val="1A1A2E"/>
          <w:sz w:val="22"/>
          <w:szCs w:val="22"/>
        </w:rPr>
        <w:t xml:space="preserve">Client data must be accessed only for the purpose of delivering the agreed scope of work</w:t>
      </w:r>
    </w:p>
    <w:p>
      <w:pPr>
        <w:pStyle w:val="ListParagraph"/>
        <w:numPr>
          <w:ilvl w:val="0"/>
          <w:numId w:val="2"/>
        </w:numPr>
        <w:spacing w:after="40" w:before="40"/>
      </w:pPr>
      <w:r>
        <w:rPr>
          <w:rFonts w:ascii="Arial" w:cs="Arial" w:eastAsia="Arial" w:hAnsi="Arial"/>
          <w:color w:val="1A1A2E"/>
          <w:sz w:val="22"/>
          <w:szCs w:val="22"/>
        </w:rPr>
        <w:t xml:space="preserve">Client data must never be downloaded to personal devices, shared on personal communication channels, or stored outside approved company systems</w:t>
      </w:r>
    </w:p>
    <w:p>
      <w:pPr>
        <w:pStyle w:val="ListParagraph"/>
        <w:numPr>
          <w:ilvl w:val="0"/>
          <w:numId w:val="2"/>
        </w:numPr>
        <w:spacing w:after="40" w:before="40"/>
      </w:pPr>
      <w:r>
        <w:rPr>
          <w:rFonts w:ascii="Arial" w:cs="Arial" w:eastAsia="Arial" w:hAnsi="Arial"/>
          <w:color w:val="1A1A2E"/>
          <w:sz w:val="22"/>
          <w:szCs w:val="22"/>
        </w:rPr>
        <w:t xml:space="preserve">Any suspected or actual breach of client data must be reported to the IT team and HR immediately — delay in reporting will be treated as a serious aggravating factor</w:t>
      </w:r>
    </w:p>
    <w:p>
      <w:pPr>
        <w:pStyle w:val="ListParagraph"/>
        <w:numPr>
          <w:ilvl w:val="0"/>
          <w:numId w:val="2"/>
        </w:numPr>
        <w:spacing w:after="40" w:before="40"/>
      </w:pPr>
      <w:r>
        <w:rPr>
          <w:rFonts w:ascii="Arial" w:cs="Arial" w:eastAsia="Arial" w:hAnsi="Arial"/>
          <w:color w:val="1A1A2E"/>
          <w:sz w:val="22"/>
          <w:szCs w:val="22"/>
        </w:rPr>
        <w:t xml:space="preserve">Employees must complete all mandatory data privacy training as required by the Company</w:t>
      </w:r>
    </w:p>
    <w:p>
      <w:pPr>
        <w:pBdr>
          <w:left w:val="single" w:color="C2933A" w:sz="12" w:space="8"/>
        </w:pBdr>
        <w:spacing w:after="80" w:before="80"/>
        <w:ind w:left="360"/>
      </w:pPr>
      <w:r>
        <w:rPr>
          <w:rFonts w:ascii="Arial" w:cs="Arial" w:eastAsia="Arial" w:hAnsi="Arial"/>
          <w:i/>
          <w:iCs/>
          <w:color w:val="5A5A5A"/>
          <w:sz w:val="20"/>
          <w:szCs w:val="20"/>
        </w:rPr>
        <w:t xml:space="preserve">A breach of client data confidentiality is one of the most serious conduct failures at Novaris Solutions. It damages client trust, exposes the Company to legal liability, and undermines the foundation of our business. Such breaches will be investigated under the Disciplinary Policy and are likely to result in termination.</w:t>
      </w:r>
    </w:p>
    <w:p>
      <w:pPr>
        <w:pStyle w:val="Heading2"/>
        <w:spacing w:after="80" w:before="280"/>
      </w:pPr>
      <w:r>
        <w:rPr>
          <w:rFonts w:ascii="Arial" w:cs="Arial" w:eastAsia="Arial" w:hAnsi="Arial"/>
          <w:b/>
          <w:bCs/>
          <w:color w:val="0D1F35"/>
          <w:sz w:val="26"/>
          <w:szCs w:val="26"/>
        </w:rPr>
        <w:t xml:space="preserve">4.3 Personal Data of Colleagues</w:t>
      </w:r>
    </w:p>
    <w:p>
      <w:pPr>
        <w:spacing w:after="100" w:before="60"/>
      </w:pPr>
      <w:r>
        <w:rPr>
          <w:rFonts w:ascii="Arial" w:cs="Arial" w:eastAsia="Arial" w:hAnsi="Arial"/>
          <w:color w:val="1A1A2E"/>
          <w:sz w:val="22"/>
          <w:szCs w:val="22"/>
        </w:rPr>
        <w:t xml:space="preserve">Employees must not access, share, or misuse the personal data of fellow employees. HR and payroll data, performance records, and personal information are strictly confidential. Unauthorised access to or disclosure of colleague data is a disciplinary matter.</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5. Conflicts of Interest</w:t>
      </w:r>
    </w:p>
    <w:p>
      <w:pPr>
        <w:pStyle w:val="Heading2"/>
        <w:spacing w:after="80" w:before="280"/>
      </w:pPr>
      <w:r>
        <w:rPr>
          <w:rFonts w:ascii="Arial" w:cs="Arial" w:eastAsia="Arial" w:hAnsi="Arial"/>
          <w:b/>
          <w:bCs/>
          <w:color w:val="0D1F35"/>
          <w:sz w:val="26"/>
          <w:szCs w:val="26"/>
        </w:rPr>
        <w:t xml:space="preserve">5.1 What Constitutes a Conflict</w:t>
      </w:r>
    </w:p>
    <w:p>
      <w:pPr>
        <w:spacing w:after="100" w:before="60"/>
      </w:pPr>
      <w:r>
        <w:rPr>
          <w:rFonts w:ascii="Arial" w:cs="Arial" w:eastAsia="Arial" w:hAnsi="Arial"/>
          <w:color w:val="1A1A2E"/>
          <w:sz w:val="22"/>
          <w:szCs w:val="22"/>
        </w:rPr>
        <w:t xml:space="preserve">A conflict of interest arises when an employee's personal interests — financial, professional, or personal — could influence, or be perceived to influence, their professional judgement or actions on behalf of Novaris Solutions. Common examples include:</w:t>
      </w:r>
    </w:p>
    <w:p>
      <w:pPr>
        <w:pStyle w:val="ListParagraph"/>
        <w:numPr>
          <w:ilvl w:val="0"/>
          <w:numId w:val="2"/>
        </w:numPr>
        <w:spacing w:after="40" w:before="40"/>
      </w:pPr>
      <w:r>
        <w:rPr>
          <w:rFonts w:ascii="Arial" w:cs="Arial" w:eastAsia="Arial" w:hAnsi="Arial"/>
          <w:color w:val="1A1A2E"/>
          <w:sz w:val="22"/>
          <w:szCs w:val="22"/>
        </w:rPr>
        <w:t xml:space="preserve">Working for, or holding a financial interest in, a competitor or a client of Novaris Solutions</w:t>
      </w:r>
    </w:p>
    <w:p>
      <w:pPr>
        <w:pStyle w:val="ListParagraph"/>
        <w:numPr>
          <w:ilvl w:val="0"/>
          <w:numId w:val="2"/>
        </w:numPr>
        <w:spacing w:after="40" w:before="40"/>
      </w:pPr>
      <w:r>
        <w:rPr>
          <w:rFonts w:ascii="Arial" w:cs="Arial" w:eastAsia="Arial" w:hAnsi="Arial"/>
          <w:color w:val="1A1A2E"/>
          <w:sz w:val="22"/>
          <w:szCs w:val="22"/>
        </w:rPr>
        <w:t xml:space="preserve">Participating in a procurement or hiring decision involving a family member, close friend, or personal associate</w:t>
      </w:r>
    </w:p>
    <w:p>
      <w:pPr>
        <w:pStyle w:val="ListParagraph"/>
        <w:numPr>
          <w:ilvl w:val="0"/>
          <w:numId w:val="2"/>
        </w:numPr>
        <w:spacing w:after="40" w:before="40"/>
      </w:pPr>
      <w:r>
        <w:rPr>
          <w:rFonts w:ascii="Arial" w:cs="Arial" w:eastAsia="Arial" w:hAnsi="Arial"/>
          <w:color w:val="1A1A2E"/>
          <w:sz w:val="22"/>
          <w:szCs w:val="22"/>
        </w:rPr>
        <w:t xml:space="preserve">Accepting gifts, hospitality, or other benefits from clients or suppliers beyond the threshold defined in this policy</w:t>
      </w:r>
    </w:p>
    <w:p>
      <w:pPr>
        <w:pStyle w:val="ListParagraph"/>
        <w:numPr>
          <w:ilvl w:val="0"/>
          <w:numId w:val="2"/>
        </w:numPr>
        <w:spacing w:after="40" w:before="40"/>
      </w:pPr>
      <w:r>
        <w:rPr>
          <w:rFonts w:ascii="Arial" w:cs="Arial" w:eastAsia="Arial" w:hAnsi="Arial"/>
          <w:color w:val="1A1A2E"/>
          <w:sz w:val="22"/>
          <w:szCs w:val="22"/>
        </w:rPr>
        <w:t xml:space="preserve">Using company resources, relationships, or information to pursue a personal business interest</w:t>
      </w:r>
    </w:p>
    <w:p>
      <w:pPr>
        <w:pStyle w:val="Heading2"/>
        <w:spacing w:after="80" w:before="280"/>
      </w:pPr>
      <w:r>
        <w:rPr>
          <w:rFonts w:ascii="Arial" w:cs="Arial" w:eastAsia="Arial" w:hAnsi="Arial"/>
          <w:b/>
          <w:bCs/>
          <w:color w:val="0D1F35"/>
          <w:sz w:val="26"/>
          <w:szCs w:val="26"/>
        </w:rPr>
        <w:t xml:space="preserve">5.2 Declaration Requirement</w:t>
      </w:r>
    </w:p>
    <w:p>
      <w:pPr>
        <w:spacing w:after="100" w:before="60"/>
      </w:pPr>
      <w:r>
        <w:rPr>
          <w:rFonts w:ascii="Arial" w:cs="Arial" w:eastAsia="Arial" w:hAnsi="Arial"/>
          <w:color w:val="1A1A2E"/>
          <w:sz w:val="22"/>
          <w:szCs w:val="22"/>
        </w:rPr>
        <w:t xml:space="preserve">Employees must declare any actual or potential conflict of interest to HR in writing as soon as it arises. HR will work with the relevant line manager and the employee to determine an appropriate course of action, which may include recusal from a decision, restructuring of responsibilities, or — in serious cases — disciplinary action.</w:t>
      </w:r>
    </w:p>
    <w:p>
      <w:pPr>
        <w:spacing w:after="100" w:before="60"/>
      </w:pPr>
      <w:r>
        <w:rPr>
          <w:rFonts w:ascii="Arial" w:cs="Arial" w:eastAsia="Arial" w:hAnsi="Arial"/>
          <w:color w:val="1A1A2E"/>
          <w:sz w:val="22"/>
          <w:szCs w:val="22"/>
        </w:rPr>
        <w:t xml:space="preserve">Failure to declare a known conflict of interest is itself a serious breach of this Code and will be treated as a disciplinary matter.</w:t>
      </w:r>
    </w:p>
    <w:p>
      <w:pPr>
        <w:pStyle w:val="Heading2"/>
        <w:spacing w:after="80" w:before="280"/>
      </w:pPr>
      <w:r>
        <w:rPr>
          <w:rFonts w:ascii="Arial" w:cs="Arial" w:eastAsia="Arial" w:hAnsi="Arial"/>
          <w:b/>
          <w:bCs/>
          <w:color w:val="0D1F35"/>
          <w:sz w:val="26"/>
          <w:szCs w:val="26"/>
        </w:rPr>
        <w:t xml:space="preserve">5.3 Gifts and Hospitality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Gifts from clients or suppliers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May be accepted up to a value of AED 200 per instance. Gifts above this value must be declared to HR and may be declined or donated.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Hospitality</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Business meals and standard professional hospitality (conferences, events) are acceptable. Lavish or repeated hospitality that could create obligation must be declared.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Gifts to clients or suppliers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Must be reasonable, infrequent, and in keeping with normal business practice. Any gift above AED 300 requires prior approval from the line manager.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Cash gifts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Never acceptable to give or receive in any amount.</w:t>
            </w:r>
          </w:p>
        </w:tc>
      </w:tr>
    </w:tbl>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6. Use of Company Resources</w:t>
      </w:r>
    </w:p>
    <w:p>
      <w:pPr>
        <w:pStyle w:val="Heading2"/>
        <w:spacing w:after="80" w:before="280"/>
      </w:pPr>
      <w:r>
        <w:rPr>
          <w:rFonts w:ascii="Arial" w:cs="Arial" w:eastAsia="Arial" w:hAnsi="Arial"/>
          <w:b/>
          <w:bCs/>
          <w:color w:val="0D1F35"/>
          <w:sz w:val="26"/>
          <w:szCs w:val="26"/>
        </w:rPr>
        <w:t xml:space="preserve">6.1 IT Systems and Equipment</w:t>
      </w:r>
    </w:p>
    <w:p>
      <w:pPr>
        <w:spacing w:after="100" w:before="60"/>
      </w:pPr>
      <w:r>
        <w:rPr>
          <w:rFonts w:ascii="Arial" w:cs="Arial" w:eastAsia="Arial" w:hAnsi="Arial"/>
          <w:color w:val="1A1A2E"/>
          <w:sz w:val="22"/>
          <w:szCs w:val="22"/>
        </w:rPr>
        <w:t xml:space="preserve">Company IT systems, devices, software, and communication platforms are provided for business use. Reasonable personal use is permitted provided it does not interfere with work responsibilities, consume excessive resources, or expose the Company to security or legal risk.</w:t>
      </w:r>
    </w:p>
    <w:p>
      <w:pPr>
        <w:spacing w:after="100" w:before="60"/>
      </w:pPr>
      <w:r>
        <w:rPr>
          <w:rFonts w:ascii="Arial" w:cs="Arial" w:eastAsia="Arial" w:hAnsi="Arial"/>
          <w:color w:val="1A1A2E"/>
          <w:sz w:val="22"/>
          <w:szCs w:val="22"/>
        </w:rPr>
        <w:t xml:space="preserve">The following are strictly prohibited:</w:t>
      </w:r>
    </w:p>
    <w:p>
      <w:pPr>
        <w:pStyle w:val="ListParagraph"/>
        <w:numPr>
          <w:ilvl w:val="0"/>
          <w:numId w:val="2"/>
        </w:numPr>
        <w:spacing w:after="40" w:before="40"/>
      </w:pPr>
      <w:r>
        <w:rPr>
          <w:rFonts w:ascii="Arial" w:cs="Arial" w:eastAsia="Arial" w:hAnsi="Arial"/>
          <w:color w:val="1A1A2E"/>
          <w:sz w:val="22"/>
          <w:szCs w:val="22"/>
        </w:rPr>
        <w:t xml:space="preserve">Accessing, downloading, or distributing illegal, offensive, or inappropriate content on company systems</w:t>
      </w:r>
    </w:p>
    <w:p>
      <w:pPr>
        <w:pStyle w:val="ListParagraph"/>
        <w:numPr>
          <w:ilvl w:val="0"/>
          <w:numId w:val="2"/>
        </w:numPr>
        <w:spacing w:after="40" w:before="40"/>
      </w:pPr>
      <w:r>
        <w:rPr>
          <w:rFonts w:ascii="Arial" w:cs="Arial" w:eastAsia="Arial" w:hAnsi="Arial"/>
          <w:color w:val="1A1A2E"/>
          <w:sz w:val="22"/>
          <w:szCs w:val="22"/>
        </w:rPr>
        <w:t xml:space="preserve">Installing unauthorised software on company devices</w:t>
      </w:r>
    </w:p>
    <w:p>
      <w:pPr>
        <w:pStyle w:val="ListParagraph"/>
        <w:numPr>
          <w:ilvl w:val="0"/>
          <w:numId w:val="2"/>
        </w:numPr>
        <w:spacing w:after="40" w:before="40"/>
      </w:pPr>
      <w:r>
        <w:rPr>
          <w:rFonts w:ascii="Arial" w:cs="Arial" w:eastAsia="Arial" w:hAnsi="Arial"/>
          <w:color w:val="1A1A2E"/>
          <w:sz w:val="22"/>
          <w:szCs w:val="22"/>
        </w:rPr>
        <w:t xml:space="preserve">Sharing login credentials or allowing unauthorised individuals to access company systems</w:t>
      </w:r>
    </w:p>
    <w:p>
      <w:pPr>
        <w:pStyle w:val="ListParagraph"/>
        <w:numPr>
          <w:ilvl w:val="0"/>
          <w:numId w:val="2"/>
        </w:numPr>
        <w:spacing w:after="40" w:before="40"/>
      </w:pPr>
      <w:r>
        <w:rPr>
          <w:rFonts w:ascii="Arial" w:cs="Arial" w:eastAsia="Arial" w:hAnsi="Arial"/>
          <w:color w:val="1A1A2E"/>
          <w:sz w:val="22"/>
          <w:szCs w:val="22"/>
        </w:rPr>
        <w:t xml:space="preserve">Using company systems to conduct personal business activities</w:t>
      </w:r>
    </w:p>
    <w:p>
      <w:pPr>
        <w:pStyle w:val="ListParagraph"/>
        <w:numPr>
          <w:ilvl w:val="0"/>
          <w:numId w:val="2"/>
        </w:numPr>
        <w:spacing w:after="40" w:before="40"/>
      </w:pPr>
      <w:r>
        <w:rPr>
          <w:rFonts w:ascii="Arial" w:cs="Arial" w:eastAsia="Arial" w:hAnsi="Arial"/>
          <w:color w:val="1A1A2E"/>
          <w:sz w:val="22"/>
          <w:szCs w:val="22"/>
        </w:rPr>
        <w:t xml:space="preserve">Circumventing IT security controls or company-approved system configurations</w:t>
      </w:r>
    </w:p>
    <w:p>
      <w:pPr>
        <w:pBdr>
          <w:left w:val="single" w:color="C2933A" w:sz="12" w:space="8"/>
        </w:pBdr>
        <w:spacing w:after="80" w:before="80"/>
        <w:ind w:left="360"/>
      </w:pPr>
      <w:r>
        <w:rPr>
          <w:rFonts w:ascii="Arial" w:cs="Arial" w:eastAsia="Arial" w:hAnsi="Arial"/>
          <w:i/>
          <w:iCs/>
          <w:color w:val="5A5A5A"/>
          <w:sz w:val="20"/>
          <w:szCs w:val="20"/>
        </w:rPr>
        <w:t xml:space="preserve">Employees should have no expectation of privacy when using company IT systems. Novaris Solutions reserves the right to monitor the use of company systems in accordance with applicable UAE law and its IT Security Policy.</w:t>
      </w:r>
    </w:p>
    <w:p>
      <w:pPr>
        <w:pStyle w:val="Heading2"/>
        <w:spacing w:after="80" w:before="280"/>
      </w:pPr>
      <w:r>
        <w:rPr>
          <w:rFonts w:ascii="Arial" w:cs="Arial" w:eastAsia="Arial" w:hAnsi="Arial"/>
          <w:b/>
          <w:bCs/>
          <w:color w:val="0D1F35"/>
          <w:sz w:val="26"/>
          <w:szCs w:val="26"/>
        </w:rPr>
        <w:t xml:space="preserve">6.2 Communication Platforms</w:t>
      </w:r>
    </w:p>
    <w:p>
      <w:pPr>
        <w:spacing w:after="100" w:before="60"/>
      </w:pPr>
      <w:r>
        <w:rPr>
          <w:rFonts w:ascii="Arial" w:cs="Arial" w:eastAsia="Arial" w:hAnsi="Arial"/>
          <w:color w:val="1A1A2E"/>
          <w:sz w:val="22"/>
          <w:szCs w:val="22"/>
        </w:rPr>
        <w:t xml:space="preserve">Company communication tools — including email, messaging platforms, and video conferencing systems — must be used professionally and appropriately. Employees must not use these platforms to share content that is offensive, discriminatory, confidential, or otherwise inappropriate.</w:t>
      </w:r>
    </w:p>
    <w:p>
      <w:pPr>
        <w:spacing w:after="100" w:before="60"/>
      </w:pPr>
      <w:r>
        <w:rPr>
          <w:rFonts w:ascii="Arial" w:cs="Arial" w:eastAsia="Arial" w:hAnsi="Arial"/>
          <w:color w:val="1A1A2E"/>
          <w:sz w:val="22"/>
          <w:szCs w:val="22"/>
        </w:rPr>
        <w:t xml:space="preserve">When communicating externally on behalf of Novaris Solutions — including on social media — employees must ensure that their communications are professional, accurate, and do not disclose confidential information or make statements that could be attributed to the Company without authorisation.</w:t>
      </w:r>
    </w:p>
    <w:p>
      <w:pPr>
        <w:pStyle w:val="Heading2"/>
        <w:spacing w:after="80" w:before="280"/>
      </w:pPr>
      <w:r>
        <w:rPr>
          <w:rFonts w:ascii="Arial" w:cs="Arial" w:eastAsia="Arial" w:hAnsi="Arial"/>
          <w:b/>
          <w:bCs/>
          <w:color w:val="0D1F35"/>
          <w:sz w:val="26"/>
          <w:szCs w:val="26"/>
        </w:rPr>
        <w:t xml:space="preserve">6.3 Social Media</w:t>
      </w:r>
    </w:p>
    <w:p>
      <w:pPr>
        <w:spacing w:after="100" w:before="60"/>
      </w:pPr>
      <w:r>
        <w:rPr>
          <w:rFonts w:ascii="Arial" w:cs="Arial" w:eastAsia="Arial" w:hAnsi="Arial"/>
          <w:color w:val="1A1A2E"/>
          <w:sz w:val="22"/>
          <w:szCs w:val="22"/>
        </w:rPr>
        <w:t xml:space="preserve">Employees are free to maintain personal social media accounts. When doing so, they must:</w:t>
      </w:r>
    </w:p>
    <w:p>
      <w:pPr>
        <w:pStyle w:val="ListParagraph"/>
        <w:numPr>
          <w:ilvl w:val="0"/>
          <w:numId w:val="2"/>
        </w:numPr>
        <w:spacing w:after="40" w:before="40"/>
      </w:pPr>
      <w:r>
        <w:rPr>
          <w:rFonts w:ascii="Arial" w:cs="Arial" w:eastAsia="Arial" w:hAnsi="Arial"/>
          <w:color w:val="1A1A2E"/>
          <w:sz w:val="22"/>
          <w:szCs w:val="22"/>
        </w:rPr>
        <w:t xml:space="preserve">Not identify themselves as a Novaris Solutions employee in a context that could be misleading or reputationally damaging to the Company</w:t>
      </w:r>
    </w:p>
    <w:p>
      <w:pPr>
        <w:pStyle w:val="ListParagraph"/>
        <w:numPr>
          <w:ilvl w:val="0"/>
          <w:numId w:val="2"/>
        </w:numPr>
        <w:spacing w:after="40" w:before="40"/>
      </w:pPr>
      <w:r>
        <w:rPr>
          <w:rFonts w:ascii="Arial" w:cs="Arial" w:eastAsia="Arial" w:hAnsi="Arial"/>
          <w:color w:val="1A1A2E"/>
          <w:sz w:val="22"/>
          <w:szCs w:val="22"/>
        </w:rPr>
        <w:t xml:space="preserve">Not share confidential client, company, or colleague information on any platform</w:t>
      </w:r>
    </w:p>
    <w:p>
      <w:pPr>
        <w:pStyle w:val="ListParagraph"/>
        <w:numPr>
          <w:ilvl w:val="0"/>
          <w:numId w:val="2"/>
        </w:numPr>
        <w:spacing w:after="40" w:before="40"/>
      </w:pPr>
      <w:r>
        <w:rPr>
          <w:rFonts w:ascii="Arial" w:cs="Arial" w:eastAsia="Arial" w:hAnsi="Arial"/>
          <w:color w:val="1A1A2E"/>
          <w:sz w:val="22"/>
          <w:szCs w:val="22"/>
        </w:rPr>
        <w:t xml:space="preserve">Not make statements that could constitute defamation, harassment, or discrimination against colleagues or clients</w:t>
      </w:r>
    </w:p>
    <w:p>
      <w:pPr>
        <w:pStyle w:val="ListParagraph"/>
        <w:numPr>
          <w:ilvl w:val="0"/>
          <w:numId w:val="2"/>
        </w:numPr>
        <w:spacing w:after="40" w:before="40"/>
      </w:pPr>
      <w:r>
        <w:rPr>
          <w:rFonts w:ascii="Arial" w:cs="Arial" w:eastAsia="Arial" w:hAnsi="Arial"/>
          <w:color w:val="1A1A2E"/>
          <w:sz w:val="22"/>
          <w:szCs w:val="22"/>
        </w:rPr>
        <w:t xml:space="preserve">Be mindful that posts made outside working hours may still reflect on the Company if the employee is identifiable as a Novaris Solutions representative</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7. Compliance with UAE Law and Regulations</w:t>
      </w:r>
    </w:p>
    <w:p>
      <w:pPr>
        <w:spacing w:after="100" w:before="60"/>
      </w:pPr>
      <w:r>
        <w:rPr>
          <w:rFonts w:ascii="Arial" w:cs="Arial" w:eastAsia="Arial" w:hAnsi="Arial"/>
          <w:color w:val="1A1A2E"/>
          <w:sz w:val="22"/>
          <w:szCs w:val="22"/>
        </w:rPr>
        <w:t xml:space="preserve">All employees must comply with applicable UAE federal and Dubai local laws at all times, including but not limited to:</w:t>
      </w:r>
    </w:p>
    <w:p>
      <w:pPr>
        <w:pStyle w:val="ListParagraph"/>
        <w:numPr>
          <w:ilvl w:val="0"/>
          <w:numId w:val="2"/>
        </w:numPr>
        <w:spacing w:after="40" w:before="40"/>
      </w:pPr>
      <w:r>
        <w:rPr>
          <w:rFonts w:ascii="Arial" w:cs="Arial" w:eastAsia="Arial" w:hAnsi="Arial"/>
          <w:color w:val="1A1A2E"/>
          <w:sz w:val="22"/>
          <w:szCs w:val="22"/>
        </w:rPr>
        <w:t xml:space="preserve">UAE Federal Decree-Law No. 33 of 2021 on the Regulation of Labour Relations</w:t>
      </w:r>
    </w:p>
    <w:p>
      <w:pPr>
        <w:pStyle w:val="ListParagraph"/>
        <w:numPr>
          <w:ilvl w:val="0"/>
          <w:numId w:val="2"/>
        </w:numPr>
        <w:spacing w:after="40" w:before="40"/>
      </w:pPr>
      <w:r>
        <w:rPr>
          <w:rFonts w:ascii="Arial" w:cs="Arial" w:eastAsia="Arial" w:hAnsi="Arial"/>
          <w:color w:val="1A1A2E"/>
          <w:sz w:val="22"/>
          <w:szCs w:val="22"/>
        </w:rPr>
        <w:t xml:space="preserve">UAE Federal Decree-Law No. 45 of 2021 on the Protection of Personal Data</w:t>
      </w:r>
    </w:p>
    <w:p>
      <w:pPr>
        <w:pStyle w:val="ListParagraph"/>
        <w:numPr>
          <w:ilvl w:val="0"/>
          <w:numId w:val="2"/>
        </w:numPr>
        <w:spacing w:after="40" w:before="40"/>
      </w:pPr>
      <w:r>
        <w:rPr>
          <w:rFonts w:ascii="Arial" w:cs="Arial" w:eastAsia="Arial" w:hAnsi="Arial"/>
          <w:color w:val="1A1A2E"/>
          <w:sz w:val="22"/>
          <w:szCs w:val="22"/>
        </w:rPr>
        <w:t xml:space="preserve">UAE Anti-Bribery and Corruption laws</w:t>
      </w:r>
    </w:p>
    <w:p>
      <w:pPr>
        <w:pStyle w:val="ListParagraph"/>
        <w:numPr>
          <w:ilvl w:val="0"/>
          <w:numId w:val="2"/>
        </w:numPr>
        <w:spacing w:after="40" w:before="40"/>
      </w:pPr>
      <w:r>
        <w:rPr>
          <w:rFonts w:ascii="Arial" w:cs="Arial" w:eastAsia="Arial" w:hAnsi="Arial"/>
          <w:color w:val="1A1A2E"/>
          <w:sz w:val="22"/>
          <w:szCs w:val="22"/>
        </w:rPr>
        <w:t xml:space="preserve">UAE Cybercrime Law (Federal Decree-Law No. 34 of 2021)</w:t>
      </w:r>
    </w:p>
    <w:p>
      <w:pPr>
        <w:pStyle w:val="ListParagraph"/>
        <w:numPr>
          <w:ilvl w:val="0"/>
          <w:numId w:val="2"/>
        </w:numPr>
        <w:spacing w:after="40" w:before="40"/>
      </w:pPr>
      <w:r>
        <w:rPr>
          <w:rFonts w:ascii="Arial" w:cs="Arial" w:eastAsia="Arial" w:hAnsi="Arial"/>
          <w:color w:val="1A1A2E"/>
          <w:sz w:val="22"/>
          <w:szCs w:val="22"/>
        </w:rPr>
        <w:t xml:space="preserve">Dubai Health Insurance Law (Law No. 11 of 2013)</w:t>
      </w:r>
    </w:p>
    <w:p>
      <w:pPr>
        <w:spacing w:after="100" w:before="60"/>
      </w:pPr>
      <w:r>
        <w:rPr>
          <w:rFonts w:ascii="Arial" w:cs="Arial" w:eastAsia="Arial" w:hAnsi="Arial"/>
          <w:color w:val="1A1A2E"/>
          <w:sz w:val="22"/>
          <w:szCs w:val="22"/>
        </w:rPr>
        <w:t xml:space="preserve">Employees who become aware of any actual or suspected breach of UAE law in the course of their work must report it to HR or their line manager immediately. Novaris Solutions will cooperate fully with any regulatory investigation or inquiry.</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8. Reporting Concerns</w:t>
      </w:r>
    </w:p>
    <w:p>
      <w:pPr>
        <w:spacing w:after="100" w:before="60"/>
      </w:pPr>
      <w:r>
        <w:rPr>
          <w:rFonts w:ascii="Arial" w:cs="Arial" w:eastAsia="Arial" w:hAnsi="Arial"/>
          <w:color w:val="1A1A2E"/>
          <w:sz w:val="22"/>
          <w:szCs w:val="22"/>
        </w:rPr>
        <w:t xml:space="preserve">Novaris Solutions is committed to creating an environment where employees feel safe to raise concerns without fear of retaliation. If an employee becomes aware of a breach of this Code — whether their own or that of a colleague — they are encouraged to report it through one of the following channels:</w:t>
      </w:r>
    </w:p>
    <w:p>
      <w:pPr>
        <w:pStyle w:val="ListParagraph"/>
        <w:numPr>
          <w:ilvl w:val="0"/>
          <w:numId w:val="2"/>
        </w:numPr>
        <w:spacing w:after="40" w:before="40"/>
      </w:pPr>
      <w:r>
        <w:rPr>
          <w:rFonts w:ascii="Arial" w:cs="Arial" w:eastAsia="Arial" w:hAnsi="Arial"/>
          <w:color w:val="1A1A2E"/>
          <w:sz w:val="22"/>
          <w:szCs w:val="22"/>
        </w:rPr>
        <w:t xml:space="preserve">Directly to their line manager, where appropriate</w:t>
      </w:r>
    </w:p>
    <w:p>
      <w:pPr>
        <w:pStyle w:val="ListParagraph"/>
        <w:numPr>
          <w:ilvl w:val="0"/>
          <w:numId w:val="2"/>
        </w:numPr>
        <w:spacing w:after="40" w:before="40"/>
      </w:pPr>
      <w:r>
        <w:rPr>
          <w:rFonts w:ascii="Arial" w:cs="Arial" w:eastAsia="Arial" w:hAnsi="Arial"/>
          <w:color w:val="1A1A2E"/>
          <w:sz w:val="22"/>
          <w:szCs w:val="22"/>
        </w:rPr>
        <w:t xml:space="preserve">To the Human Resources department at hr@novarissolutions.ae</w:t>
      </w:r>
    </w:p>
    <w:p>
      <w:pPr>
        <w:pStyle w:val="ListParagraph"/>
        <w:numPr>
          <w:ilvl w:val="0"/>
          <w:numId w:val="2"/>
        </w:numPr>
        <w:spacing w:after="40" w:before="40"/>
      </w:pPr>
      <w:r>
        <w:rPr>
          <w:rFonts w:ascii="Arial" w:cs="Arial" w:eastAsia="Arial" w:hAnsi="Arial"/>
          <w:color w:val="1A1A2E"/>
          <w:sz w:val="22"/>
          <w:szCs w:val="22"/>
        </w:rPr>
        <w:t xml:space="preserve">To the HR Director directly, in cases involving the employee's own line manager</w:t>
      </w:r>
    </w:p>
    <w:p>
      <w:pPr>
        <w:spacing w:after="100" w:before="60"/>
      </w:pPr>
      <w:r>
        <w:rPr>
          <w:rFonts w:ascii="Arial" w:cs="Arial" w:eastAsia="Arial" w:hAnsi="Arial"/>
          <w:color w:val="1A1A2E"/>
          <w:sz w:val="22"/>
          <w:szCs w:val="22"/>
        </w:rPr>
        <w:t xml:space="preserve">All reports will be treated with confidentiality to the extent possible given the need to investigate. Retaliation against an employee who makes a good-faith report of a concern is itself a serious breach of this Code and will be treated as a disciplinary matter.</w:t>
      </w:r>
    </w:p>
    <w:p>
      <w:pPr>
        <w:pBdr>
          <w:left w:val="single" w:color="C2933A" w:sz="12" w:space="8"/>
        </w:pBdr>
        <w:spacing w:after="80" w:before="80"/>
        <w:ind w:left="360"/>
      </w:pPr>
      <w:r>
        <w:rPr>
          <w:rFonts w:ascii="Arial" w:cs="Arial" w:eastAsia="Arial" w:hAnsi="Arial"/>
          <w:i/>
          <w:iCs/>
          <w:color w:val="5A5A5A"/>
          <w:sz w:val="20"/>
          <w:szCs w:val="20"/>
        </w:rPr>
        <w:t xml:space="preserve">Employees who raise concerns in good faith will be protected, even if the investigation concludes that no breach occurred. The protection does not extend to reports made maliciously or in bad faith.</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9. Acknowledgement</w:t>
      </w:r>
    </w:p>
    <w:p>
      <w:pPr>
        <w:spacing w:after="100" w:before="60"/>
      </w:pPr>
      <w:r>
        <w:rPr>
          <w:rFonts w:ascii="Arial" w:cs="Arial" w:eastAsia="Arial" w:hAnsi="Arial"/>
          <w:color w:val="1A1A2E"/>
          <w:sz w:val="22"/>
          <w:szCs w:val="22"/>
        </w:rPr>
        <w:t xml:space="preserve">All employees are required to read this Code of Conduct and sign an acknowledgement confirming that they have understood its contents. The signed acknowledgement will be held on the employee's HR file.</w:t>
      </w:r>
    </w:p>
    <w:p>
      <w:pPr>
        <w:spacing w:after="100" w:before="60"/>
      </w:pPr>
      <w:r>
        <w:rPr>
          <w:rFonts w:ascii="Arial" w:cs="Arial" w:eastAsia="Arial" w:hAnsi="Arial"/>
          <w:color w:val="1A1A2E"/>
          <w:sz w:val="22"/>
          <w:szCs w:val="22"/>
        </w:rPr>
        <w:t xml:space="preserve">New employees will sign the acknowledgement as part of the onboarding process. Where this Code is materially updated, all employees will be asked to re-acknowledge the revised version.</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10. Policy Amendments</w:t>
      </w:r>
    </w:p>
    <w:p>
      <w:pPr>
        <w:spacing w:after="100" w:before="60"/>
      </w:pPr>
      <w:r>
        <w:rPr>
          <w:rFonts w:ascii="Arial" w:cs="Arial" w:eastAsia="Arial" w:hAnsi="Arial"/>
          <w:color w:val="1A1A2E"/>
          <w:sz w:val="22"/>
          <w:szCs w:val="22"/>
        </w:rPr>
        <w:t xml:space="preserve">This Code of Conduct will be reviewed annually by the Human Resources department. Amendments will be communicated to all employees in writing. Continued employment following notification of a change constitutes acceptance of the revised Code.</w:t>
      </w:r>
    </w:p>
    <w:p>
      <w:pPr>
        <w:spacing w:after="240" w:before="0"/>
      </w:pPr>
      <w:r>
        <w:t xml:space="preserve"/>
      </w:r>
    </w:p>
    <w:p>
      <w:pPr>
        <w:pBdr>
          <w:top w:val="single" w:color="CCCCCC" w:sz="4" w:space="6"/>
        </w:pBdr>
        <w:spacing w:after="60" w:before="200"/>
        <w:jc w:val="center"/>
      </w:pPr>
      <w:r>
        <w:rPr>
          <w:rFonts w:ascii="Arial" w:cs="Arial" w:eastAsia="Arial" w:hAnsi="Arial"/>
          <w:color w:val="AAAAAA"/>
          <w:sz w:val="18"/>
          <w:szCs w:val="18"/>
        </w:rPr>
        <w:t xml:space="preserve">Novaris Solutions  |  Human Resources Department  |  hr@novarissolutions.ae</w:t>
      </w:r>
    </w:p>
    <w:p>
      <w:pPr>
        <w:spacing w:after="60"/>
        <w:jc w:val="center"/>
      </w:pPr>
      <w:r>
        <w:rPr>
          <w:rFonts w:ascii="Arial" w:cs="Arial" w:eastAsia="Arial" w:hAnsi="Arial"/>
          <w:color w:val="AAAAAA"/>
          <w:sz w:val="18"/>
          <w:szCs w:val="18"/>
        </w:rPr>
        <w:t xml:space="preserve">Version 1.0  |  January 2025  |  Confidential — For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60"/>
    </w:pPr>
    <w:r>
      <w:rPr>
        <w:rFonts w:ascii="Arial" w:cs="Arial" w:eastAsia="Arial" w:hAnsi="Arial"/>
        <w:color w:val="AAAAAA"/>
        <w:sz w:val="16"/>
        <w:szCs w:val="16"/>
      </w:rPr>
      <w:t xml:space="preserve">Confidential — For Internal Use Only</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933A" w:sz="6" w:space="4"/>
      </w:pBdr>
      <w:tabs>
        <w:tab w:val="right" w:pos="9360"/>
      </w:tabs>
      <w:spacing w:after="0"/>
    </w:pPr>
    <w:r>
      <w:rPr>
        <w:rFonts w:ascii="Arial" w:cs="Arial" w:eastAsia="Arial" w:hAnsi="Arial"/>
        <w:b/>
        <w:bCs/>
        <w:color w:val="0D1F35"/>
        <w:sz w:val="18"/>
        <w:szCs w:val="18"/>
      </w:rPr>
      <w:t xml:space="preserve">NOVARIS SOLUTIONS</w:t>
    </w:r>
    <w:r>
      <w:rPr>
        <w:rFonts w:ascii="Arial" w:cs="Arial" w:eastAsia="Arial" w:hAnsi="Arial"/>
        <w:color w:val="888888"/>
        <w:sz w:val="18"/>
        <w:szCs w:val="18"/>
      </w:rPr>
      <w:t xml:space="preserve">	Code of Conduct</w:t>
    </w:r>
  </w:p>
  <w:p>
    <w:pPr>
      <w:spacing w:after="36"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3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D1F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2026-04-21T15:52:10.849Z</dcterms:created>
  <dcterms:modified xsi:type="dcterms:W3CDTF">2026-04-21T15:52:10.850Z</dcterms:modified>
</cp:coreProperties>
</file>

<file path=docProps/custom.xml><?xml version="1.0" encoding="utf-8"?>
<Properties xmlns="http://schemas.openxmlformats.org/officeDocument/2006/custom-properties" xmlns:vt="http://schemas.openxmlformats.org/officeDocument/2006/docPropsVTypes"/>
</file>