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jc w:val="center"/>
      </w:pPr>
      <w:r>
        <w:rPr>
          <w:rFonts w:ascii="Arial" w:cs="Arial" w:eastAsia="Arial" w:hAnsi="Arial"/>
          <w:b/>
          <w:bCs/>
          <w:color w:val="0D1F35"/>
          <w:sz w:val="52"/>
          <w:szCs w:val="52"/>
        </w:rPr>
        <w:t xml:space="preserve">NOVARIS SOLUTIONS</w:t>
      </w:r>
    </w:p>
    <w:p>
      <w:pPr>
        <w:spacing w:after="60"/>
        <w:jc w:val="center"/>
      </w:pPr>
      <w:r>
        <w:rPr>
          <w:rFonts w:ascii="Arial" w:cs="Arial" w:eastAsia="Arial" w:hAnsi="Arial"/>
          <w:color w:val="C2933A"/>
          <w:sz w:val="36"/>
          <w:szCs w:val="36"/>
        </w:rPr>
        <w:t xml:space="preserve">Grievance &amp; Disciplinary Policy</w:t>
      </w:r>
    </w:p>
    <w:p>
      <w:pPr>
        <w:spacing w:after="400"/>
        <w:jc w:val="center"/>
      </w:pPr>
      <w:r>
        <w:rPr>
          <w:rFonts w:ascii="Arial" w:cs="Arial" w:eastAsia="Arial" w:hAnsi="Arial"/>
          <w:color w:val="888888"/>
          <w:sz w:val="24"/>
          <w:szCs w:val="24"/>
        </w:rPr>
        <w:t xml:space="preserve">Dubai, United Arab Emirates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none" w:color="FFFFFF" w:sz="0"/>
              <w:left w:val="none" w:color="FFFFFF" w:sz="0"/>
              <w:bottom w:val="single" w:color="C2933A" w:sz="8"/>
              <w:right w:val="none" w:color="FFFFFF" w:sz="0"/>
            </w:tcBorders>
            <w:tcMar>
              <w:top w:type="dxa" w:w="0"/>
              <w:left w:type="dxa" w:w="0"/>
              <w:bottom w:type="dxa" w:w="160"/>
              <w:right w:type="dxa" w:w="0"/>
            </w:tcMar>
          </w:tcPr>
          <w:p>
            <w:pPr>
              <w:jc w:val="center"/>
            </w:pPr>
            <w:r>
              <w:t xml:space="preserve"/>
            </w:r>
          </w:p>
        </w:tc>
      </w:tr>
    </w:tbl>
    <w:p>
      <w:pPr>
        <w:spacing w:after="240" w:before="0"/>
      </w:pPr>
      <w:r>
        <w:t xml:space="preserve"/>
      </w:r>
    </w:p>
    <w:p>
      <w:pPr>
        <w:spacing w:after="60"/>
        <w:jc w:val="center"/>
      </w:pPr>
      <w:r>
        <w:rPr>
          <w:rFonts w:ascii="Arial" w:cs="Arial" w:eastAsia="Arial" w:hAnsi="Arial"/>
          <w:color w:val="888888"/>
          <w:sz w:val="20"/>
          <w:szCs w:val="20"/>
        </w:rPr>
        <w:t xml:space="preserve">Version 1.0  |  Effective Date: January 2025</w:t>
      </w:r>
    </w:p>
    <w:p>
      <w:pPr>
        <w:jc w:val="center"/>
      </w:pPr>
      <w:r>
        <w:rPr>
          <w:rFonts w:ascii="Arial" w:cs="Arial" w:eastAsia="Arial" w:hAnsi="Arial"/>
          <w:color w:val="888888"/>
          <w:sz w:val="20"/>
          <w:szCs w:val="20"/>
        </w:rPr>
        <w:t xml:space="preserve">Human Resources Department</w:t>
      </w:r>
    </w:p>
    <w:p>
      <w:r>
        <w:br w:type="page"/>
      </w:r>
    </w:p>
    <w:p>
      <w:pPr>
        <w:pStyle w:val="Heading1"/>
        <w:pBdr>
          <w:bottom w:val="single" w:color="C2933A" w:sz="8" w:space="4"/>
        </w:pBdr>
        <w:spacing w:after="120" w:before="360"/>
      </w:pPr>
      <w:r>
        <w:rPr>
          <w:rFonts w:ascii="Arial" w:cs="Arial" w:eastAsia="Arial" w:hAnsi="Arial"/>
          <w:b/>
          <w:bCs/>
          <w:color w:val="0D1F35"/>
          <w:sz w:val="32"/>
          <w:szCs w:val="32"/>
        </w:rPr>
        <w:t xml:space="preserve">1. Purpose and Scope</w:t>
      </w:r>
    </w:p>
    <w:p>
      <w:pPr>
        <w:spacing w:after="100" w:before="60"/>
      </w:pPr>
      <w:r>
        <w:rPr>
          <w:rFonts w:ascii="Arial" w:cs="Arial" w:eastAsia="Arial" w:hAnsi="Arial"/>
          <w:color w:val="1A1A2E"/>
          <w:sz w:val="22"/>
          <w:szCs w:val="22"/>
        </w:rPr>
        <w:t xml:space="preserve">This policy sets out the procedures for raising and resolving workplace grievances and for managing conduct and performance matters at Novaris Solutions LLC. It is designed to ensure that all employees are treated fairly, consistently, and in accordance with UAE Federal Decree-Law No. 33 of 2021 on the Regulation of Labour Relations.</w:t>
      </w:r>
    </w:p>
    <w:p>
      <w:pPr>
        <w:spacing w:after="100" w:before="60"/>
      </w:pPr>
      <w:r>
        <w:rPr>
          <w:rFonts w:ascii="Arial" w:cs="Arial" w:eastAsia="Arial" w:hAnsi="Arial"/>
          <w:color w:val="1A1A2E"/>
          <w:sz w:val="22"/>
          <w:szCs w:val="22"/>
        </w:rPr>
        <w:t xml:space="preserve">This policy applies to all employees of Novaris Solutions across all bands and locations. It covers two distinct but related processes: the Grievance Procedure, which is initiated by an employee with a workplace concern, and the Disciplinary Procedure, which is initiated by the Company in response to a conduct or performance matter.</w:t>
      </w:r>
    </w:p>
    <w:p>
      <w:pPr>
        <w:pBdr>
          <w:left w:val="single" w:color="C2933A" w:sz="12" w:space="8"/>
        </w:pBdr>
        <w:spacing w:after="80" w:before="80"/>
        <w:ind w:left="360"/>
      </w:pPr>
      <w:r>
        <w:rPr>
          <w:rFonts w:ascii="Arial" w:cs="Arial" w:eastAsia="Arial" w:hAnsi="Arial"/>
          <w:i/>
          <w:iCs/>
          <w:color w:val="5A5A5A"/>
          <w:sz w:val="20"/>
          <w:szCs w:val="20"/>
        </w:rPr>
        <w:t xml:space="preserve">This policy is not intended to replace informal resolution. Novaris Solutions encourages employees and managers to resolve issues promptly and informally wherever possible. Formal procedures should be used where informal resolution has failed or is not appropriate given the nature of the matter.</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PART A — GRIEVANCE PROCEDURE</w:t>
      </w:r>
    </w:p>
    <w:p>
      <w:pPr>
        <w:pStyle w:val="Heading1"/>
        <w:pBdr>
          <w:bottom w:val="single" w:color="C2933A" w:sz="8" w:space="4"/>
        </w:pBdr>
        <w:spacing w:after="120" w:before="360"/>
      </w:pPr>
      <w:r>
        <w:rPr>
          <w:rFonts w:ascii="Arial" w:cs="Arial" w:eastAsia="Arial" w:hAnsi="Arial"/>
          <w:b/>
          <w:bCs/>
          <w:color w:val="0D1F35"/>
          <w:sz w:val="32"/>
          <w:szCs w:val="32"/>
        </w:rPr>
        <w:t xml:space="preserve">2. Raising a Grievance</w:t>
      </w:r>
    </w:p>
    <w:p>
      <w:pPr>
        <w:pStyle w:val="Heading2"/>
        <w:spacing w:after="80" w:before="280"/>
      </w:pPr>
      <w:r>
        <w:rPr>
          <w:rFonts w:ascii="Arial" w:cs="Arial" w:eastAsia="Arial" w:hAnsi="Arial"/>
          <w:b/>
          <w:bCs/>
          <w:color w:val="0D1F35"/>
          <w:sz w:val="26"/>
          <w:szCs w:val="26"/>
        </w:rPr>
        <w:t xml:space="preserve">2.1 What Is a Grievance</w:t>
      </w:r>
    </w:p>
    <w:p>
      <w:pPr>
        <w:spacing w:after="100" w:before="60"/>
      </w:pPr>
      <w:r>
        <w:rPr>
          <w:rFonts w:ascii="Arial" w:cs="Arial" w:eastAsia="Arial" w:hAnsi="Arial"/>
          <w:color w:val="1A1A2E"/>
          <w:sz w:val="22"/>
          <w:szCs w:val="22"/>
        </w:rPr>
        <w:t xml:space="preserve">A grievance is a formal concern or complaint raised by an employee relating to their employment at Novaris Solutions. Grievances may relate to, but are not limited to:</w:t>
      </w:r>
    </w:p>
    <w:p>
      <w:pPr>
        <w:pStyle w:val="ListParagraph"/>
        <w:numPr>
          <w:ilvl w:val="0"/>
          <w:numId w:val="2"/>
        </w:numPr>
        <w:spacing w:after="40" w:before="40"/>
      </w:pPr>
      <w:r>
        <w:rPr>
          <w:rFonts w:ascii="Arial" w:cs="Arial" w:eastAsia="Arial" w:hAnsi="Arial"/>
          <w:color w:val="1A1A2E"/>
          <w:sz w:val="22"/>
          <w:szCs w:val="22"/>
        </w:rPr>
        <w:t xml:space="preserve">Treatment by a manager or colleague, including allegations of harassment, bullying, or discrimination</w:t>
      </w:r>
    </w:p>
    <w:p>
      <w:pPr>
        <w:pStyle w:val="ListParagraph"/>
        <w:numPr>
          <w:ilvl w:val="0"/>
          <w:numId w:val="2"/>
        </w:numPr>
        <w:spacing w:after="40" w:before="40"/>
      </w:pPr>
      <w:r>
        <w:rPr>
          <w:rFonts w:ascii="Arial" w:cs="Arial" w:eastAsia="Arial" w:hAnsi="Arial"/>
          <w:color w:val="1A1A2E"/>
          <w:sz w:val="22"/>
          <w:szCs w:val="22"/>
        </w:rPr>
        <w:t xml:space="preserve">Application of a company policy in a way the employee believes is unfair or incorrect</w:t>
      </w:r>
    </w:p>
    <w:p>
      <w:pPr>
        <w:pStyle w:val="ListParagraph"/>
        <w:numPr>
          <w:ilvl w:val="0"/>
          <w:numId w:val="2"/>
        </w:numPr>
        <w:spacing w:after="40" w:before="40"/>
      </w:pPr>
      <w:r>
        <w:rPr>
          <w:rFonts w:ascii="Arial" w:cs="Arial" w:eastAsia="Arial" w:hAnsi="Arial"/>
          <w:color w:val="1A1A2E"/>
          <w:sz w:val="22"/>
          <w:szCs w:val="22"/>
        </w:rPr>
        <w:t xml:space="preserve">Changes to terms and conditions of employment</w:t>
      </w:r>
    </w:p>
    <w:p>
      <w:pPr>
        <w:pStyle w:val="ListParagraph"/>
        <w:numPr>
          <w:ilvl w:val="0"/>
          <w:numId w:val="2"/>
        </w:numPr>
        <w:spacing w:after="40" w:before="40"/>
      </w:pPr>
      <w:r>
        <w:rPr>
          <w:rFonts w:ascii="Arial" w:cs="Arial" w:eastAsia="Arial" w:hAnsi="Arial"/>
          <w:color w:val="1A1A2E"/>
          <w:sz w:val="22"/>
          <w:szCs w:val="22"/>
        </w:rPr>
        <w:t xml:space="preserve">Working conditions or environment</w:t>
      </w:r>
    </w:p>
    <w:p>
      <w:pPr>
        <w:pStyle w:val="ListParagraph"/>
        <w:numPr>
          <w:ilvl w:val="0"/>
          <w:numId w:val="2"/>
        </w:numPr>
        <w:spacing w:after="40" w:before="40"/>
      </w:pPr>
      <w:r>
        <w:rPr>
          <w:rFonts w:ascii="Arial" w:cs="Arial" w:eastAsia="Arial" w:hAnsi="Arial"/>
          <w:color w:val="1A1A2E"/>
          <w:sz w:val="22"/>
          <w:szCs w:val="22"/>
        </w:rPr>
        <w:t xml:space="preserve">Concerns about health and safety</w:t>
      </w:r>
    </w:p>
    <w:p>
      <w:pPr>
        <w:pStyle w:val="ListParagraph"/>
        <w:numPr>
          <w:ilvl w:val="0"/>
          <w:numId w:val="2"/>
        </w:numPr>
        <w:spacing w:after="40" w:before="40"/>
      </w:pPr>
      <w:r>
        <w:rPr>
          <w:rFonts w:ascii="Arial" w:cs="Arial" w:eastAsia="Arial" w:hAnsi="Arial"/>
          <w:color w:val="1A1A2E"/>
          <w:sz w:val="22"/>
          <w:szCs w:val="22"/>
        </w:rPr>
        <w:t xml:space="preserve">Retaliation following a good-faith report of a concern</w:t>
      </w:r>
    </w:p>
    <w:p>
      <w:pPr>
        <w:pStyle w:val="Heading2"/>
        <w:spacing w:after="80" w:before="280"/>
      </w:pPr>
      <w:r>
        <w:rPr>
          <w:rFonts w:ascii="Arial" w:cs="Arial" w:eastAsia="Arial" w:hAnsi="Arial"/>
          <w:b/>
          <w:bCs/>
          <w:color w:val="0D1F35"/>
          <w:sz w:val="26"/>
          <w:szCs w:val="26"/>
        </w:rPr>
        <w:t xml:space="preserve">2.2 Informal Resolution First</w:t>
      </w:r>
    </w:p>
    <w:p>
      <w:pPr>
        <w:spacing w:after="100" w:before="60"/>
      </w:pPr>
      <w:r>
        <w:rPr>
          <w:rFonts w:ascii="Arial" w:cs="Arial" w:eastAsia="Arial" w:hAnsi="Arial"/>
          <w:color w:val="1A1A2E"/>
          <w:sz w:val="22"/>
          <w:szCs w:val="22"/>
        </w:rPr>
        <w:t xml:space="preserve">Before raising a formal grievance, employees are encouraged to attempt to resolve the matter informally where it is safe and appropriate to do so. This may involve speaking directly with the person concerned, or raising the matter with the line manager in a constructive conversation. HR is available to advise and support employees through this stage.</w:t>
      </w:r>
    </w:p>
    <w:p>
      <w:pPr>
        <w:pStyle w:val="Heading2"/>
        <w:spacing w:after="80" w:before="280"/>
      </w:pPr>
      <w:r>
        <w:rPr>
          <w:rFonts w:ascii="Arial" w:cs="Arial" w:eastAsia="Arial" w:hAnsi="Arial"/>
          <w:b/>
          <w:bCs/>
          <w:color w:val="0D1F35"/>
          <w:sz w:val="26"/>
          <w:szCs w:val="26"/>
        </w:rPr>
        <w:t xml:space="preserve">2.3 How to Raise a Formal Grievance</w:t>
      </w:r>
    </w:p>
    <w:p>
      <w:pPr>
        <w:spacing w:after="100" w:before="60"/>
      </w:pPr>
      <w:r>
        <w:rPr>
          <w:rFonts w:ascii="Arial" w:cs="Arial" w:eastAsia="Arial" w:hAnsi="Arial"/>
          <w:color w:val="1A1A2E"/>
          <w:sz w:val="22"/>
          <w:szCs w:val="22"/>
        </w:rPr>
        <w:t xml:space="preserve">If informal resolution is not possible or appropriate, the employee may raise a formal grievance by submitting a written grievance letter to HR at hr@novarissolutions.ae. The letter should set out:</w:t>
      </w:r>
    </w:p>
    <w:p>
      <w:pPr>
        <w:pStyle w:val="ListParagraph"/>
        <w:numPr>
          <w:ilvl w:val="0"/>
          <w:numId w:val="2"/>
        </w:numPr>
        <w:spacing w:after="40" w:before="40"/>
      </w:pPr>
      <w:r>
        <w:rPr>
          <w:rFonts w:ascii="Arial" w:cs="Arial" w:eastAsia="Arial" w:hAnsi="Arial"/>
          <w:color w:val="1A1A2E"/>
          <w:sz w:val="22"/>
          <w:szCs w:val="22"/>
        </w:rPr>
        <w:t xml:space="preserve">The nature of the grievance and the specific concern being raised</w:t>
      </w:r>
    </w:p>
    <w:p>
      <w:pPr>
        <w:pStyle w:val="ListParagraph"/>
        <w:numPr>
          <w:ilvl w:val="0"/>
          <w:numId w:val="2"/>
        </w:numPr>
        <w:spacing w:after="40" w:before="40"/>
      </w:pPr>
      <w:r>
        <w:rPr>
          <w:rFonts w:ascii="Arial" w:cs="Arial" w:eastAsia="Arial" w:hAnsi="Arial"/>
          <w:color w:val="1A1A2E"/>
          <w:sz w:val="22"/>
          <w:szCs w:val="22"/>
        </w:rPr>
        <w:t xml:space="preserve">The names of any individuals involved</w:t>
      </w:r>
    </w:p>
    <w:p>
      <w:pPr>
        <w:pStyle w:val="ListParagraph"/>
        <w:numPr>
          <w:ilvl w:val="0"/>
          <w:numId w:val="2"/>
        </w:numPr>
        <w:spacing w:after="40" w:before="40"/>
      </w:pPr>
      <w:r>
        <w:rPr>
          <w:rFonts w:ascii="Arial" w:cs="Arial" w:eastAsia="Arial" w:hAnsi="Arial"/>
          <w:color w:val="1A1A2E"/>
          <w:sz w:val="22"/>
          <w:szCs w:val="22"/>
        </w:rPr>
        <w:t xml:space="preserve">Any steps already taken to resolve the matter informally</w:t>
      </w:r>
    </w:p>
    <w:p>
      <w:pPr>
        <w:pStyle w:val="ListParagraph"/>
        <w:numPr>
          <w:ilvl w:val="0"/>
          <w:numId w:val="2"/>
        </w:numPr>
        <w:spacing w:after="40" w:before="40"/>
      </w:pPr>
      <w:r>
        <w:rPr>
          <w:rFonts w:ascii="Arial" w:cs="Arial" w:eastAsia="Arial" w:hAnsi="Arial"/>
          <w:color w:val="1A1A2E"/>
          <w:sz w:val="22"/>
          <w:szCs w:val="22"/>
        </w:rPr>
        <w:t xml:space="preserve">The outcome the employee is seeking</w:t>
      </w:r>
    </w:p>
    <w:p>
      <w:pPr>
        <w:spacing w:after="100" w:before="60"/>
      </w:pPr>
      <w:r>
        <w:rPr>
          <w:rFonts w:ascii="Arial" w:cs="Arial" w:eastAsia="Arial" w:hAnsi="Arial"/>
          <w:color w:val="1A1A2E"/>
          <w:sz w:val="22"/>
          <w:szCs w:val="22"/>
        </w:rPr>
        <w:t xml:space="preserve">Where the grievance involves the HR department itself, the employee may submit the grievance directly to the HR Director or, where that is also not appropriate, to a senior business leader.</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3. Grievance Investigation Process</w:t>
      </w:r>
    </w:p>
    <w:p>
      <w:pPr>
        <w:pStyle w:val="Heading2"/>
        <w:spacing w:after="80" w:before="280"/>
      </w:pPr>
      <w:r>
        <w:rPr>
          <w:rFonts w:ascii="Arial" w:cs="Arial" w:eastAsia="Arial" w:hAnsi="Arial"/>
          <w:b/>
          <w:bCs/>
          <w:color w:val="0D1F35"/>
          <w:sz w:val="26"/>
          <w:szCs w:val="26"/>
        </w:rPr>
        <w:t xml:space="preserve">3.1 Acknowledgement</w:t>
      </w:r>
    </w:p>
    <w:p>
      <w:pPr>
        <w:spacing w:after="100" w:before="60"/>
      </w:pPr>
      <w:r>
        <w:rPr>
          <w:rFonts w:ascii="Arial" w:cs="Arial" w:eastAsia="Arial" w:hAnsi="Arial"/>
          <w:color w:val="1A1A2E"/>
          <w:sz w:val="22"/>
          <w:szCs w:val="22"/>
        </w:rPr>
        <w:t xml:space="preserve">HR will acknowledge receipt of a formal grievance in writing within three (3) working days of receipt.</w:t>
      </w:r>
    </w:p>
    <w:p>
      <w:pPr>
        <w:pStyle w:val="Heading2"/>
        <w:spacing w:after="80" w:before="280"/>
      </w:pPr>
      <w:r>
        <w:rPr>
          <w:rFonts w:ascii="Arial" w:cs="Arial" w:eastAsia="Arial" w:hAnsi="Arial"/>
          <w:b/>
          <w:bCs/>
          <w:color w:val="0D1F35"/>
          <w:sz w:val="26"/>
          <w:szCs w:val="26"/>
        </w:rPr>
        <w:t xml:space="preserve">3.2 Investigation</w:t>
      </w:r>
    </w:p>
    <w:p>
      <w:pPr>
        <w:spacing w:after="100" w:before="60"/>
      </w:pPr>
      <w:r>
        <w:rPr>
          <w:rFonts w:ascii="Arial" w:cs="Arial" w:eastAsia="Arial" w:hAnsi="Arial"/>
          <w:color w:val="1A1A2E"/>
          <w:sz w:val="22"/>
          <w:szCs w:val="22"/>
        </w:rPr>
        <w:t xml:space="preserve">HR will appoint an investigating manager — typically someone who is not directly involved in the matter — to conduct a fair and impartial investigation. The investigation may include:</w:t>
      </w:r>
    </w:p>
    <w:p>
      <w:pPr>
        <w:pStyle w:val="ListParagraph"/>
        <w:numPr>
          <w:ilvl w:val="0"/>
          <w:numId w:val="2"/>
        </w:numPr>
        <w:spacing w:after="40" w:before="40"/>
      </w:pPr>
      <w:r>
        <w:rPr>
          <w:rFonts w:ascii="Arial" w:cs="Arial" w:eastAsia="Arial" w:hAnsi="Arial"/>
          <w:color w:val="1A1A2E"/>
          <w:sz w:val="22"/>
          <w:szCs w:val="22"/>
        </w:rPr>
        <w:t xml:space="preserve">A meeting with the employee who raised the grievance</w:t>
      </w:r>
    </w:p>
    <w:p>
      <w:pPr>
        <w:pStyle w:val="ListParagraph"/>
        <w:numPr>
          <w:ilvl w:val="0"/>
          <w:numId w:val="2"/>
        </w:numPr>
        <w:spacing w:after="40" w:before="40"/>
      </w:pPr>
      <w:r>
        <w:rPr>
          <w:rFonts w:ascii="Arial" w:cs="Arial" w:eastAsia="Arial" w:hAnsi="Arial"/>
          <w:color w:val="1A1A2E"/>
          <w:sz w:val="22"/>
          <w:szCs w:val="22"/>
        </w:rPr>
        <w:t xml:space="preserve">Interviews with the individuals named in the grievance and any relevant witnesses</w:t>
      </w:r>
    </w:p>
    <w:p>
      <w:pPr>
        <w:pStyle w:val="ListParagraph"/>
        <w:numPr>
          <w:ilvl w:val="0"/>
          <w:numId w:val="2"/>
        </w:numPr>
        <w:spacing w:after="40" w:before="40"/>
      </w:pPr>
      <w:r>
        <w:rPr>
          <w:rFonts w:ascii="Arial" w:cs="Arial" w:eastAsia="Arial" w:hAnsi="Arial"/>
          <w:color w:val="1A1A2E"/>
          <w:sz w:val="22"/>
          <w:szCs w:val="22"/>
        </w:rPr>
        <w:t xml:space="preserve">Review of relevant documentation, communications, or records</w:t>
      </w:r>
    </w:p>
    <w:p>
      <w:pPr>
        <w:spacing w:after="100" w:before="60"/>
      </w:pPr>
      <w:r>
        <w:rPr>
          <w:rFonts w:ascii="Arial" w:cs="Arial" w:eastAsia="Arial" w:hAnsi="Arial"/>
          <w:color w:val="1A1A2E"/>
          <w:sz w:val="22"/>
          <w:szCs w:val="22"/>
        </w:rPr>
        <w:t xml:space="preserve">The investigating manager will aim to complete the investigation within fifteen (15) working days of the grievance being acknowledged. Where the matter is complex, HR will communicate an updated timeline to the employee.</w:t>
      </w:r>
    </w:p>
    <w:p>
      <w:pPr>
        <w:pStyle w:val="Heading2"/>
        <w:spacing w:after="80" w:before="280"/>
      </w:pPr>
      <w:r>
        <w:rPr>
          <w:rFonts w:ascii="Arial" w:cs="Arial" w:eastAsia="Arial" w:hAnsi="Arial"/>
          <w:b/>
          <w:bCs/>
          <w:color w:val="0D1F35"/>
          <w:sz w:val="26"/>
          <w:szCs w:val="26"/>
        </w:rPr>
        <w:t xml:space="preserve">3.3 Grievance Hearing</w:t>
      </w:r>
    </w:p>
    <w:p>
      <w:pPr>
        <w:spacing w:after="100" w:before="60"/>
      </w:pPr>
      <w:r>
        <w:rPr>
          <w:rFonts w:ascii="Arial" w:cs="Arial" w:eastAsia="Arial" w:hAnsi="Arial"/>
          <w:color w:val="1A1A2E"/>
          <w:sz w:val="22"/>
          <w:szCs w:val="22"/>
        </w:rPr>
        <w:t xml:space="preserve">Following the investigation, HR will invite the employee to a formal grievance hearing to discuss the findings. The employee has the right to be accompanied at this hearing by a colleague of their choice. The companion may provide support but may not speak on behalf of the employee or answer questions directed to them.</w:t>
      </w:r>
    </w:p>
    <w:p>
      <w:pPr>
        <w:pStyle w:val="Heading2"/>
        <w:spacing w:after="80" w:before="280"/>
      </w:pPr>
      <w:r>
        <w:rPr>
          <w:rFonts w:ascii="Arial" w:cs="Arial" w:eastAsia="Arial" w:hAnsi="Arial"/>
          <w:b/>
          <w:bCs/>
          <w:color w:val="0D1F35"/>
          <w:sz w:val="26"/>
          <w:szCs w:val="26"/>
        </w:rPr>
        <w:t xml:space="preserve">3.4 Outcome</w:t>
      </w:r>
    </w:p>
    <w:p>
      <w:pPr>
        <w:spacing w:after="100" w:before="60"/>
      </w:pPr>
      <w:r>
        <w:rPr>
          <w:rFonts w:ascii="Arial" w:cs="Arial" w:eastAsia="Arial" w:hAnsi="Arial"/>
          <w:color w:val="1A1A2E"/>
          <w:sz w:val="22"/>
          <w:szCs w:val="22"/>
        </w:rPr>
        <w:t xml:space="preserve">HR will communicate the outcome of the grievance hearing in writing within five (5) working days of the hearing. The outcome will set out:</w:t>
      </w:r>
    </w:p>
    <w:p>
      <w:pPr>
        <w:pStyle w:val="ListParagraph"/>
        <w:numPr>
          <w:ilvl w:val="0"/>
          <w:numId w:val="2"/>
        </w:numPr>
        <w:spacing w:after="40" w:before="40"/>
      </w:pPr>
      <w:r>
        <w:rPr>
          <w:rFonts w:ascii="Arial" w:cs="Arial" w:eastAsia="Arial" w:hAnsi="Arial"/>
          <w:color w:val="1A1A2E"/>
          <w:sz w:val="22"/>
          <w:szCs w:val="22"/>
        </w:rPr>
        <w:t xml:space="preserve">The findings of the investigation</w:t>
      </w:r>
    </w:p>
    <w:p>
      <w:pPr>
        <w:pStyle w:val="ListParagraph"/>
        <w:numPr>
          <w:ilvl w:val="0"/>
          <w:numId w:val="2"/>
        </w:numPr>
        <w:spacing w:after="40" w:before="40"/>
      </w:pPr>
      <w:r>
        <w:rPr>
          <w:rFonts w:ascii="Arial" w:cs="Arial" w:eastAsia="Arial" w:hAnsi="Arial"/>
          <w:color w:val="1A1A2E"/>
          <w:sz w:val="22"/>
          <w:szCs w:val="22"/>
        </w:rPr>
        <w:t xml:space="preserve">The decision reached</w:t>
      </w:r>
    </w:p>
    <w:p>
      <w:pPr>
        <w:pStyle w:val="ListParagraph"/>
        <w:numPr>
          <w:ilvl w:val="0"/>
          <w:numId w:val="2"/>
        </w:numPr>
        <w:spacing w:after="40" w:before="40"/>
      </w:pPr>
      <w:r>
        <w:rPr>
          <w:rFonts w:ascii="Arial" w:cs="Arial" w:eastAsia="Arial" w:hAnsi="Arial"/>
          <w:color w:val="1A1A2E"/>
          <w:sz w:val="22"/>
          <w:szCs w:val="22"/>
        </w:rPr>
        <w:t xml:space="preserve">Any actions to be taken as a result</w:t>
      </w:r>
    </w:p>
    <w:p>
      <w:pPr>
        <w:pStyle w:val="ListParagraph"/>
        <w:numPr>
          <w:ilvl w:val="0"/>
          <w:numId w:val="2"/>
        </w:numPr>
        <w:spacing w:after="40" w:before="40"/>
      </w:pPr>
      <w:r>
        <w:rPr>
          <w:rFonts w:ascii="Arial" w:cs="Arial" w:eastAsia="Arial" w:hAnsi="Arial"/>
          <w:color w:val="1A1A2E"/>
          <w:sz w:val="22"/>
          <w:szCs w:val="22"/>
        </w:rPr>
        <w:t xml:space="preserve">The employee's right to appeal</w:t>
      </w:r>
    </w:p>
    <w:p>
      <w:pPr>
        <w:pStyle w:val="Heading2"/>
        <w:spacing w:after="80" w:before="280"/>
      </w:pPr>
      <w:r>
        <w:rPr>
          <w:rFonts w:ascii="Arial" w:cs="Arial" w:eastAsia="Arial" w:hAnsi="Arial"/>
          <w:b/>
          <w:bCs/>
          <w:color w:val="0D1F35"/>
          <w:sz w:val="26"/>
          <w:szCs w:val="26"/>
        </w:rPr>
        <w:t xml:space="preserve">3.5 Appeal</w:t>
      </w:r>
    </w:p>
    <w:p>
      <w:pPr>
        <w:spacing w:after="100" w:before="60"/>
      </w:pPr>
      <w:r>
        <w:rPr>
          <w:rFonts w:ascii="Arial" w:cs="Arial" w:eastAsia="Arial" w:hAnsi="Arial"/>
          <w:color w:val="1A1A2E"/>
          <w:sz w:val="22"/>
          <w:szCs w:val="22"/>
        </w:rPr>
        <w:t xml:space="preserve">If the employee is not satisfied with the outcome, they may submit a written appeal to the HR Director within five (5) working days of receiving the outcome letter. The appeal should state the grounds on which the employee is appealing. The appeal will be heard by a senior manager who was not involved in the original investigation. The appeal decision is final.</w:t>
      </w:r>
    </w:p>
    <w:p>
      <w:pPr>
        <w:pBdr>
          <w:left w:val="single" w:color="C2933A" w:sz="12" w:space="8"/>
        </w:pBdr>
        <w:spacing w:after="80" w:before="80"/>
        <w:ind w:left="360"/>
      </w:pPr>
      <w:r>
        <w:rPr>
          <w:rFonts w:ascii="Arial" w:cs="Arial" w:eastAsia="Arial" w:hAnsi="Arial"/>
          <w:i/>
          <w:iCs/>
          <w:color w:val="5A5A5A"/>
          <w:sz w:val="20"/>
          <w:szCs w:val="20"/>
        </w:rPr>
        <w:t xml:space="preserve">All grievance proceedings will be treated with the highest degree of confidentiality. Information will be shared only with those who need to know in order to conduct a fair investigation. Breach of confidentiality by any party during a grievance process is itself a disciplinary matter.</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PART B — DISCIPLINARY PROCEDURE</w:t>
      </w:r>
    </w:p>
    <w:p>
      <w:pPr>
        <w:pStyle w:val="Heading1"/>
        <w:pBdr>
          <w:bottom w:val="single" w:color="C2933A" w:sz="8" w:space="4"/>
        </w:pBdr>
        <w:spacing w:after="120" w:before="360"/>
      </w:pPr>
      <w:r>
        <w:rPr>
          <w:rFonts w:ascii="Arial" w:cs="Arial" w:eastAsia="Arial" w:hAnsi="Arial"/>
          <w:b/>
          <w:bCs/>
          <w:color w:val="0D1F35"/>
          <w:sz w:val="32"/>
          <w:szCs w:val="32"/>
        </w:rPr>
        <w:t xml:space="preserve">4. Disciplinary Framework</w:t>
      </w:r>
    </w:p>
    <w:p>
      <w:pPr>
        <w:pStyle w:val="Heading2"/>
        <w:spacing w:after="80" w:before="280"/>
      </w:pPr>
      <w:r>
        <w:rPr>
          <w:rFonts w:ascii="Arial" w:cs="Arial" w:eastAsia="Arial" w:hAnsi="Arial"/>
          <w:b/>
          <w:bCs/>
          <w:color w:val="0D1F35"/>
          <w:sz w:val="26"/>
          <w:szCs w:val="26"/>
        </w:rPr>
        <w:t xml:space="preserve">4.1 Purpose</w:t>
      </w:r>
    </w:p>
    <w:p>
      <w:pPr>
        <w:spacing w:after="100" w:before="60"/>
      </w:pPr>
      <w:r>
        <w:rPr>
          <w:rFonts w:ascii="Arial" w:cs="Arial" w:eastAsia="Arial" w:hAnsi="Arial"/>
          <w:color w:val="1A1A2E"/>
          <w:sz w:val="22"/>
          <w:szCs w:val="22"/>
        </w:rPr>
        <w:t xml:space="preserve">The disciplinary procedure exists to address concerns about an employee's conduct or performance in a fair, consistent, and transparent manner. The objective is corrective, not punitive — the Company's preference is always to support improvement where possible.</w:t>
      </w:r>
    </w:p>
    <w:p>
      <w:pPr>
        <w:pStyle w:val="Heading2"/>
        <w:spacing w:after="80" w:before="280"/>
      </w:pPr>
      <w:r>
        <w:rPr>
          <w:rFonts w:ascii="Arial" w:cs="Arial" w:eastAsia="Arial" w:hAnsi="Arial"/>
          <w:b/>
          <w:bCs/>
          <w:color w:val="0D1F35"/>
          <w:sz w:val="26"/>
          <w:szCs w:val="26"/>
        </w:rPr>
        <w:t xml:space="preserve">4.2 Disciplinary Stages</w:t>
      </w:r>
    </w:p>
    <w:p>
      <w:pPr>
        <w:spacing w:after="100" w:before="60"/>
      </w:pPr>
      <w:r>
        <w:rPr>
          <w:rFonts w:ascii="Arial" w:cs="Arial" w:eastAsia="Arial" w:hAnsi="Arial"/>
          <w:color w:val="1A1A2E"/>
          <w:sz w:val="22"/>
          <w:szCs w:val="22"/>
        </w:rPr>
        <w:t xml:space="preserve">The standard disciplinary process follows four stages, escalating in seriousness: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960"/>
        <w:gridCol w:w="2600"/>
      </w:tblGrid>
      <w:tr>
        <w:tc>
          <w:tcPr>
            <w:tcW w:type="dxa" w:w="1400"/>
            <w:tcBorders>
              <w:top w:val="single" w:color="CCCCCC" w:sz="1"/>
              <w:left w:val="single" w:color="CCCCCC" w:sz="1"/>
              <w:bottom w:val="single" w:color="CCCCCC" w:sz="1"/>
              <w:right w:val="single" w:color="CCCCCC" w:sz="1"/>
            </w:tcBorders>
            <w:shd w:fill="0D1F35" w:val="clear"/>
            <w:tcMar>
              <w:top w:type="dxa" w:w="80"/>
              <w:left w:type="dxa" w:w="160"/>
              <w:bottom w:type="dxa" w:w="80"/>
              <w:right w:type="dxa" w:w="16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0D1F35" w:val="clear"/>
            <w:tcMar>
              <w:top w:type="dxa" w:w="80"/>
              <w:left w:type="dxa" w:w="160"/>
              <w:bottom w:type="dxa" w:w="80"/>
              <w:right w:type="dxa" w:w="160"/>
            </w:tcMar>
          </w:tcPr>
          <w:p>
            <w:r>
              <w:rPr>
                <w:rFonts w:ascii="Arial" w:cs="Arial" w:eastAsia="Arial" w:hAnsi="Arial"/>
                <w:b/>
                <w:bCs/>
                <w:color w:val="FFFFFF"/>
                <w:sz w:val="20"/>
                <w:szCs w:val="20"/>
              </w:rPr>
              <w:t xml:space="preserve">Sanction</w:t>
            </w:r>
          </w:p>
        </w:tc>
        <w:tc>
          <w:tcPr>
            <w:tcW w:type="dxa" w:w="2960"/>
            <w:tcBorders>
              <w:top w:val="single" w:color="CCCCCC" w:sz="1"/>
              <w:left w:val="single" w:color="CCCCCC" w:sz="1"/>
              <w:bottom w:val="single" w:color="CCCCCC" w:sz="1"/>
              <w:right w:val="single" w:color="CCCCCC" w:sz="1"/>
            </w:tcBorders>
            <w:shd w:fill="0D1F35" w:val="clear"/>
            <w:tcMar>
              <w:top w:type="dxa" w:w="80"/>
              <w:left w:type="dxa" w:w="160"/>
              <w:bottom w:type="dxa" w:w="80"/>
              <w:right w:type="dxa" w:w="160"/>
            </w:tcMar>
          </w:tcPr>
          <w:p>
            <w:r>
              <w:rPr>
                <w:rFonts w:ascii="Arial" w:cs="Arial" w:eastAsia="Arial" w:hAnsi="Arial"/>
                <w:b/>
                <w:bCs/>
                <w:color w:val="FFFFFF"/>
                <w:sz w:val="20"/>
                <w:szCs w:val="20"/>
              </w:rPr>
              <w:t xml:space="preserve">Issued By</w:t>
            </w:r>
          </w:p>
        </w:tc>
        <w:tc>
          <w:tcPr>
            <w:tcW w:type="dxa" w:w="2600"/>
            <w:tcBorders>
              <w:top w:val="single" w:color="CCCCCC" w:sz="1"/>
              <w:left w:val="single" w:color="CCCCCC" w:sz="1"/>
              <w:bottom w:val="single" w:color="CCCCCC" w:sz="1"/>
              <w:right w:val="single" w:color="CCCCCC" w:sz="1"/>
            </w:tcBorders>
            <w:shd w:fill="0D1F35" w:val="clear"/>
            <w:tcMar>
              <w:top w:type="dxa" w:w="80"/>
              <w:left w:type="dxa" w:w="160"/>
              <w:bottom w:type="dxa" w:w="80"/>
              <w:right w:type="dxa" w:w="160"/>
            </w:tcMar>
          </w:tcPr>
          <w:p>
            <w:r>
              <w:rPr>
                <w:rFonts w:ascii="Arial" w:cs="Arial" w:eastAsia="Arial" w:hAnsi="Arial"/>
                <w:b/>
                <w:bCs/>
                <w:color w:val="FFFFFF"/>
                <w:sz w:val="20"/>
                <w:szCs w:val="20"/>
              </w:rPr>
              <w:t xml:space="preserve">Duration on File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Stage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Verbal Warning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Line Manager + HR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6 months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Stage 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Written Warning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Line Manager + HR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12 months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Stage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Final Written Warning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HR Director + Line Manager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12 months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Stage 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Termination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HR Director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Permanent record</w:t>
            </w:r>
          </w:p>
        </w:tc>
      </w:tr>
    </w:tbl>
    <w:p>
      <w:pPr>
        <w:spacing w:after="60" w:before="0"/>
      </w:pPr>
      <w:r>
        <w:t xml:space="preserve"/>
      </w:r>
    </w:p>
    <w:p>
      <w:pPr>
        <w:pBdr>
          <w:left w:val="single" w:color="C2933A" w:sz="12" w:space="8"/>
        </w:pBdr>
        <w:spacing w:after="80" w:before="80"/>
        <w:ind w:left="360"/>
      </w:pPr>
      <w:r>
        <w:rPr>
          <w:rFonts w:ascii="Arial" w:cs="Arial" w:eastAsia="Arial" w:hAnsi="Arial"/>
          <w:i/>
          <w:iCs/>
          <w:color w:val="5A5A5A"/>
          <w:sz w:val="20"/>
          <w:szCs w:val="20"/>
        </w:rPr>
        <w:t xml:space="preserve">The Company reserves the right to enter the disciplinary process at any stage, including proceeding directly to termination, where the severity of the conduct warrants it. Not all misconduct will begin at Stage 1.</w:t>
      </w:r>
    </w:p>
    <w:p>
      <w:pPr>
        <w:pStyle w:val="Heading2"/>
        <w:spacing w:after="80" w:before="280"/>
      </w:pPr>
      <w:r>
        <w:rPr>
          <w:rFonts w:ascii="Arial" w:cs="Arial" w:eastAsia="Arial" w:hAnsi="Arial"/>
          <w:b/>
          <w:bCs/>
          <w:color w:val="0D1F35"/>
          <w:sz w:val="26"/>
          <w:szCs w:val="26"/>
        </w:rPr>
        <w:t xml:space="preserve">4.3 Warnings — Expiry</w:t>
      </w:r>
    </w:p>
    <w:p>
      <w:pPr>
        <w:spacing w:after="100" w:before="60"/>
      </w:pPr>
      <w:r>
        <w:rPr>
          <w:rFonts w:ascii="Arial" w:cs="Arial" w:eastAsia="Arial" w:hAnsi="Arial"/>
          <w:color w:val="1A1A2E"/>
          <w:sz w:val="22"/>
          <w:szCs w:val="22"/>
        </w:rPr>
        <w:t xml:space="preserve">Warnings remain active on the employee's HR file for the duration shown in the table above. Once expired, a warning will not ordinarily be taken into account in future disciplinary proceedings. However, expired warnings may be considered as contextual background in cases of repeated or persistent misconduct.</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5. Types of Misconduct</w:t>
      </w:r>
    </w:p>
    <w:p>
      <w:pPr>
        <w:pStyle w:val="Heading2"/>
        <w:spacing w:after="80" w:before="280"/>
      </w:pPr>
      <w:r>
        <w:rPr>
          <w:rFonts w:ascii="Arial" w:cs="Arial" w:eastAsia="Arial" w:hAnsi="Arial"/>
          <w:b/>
          <w:bCs/>
          <w:color w:val="0D1F35"/>
          <w:sz w:val="26"/>
          <w:szCs w:val="26"/>
        </w:rPr>
        <w:t xml:space="preserve">5.1 General Misconduct</w:t>
      </w:r>
    </w:p>
    <w:p>
      <w:pPr>
        <w:spacing w:after="100" w:before="60"/>
      </w:pPr>
      <w:r>
        <w:rPr>
          <w:rFonts w:ascii="Arial" w:cs="Arial" w:eastAsia="Arial" w:hAnsi="Arial"/>
          <w:color w:val="1A1A2E"/>
          <w:sz w:val="22"/>
          <w:szCs w:val="22"/>
        </w:rPr>
        <w:t xml:space="preserve">General misconduct includes behaviour that falls below the standards expected but does not — in a single instance — warrant immediate termination. Examples include:</w:t>
      </w:r>
    </w:p>
    <w:p>
      <w:pPr>
        <w:pStyle w:val="ListParagraph"/>
        <w:numPr>
          <w:ilvl w:val="0"/>
          <w:numId w:val="2"/>
        </w:numPr>
        <w:spacing w:after="40" w:before="40"/>
      </w:pPr>
      <w:r>
        <w:rPr>
          <w:rFonts w:ascii="Arial" w:cs="Arial" w:eastAsia="Arial" w:hAnsi="Arial"/>
          <w:color w:val="1A1A2E"/>
          <w:sz w:val="22"/>
          <w:szCs w:val="22"/>
        </w:rPr>
        <w:t xml:space="preserve">Persistent lateness or unauthorised absence</w:t>
      </w:r>
    </w:p>
    <w:p>
      <w:pPr>
        <w:pStyle w:val="ListParagraph"/>
        <w:numPr>
          <w:ilvl w:val="0"/>
          <w:numId w:val="2"/>
        </w:numPr>
        <w:spacing w:after="40" w:before="40"/>
      </w:pPr>
      <w:r>
        <w:rPr>
          <w:rFonts w:ascii="Arial" w:cs="Arial" w:eastAsia="Arial" w:hAnsi="Arial"/>
          <w:color w:val="1A1A2E"/>
          <w:sz w:val="22"/>
          <w:szCs w:val="22"/>
        </w:rPr>
        <w:t xml:space="preserve">Failure to follow reasonable management instructions</w:t>
      </w:r>
    </w:p>
    <w:p>
      <w:pPr>
        <w:pStyle w:val="ListParagraph"/>
        <w:numPr>
          <w:ilvl w:val="0"/>
          <w:numId w:val="2"/>
        </w:numPr>
        <w:spacing w:after="40" w:before="40"/>
      </w:pPr>
      <w:r>
        <w:rPr>
          <w:rFonts w:ascii="Arial" w:cs="Arial" w:eastAsia="Arial" w:hAnsi="Arial"/>
          <w:color w:val="1A1A2E"/>
          <w:sz w:val="22"/>
          <w:szCs w:val="22"/>
        </w:rPr>
        <w:t xml:space="preserve">Careless or negligent approach to work resulting in minor errors</w:t>
      </w:r>
    </w:p>
    <w:p>
      <w:pPr>
        <w:pStyle w:val="ListParagraph"/>
        <w:numPr>
          <w:ilvl w:val="0"/>
          <w:numId w:val="2"/>
        </w:numPr>
        <w:spacing w:after="40" w:before="40"/>
      </w:pPr>
      <w:r>
        <w:rPr>
          <w:rFonts w:ascii="Arial" w:cs="Arial" w:eastAsia="Arial" w:hAnsi="Arial"/>
          <w:color w:val="1A1A2E"/>
          <w:sz w:val="22"/>
          <w:szCs w:val="22"/>
        </w:rPr>
        <w:t xml:space="preserve">Minor breaches of company policy</w:t>
      </w:r>
    </w:p>
    <w:p>
      <w:pPr>
        <w:pStyle w:val="ListParagraph"/>
        <w:numPr>
          <w:ilvl w:val="0"/>
          <w:numId w:val="2"/>
        </w:numPr>
        <w:spacing w:after="40" w:before="40"/>
      </w:pPr>
      <w:r>
        <w:rPr>
          <w:rFonts w:ascii="Arial" w:cs="Arial" w:eastAsia="Arial" w:hAnsi="Arial"/>
          <w:color w:val="1A1A2E"/>
          <w:sz w:val="22"/>
          <w:szCs w:val="22"/>
        </w:rPr>
        <w:t xml:space="preserve">Inappropriate conduct toward colleagues that does not rise to the level of harassment</w:t>
      </w:r>
    </w:p>
    <w:p>
      <w:pPr>
        <w:pStyle w:val="ListParagraph"/>
        <w:numPr>
          <w:ilvl w:val="0"/>
          <w:numId w:val="2"/>
        </w:numPr>
        <w:spacing w:after="40" w:before="40"/>
      </w:pPr>
      <w:r>
        <w:rPr>
          <w:rFonts w:ascii="Arial" w:cs="Arial" w:eastAsia="Arial" w:hAnsi="Arial"/>
          <w:color w:val="1A1A2E"/>
          <w:sz w:val="22"/>
          <w:szCs w:val="22"/>
        </w:rPr>
        <w:t xml:space="preserve">Misuse of company resources for personal purposes</w:t>
      </w:r>
    </w:p>
    <w:p>
      <w:pPr>
        <w:spacing w:after="100" w:before="60"/>
      </w:pPr>
      <w:r>
        <w:rPr>
          <w:rFonts w:ascii="Arial" w:cs="Arial" w:eastAsia="Arial" w:hAnsi="Arial"/>
          <w:color w:val="1A1A2E"/>
          <w:sz w:val="22"/>
          <w:szCs w:val="22"/>
        </w:rPr>
        <w:t xml:space="preserve">General misconduct will ordinarily be managed through Stages 1 to 3 of the disciplinary procedure, with the stage determined by the severity and frequency of the behaviour.</w:t>
      </w:r>
    </w:p>
    <w:p>
      <w:pPr>
        <w:pStyle w:val="Heading2"/>
        <w:spacing w:after="80" w:before="280"/>
      </w:pPr>
      <w:r>
        <w:rPr>
          <w:rFonts w:ascii="Arial" w:cs="Arial" w:eastAsia="Arial" w:hAnsi="Arial"/>
          <w:b/>
          <w:bCs/>
          <w:color w:val="0D1F35"/>
          <w:sz w:val="26"/>
          <w:szCs w:val="26"/>
        </w:rPr>
        <w:t xml:space="preserve">5.2 Serious Misconduct</w:t>
      </w:r>
    </w:p>
    <w:p>
      <w:pPr>
        <w:spacing w:after="100" w:before="60"/>
      </w:pPr>
      <w:r>
        <w:rPr>
          <w:rFonts w:ascii="Arial" w:cs="Arial" w:eastAsia="Arial" w:hAnsi="Arial"/>
          <w:color w:val="1A1A2E"/>
          <w:sz w:val="22"/>
          <w:szCs w:val="22"/>
        </w:rPr>
        <w:t xml:space="preserve">Serious misconduct is behaviour that is significantly harmful to colleagues, clients, or the Company, and which may warrant entry into the disciplinary process at Stage 2 or Stage 3. Examples include:</w:t>
      </w:r>
    </w:p>
    <w:p>
      <w:pPr>
        <w:pStyle w:val="ListParagraph"/>
        <w:numPr>
          <w:ilvl w:val="0"/>
          <w:numId w:val="2"/>
        </w:numPr>
        <w:spacing w:after="40" w:before="40"/>
      </w:pPr>
      <w:r>
        <w:rPr>
          <w:rFonts w:ascii="Arial" w:cs="Arial" w:eastAsia="Arial" w:hAnsi="Arial"/>
          <w:color w:val="1A1A2E"/>
          <w:sz w:val="22"/>
          <w:szCs w:val="22"/>
        </w:rPr>
        <w:t xml:space="preserve">Deliberate failure to follow safety or compliance procedures</w:t>
      </w:r>
    </w:p>
    <w:p>
      <w:pPr>
        <w:pStyle w:val="ListParagraph"/>
        <w:numPr>
          <w:ilvl w:val="0"/>
          <w:numId w:val="2"/>
        </w:numPr>
        <w:spacing w:after="40" w:before="40"/>
      </w:pPr>
      <w:r>
        <w:rPr>
          <w:rFonts w:ascii="Arial" w:cs="Arial" w:eastAsia="Arial" w:hAnsi="Arial"/>
          <w:color w:val="1A1A2E"/>
          <w:sz w:val="22"/>
          <w:szCs w:val="22"/>
        </w:rPr>
        <w:t xml:space="preserve">Harassment or bullying of a colleague</w:t>
      </w:r>
    </w:p>
    <w:p>
      <w:pPr>
        <w:pStyle w:val="ListParagraph"/>
        <w:numPr>
          <w:ilvl w:val="0"/>
          <w:numId w:val="2"/>
        </w:numPr>
        <w:spacing w:after="40" w:before="40"/>
      </w:pPr>
      <w:r>
        <w:rPr>
          <w:rFonts w:ascii="Arial" w:cs="Arial" w:eastAsia="Arial" w:hAnsi="Arial"/>
          <w:color w:val="1A1A2E"/>
          <w:sz w:val="22"/>
          <w:szCs w:val="22"/>
        </w:rPr>
        <w:t xml:space="preserve">Significant misuse of company IT systems or data</w:t>
      </w:r>
    </w:p>
    <w:p>
      <w:pPr>
        <w:pStyle w:val="ListParagraph"/>
        <w:numPr>
          <w:ilvl w:val="0"/>
          <w:numId w:val="2"/>
        </w:numPr>
        <w:spacing w:after="40" w:before="40"/>
      </w:pPr>
      <w:r>
        <w:rPr>
          <w:rFonts w:ascii="Arial" w:cs="Arial" w:eastAsia="Arial" w:hAnsi="Arial"/>
          <w:color w:val="1A1A2E"/>
          <w:sz w:val="22"/>
          <w:szCs w:val="22"/>
        </w:rPr>
        <w:t xml:space="preserve">Providing false information to the Company or a client</w:t>
      </w:r>
    </w:p>
    <w:p>
      <w:pPr>
        <w:pStyle w:val="ListParagraph"/>
        <w:numPr>
          <w:ilvl w:val="0"/>
          <w:numId w:val="2"/>
        </w:numPr>
        <w:spacing w:after="40" w:before="40"/>
      </w:pPr>
      <w:r>
        <w:rPr>
          <w:rFonts w:ascii="Arial" w:cs="Arial" w:eastAsia="Arial" w:hAnsi="Arial"/>
          <w:color w:val="1A1A2E"/>
          <w:sz w:val="22"/>
          <w:szCs w:val="22"/>
        </w:rPr>
        <w:t xml:space="preserve">Sustained unauthorised absence without explanation</w:t>
      </w:r>
    </w:p>
    <w:p>
      <w:pPr>
        <w:pStyle w:val="ListParagraph"/>
        <w:numPr>
          <w:ilvl w:val="0"/>
          <w:numId w:val="2"/>
        </w:numPr>
        <w:spacing w:after="40" w:before="40"/>
      </w:pPr>
      <w:r>
        <w:rPr>
          <w:rFonts w:ascii="Arial" w:cs="Arial" w:eastAsia="Arial" w:hAnsi="Arial"/>
          <w:color w:val="1A1A2E"/>
          <w:sz w:val="22"/>
          <w:szCs w:val="22"/>
        </w:rPr>
        <w:t xml:space="preserve">Breach of confidentiality causing harm to a colleague or the Company</w:t>
      </w:r>
    </w:p>
    <w:p>
      <w:pPr>
        <w:pStyle w:val="Heading2"/>
        <w:spacing w:after="80" w:before="280"/>
      </w:pPr>
      <w:r>
        <w:rPr>
          <w:rFonts w:ascii="Arial" w:cs="Arial" w:eastAsia="Arial" w:hAnsi="Arial"/>
          <w:b/>
          <w:bCs/>
          <w:color w:val="0D1F35"/>
          <w:sz w:val="26"/>
          <w:szCs w:val="26"/>
        </w:rPr>
        <w:t xml:space="preserve">5.3 Gross Misconduct</w:t>
      </w:r>
    </w:p>
    <w:p>
      <w:pPr>
        <w:spacing w:after="100" w:before="60"/>
      </w:pPr>
      <w:r>
        <w:rPr>
          <w:rFonts w:ascii="Arial" w:cs="Arial" w:eastAsia="Arial" w:hAnsi="Arial"/>
          <w:color w:val="1A1A2E"/>
          <w:sz w:val="22"/>
          <w:szCs w:val="22"/>
        </w:rPr>
        <w:t xml:space="preserve">Gross misconduct is behaviour so serious that it fundamentally undermines the employment relationship and may result in immediate termination without notice, subject to a fair investigation and hearing. Examples include:</w:t>
      </w:r>
    </w:p>
    <w:p>
      <w:pPr>
        <w:pStyle w:val="ListParagraph"/>
        <w:numPr>
          <w:ilvl w:val="0"/>
          <w:numId w:val="2"/>
        </w:numPr>
        <w:spacing w:after="40" w:before="40"/>
      </w:pPr>
      <w:r>
        <w:rPr>
          <w:rFonts w:ascii="Arial" w:cs="Arial" w:eastAsia="Arial" w:hAnsi="Arial"/>
          <w:color w:val="1A1A2E"/>
          <w:sz w:val="22"/>
          <w:szCs w:val="22"/>
        </w:rPr>
        <w:t xml:space="preserve">Theft, fraud, or deliberate falsification of Company or client records</w:t>
      </w:r>
    </w:p>
    <w:p>
      <w:pPr>
        <w:pStyle w:val="ListParagraph"/>
        <w:numPr>
          <w:ilvl w:val="0"/>
          <w:numId w:val="2"/>
        </w:numPr>
        <w:spacing w:after="40" w:before="40"/>
      </w:pPr>
      <w:r>
        <w:rPr>
          <w:rFonts w:ascii="Arial" w:cs="Arial" w:eastAsia="Arial" w:hAnsi="Arial"/>
          <w:color w:val="1A1A2E"/>
          <w:sz w:val="22"/>
          <w:szCs w:val="22"/>
        </w:rPr>
        <w:t xml:space="preserve">Breach of client data confidentiality — including unauthorised access, sharing, or misuse of client workforce data</w:t>
      </w:r>
    </w:p>
    <w:p>
      <w:pPr>
        <w:pStyle w:val="ListParagraph"/>
        <w:numPr>
          <w:ilvl w:val="0"/>
          <w:numId w:val="2"/>
        </w:numPr>
        <w:spacing w:after="40" w:before="40"/>
      </w:pPr>
      <w:r>
        <w:rPr>
          <w:rFonts w:ascii="Arial" w:cs="Arial" w:eastAsia="Arial" w:hAnsi="Arial"/>
          <w:color w:val="1A1A2E"/>
          <w:sz w:val="22"/>
          <w:szCs w:val="22"/>
        </w:rPr>
        <w:t xml:space="preserve">Physical violence or threats of violence in the workplace</w:t>
      </w:r>
    </w:p>
    <w:p>
      <w:pPr>
        <w:pStyle w:val="ListParagraph"/>
        <w:numPr>
          <w:ilvl w:val="0"/>
          <w:numId w:val="2"/>
        </w:numPr>
        <w:spacing w:after="40" w:before="40"/>
      </w:pPr>
      <w:r>
        <w:rPr>
          <w:rFonts w:ascii="Arial" w:cs="Arial" w:eastAsia="Arial" w:hAnsi="Arial"/>
          <w:color w:val="1A1A2E"/>
          <w:sz w:val="22"/>
          <w:szCs w:val="22"/>
        </w:rPr>
        <w:t xml:space="preserve">Serious harassment, discrimination, or sexual misconduct</w:t>
      </w:r>
    </w:p>
    <w:p>
      <w:pPr>
        <w:pStyle w:val="ListParagraph"/>
        <w:numPr>
          <w:ilvl w:val="0"/>
          <w:numId w:val="2"/>
        </w:numPr>
        <w:spacing w:after="40" w:before="40"/>
      </w:pPr>
      <w:r>
        <w:rPr>
          <w:rFonts w:ascii="Arial" w:cs="Arial" w:eastAsia="Arial" w:hAnsi="Arial"/>
          <w:color w:val="1A1A2E"/>
          <w:sz w:val="22"/>
          <w:szCs w:val="22"/>
        </w:rPr>
        <w:t xml:space="preserve">Being under the influence of alcohol or illegal substances in the workplace or while representing the Company</w:t>
      </w:r>
    </w:p>
    <w:p>
      <w:pPr>
        <w:pStyle w:val="ListParagraph"/>
        <w:numPr>
          <w:ilvl w:val="0"/>
          <w:numId w:val="2"/>
        </w:numPr>
        <w:spacing w:after="40" w:before="40"/>
      </w:pPr>
      <w:r>
        <w:rPr>
          <w:rFonts w:ascii="Arial" w:cs="Arial" w:eastAsia="Arial" w:hAnsi="Arial"/>
          <w:color w:val="1A1A2E"/>
          <w:sz w:val="22"/>
          <w:szCs w:val="22"/>
        </w:rPr>
        <w:t xml:space="preserve">Deliberate sabotage of Company systems, data, or client relationships</w:t>
      </w:r>
    </w:p>
    <w:p>
      <w:pPr>
        <w:pStyle w:val="ListParagraph"/>
        <w:numPr>
          <w:ilvl w:val="0"/>
          <w:numId w:val="2"/>
        </w:numPr>
        <w:spacing w:after="40" w:before="40"/>
      </w:pPr>
      <w:r>
        <w:rPr>
          <w:rFonts w:ascii="Arial" w:cs="Arial" w:eastAsia="Arial" w:hAnsi="Arial"/>
          <w:color w:val="1A1A2E"/>
          <w:sz w:val="22"/>
          <w:szCs w:val="22"/>
        </w:rPr>
        <w:t xml:space="preserve">Serious breach of UAE law in connection with employment</w:t>
      </w:r>
    </w:p>
    <w:p>
      <w:pPr>
        <w:pStyle w:val="ListParagraph"/>
        <w:numPr>
          <w:ilvl w:val="0"/>
          <w:numId w:val="2"/>
        </w:numPr>
        <w:spacing w:after="40" w:before="40"/>
      </w:pPr>
      <w:r>
        <w:rPr>
          <w:rFonts w:ascii="Arial" w:cs="Arial" w:eastAsia="Arial" w:hAnsi="Arial"/>
          <w:color w:val="1A1A2E"/>
          <w:sz w:val="22"/>
          <w:szCs w:val="22"/>
        </w:rPr>
        <w:t xml:space="preserve">Acceptance of bribes or engaging in corrupt conduct</w:t>
      </w:r>
    </w:p>
    <w:p>
      <w:pPr>
        <w:pBdr>
          <w:left w:val="single" w:color="C2933A" w:sz="12" w:space="8"/>
        </w:pBdr>
        <w:spacing w:after="80" w:before="80"/>
        <w:ind w:left="360"/>
      </w:pPr>
      <w:r>
        <w:rPr>
          <w:rFonts w:ascii="Arial" w:cs="Arial" w:eastAsia="Arial" w:hAnsi="Arial"/>
          <w:i/>
          <w:iCs/>
          <w:color w:val="5A5A5A"/>
          <w:sz w:val="20"/>
          <w:szCs w:val="20"/>
        </w:rPr>
        <w:t xml:space="preserve">The examples listed above are illustrative and not exhaustive. HR will assess each situation on its own facts and apply its judgement as to the appropriate classification and response.</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6. Disciplinary Investigation Process</w:t>
      </w:r>
    </w:p>
    <w:p>
      <w:pPr>
        <w:pStyle w:val="Heading2"/>
        <w:spacing w:after="80" w:before="280"/>
      </w:pPr>
      <w:r>
        <w:rPr>
          <w:rFonts w:ascii="Arial" w:cs="Arial" w:eastAsia="Arial" w:hAnsi="Arial"/>
          <w:b/>
          <w:bCs/>
          <w:color w:val="0D1F35"/>
          <w:sz w:val="26"/>
          <w:szCs w:val="26"/>
        </w:rPr>
        <w:t xml:space="preserve">6.1 Initiating the Process</w:t>
      </w:r>
    </w:p>
    <w:p>
      <w:pPr>
        <w:spacing w:after="100" w:before="60"/>
      </w:pPr>
      <w:r>
        <w:rPr>
          <w:rFonts w:ascii="Arial" w:cs="Arial" w:eastAsia="Arial" w:hAnsi="Arial"/>
          <w:color w:val="1A1A2E"/>
          <w:sz w:val="22"/>
          <w:szCs w:val="22"/>
        </w:rPr>
        <w:t xml:space="preserve">Where a potential conduct or performance issue is identified, the line manager will notify HR. HR will determine whether the matter warrants a formal disciplinary investigation and, if so, appoint an investigating manager.</w:t>
      </w:r>
    </w:p>
    <w:p>
      <w:pPr>
        <w:pStyle w:val="Heading2"/>
        <w:spacing w:after="80" w:before="280"/>
      </w:pPr>
      <w:r>
        <w:rPr>
          <w:rFonts w:ascii="Arial" w:cs="Arial" w:eastAsia="Arial" w:hAnsi="Arial"/>
          <w:b/>
          <w:bCs/>
          <w:color w:val="0D1F35"/>
          <w:sz w:val="26"/>
          <w:szCs w:val="26"/>
        </w:rPr>
        <w:t xml:space="preserve">6.2 Suspension</w:t>
      </w:r>
    </w:p>
    <w:p>
      <w:pPr>
        <w:spacing w:after="100" w:before="60"/>
      </w:pPr>
      <w:r>
        <w:rPr>
          <w:rFonts w:ascii="Arial" w:cs="Arial" w:eastAsia="Arial" w:hAnsi="Arial"/>
          <w:color w:val="1A1A2E"/>
          <w:sz w:val="22"/>
          <w:szCs w:val="22"/>
        </w:rPr>
        <w:t xml:space="preserve">In cases of alleged gross misconduct, or where the presence of the employee in the workplace could compromise the investigation, the Company may suspend the employee on full pay while the investigation is conducted. Suspension is a neutral act and does not imply guilt. The employee will be notified of the suspension in writing.</w:t>
      </w:r>
    </w:p>
    <w:p>
      <w:pPr>
        <w:pStyle w:val="Heading2"/>
        <w:spacing w:after="80" w:before="280"/>
      </w:pPr>
      <w:r>
        <w:rPr>
          <w:rFonts w:ascii="Arial" w:cs="Arial" w:eastAsia="Arial" w:hAnsi="Arial"/>
          <w:b/>
          <w:bCs/>
          <w:color w:val="0D1F35"/>
          <w:sz w:val="26"/>
          <w:szCs w:val="26"/>
        </w:rPr>
        <w:t xml:space="preserve">6.3 Investigation</w:t>
      </w:r>
    </w:p>
    <w:p>
      <w:pPr>
        <w:spacing w:after="100" w:before="60"/>
      </w:pPr>
      <w:r>
        <w:rPr>
          <w:rFonts w:ascii="Arial" w:cs="Arial" w:eastAsia="Arial" w:hAnsi="Arial"/>
          <w:color w:val="1A1A2E"/>
          <w:sz w:val="22"/>
          <w:szCs w:val="22"/>
        </w:rPr>
        <w:t xml:space="preserve">The investigating manager will conduct a fair and thorough investigation, which may include interviews with relevant parties and a review of relevant documentation. The employee under investigation will be given the opportunity to respond to the allegations before any disciplinary decision is made.</w:t>
      </w:r>
    </w:p>
    <w:p>
      <w:pPr>
        <w:pStyle w:val="Heading2"/>
        <w:spacing w:after="80" w:before="280"/>
      </w:pPr>
      <w:r>
        <w:rPr>
          <w:rFonts w:ascii="Arial" w:cs="Arial" w:eastAsia="Arial" w:hAnsi="Arial"/>
          <w:b/>
          <w:bCs/>
          <w:color w:val="0D1F35"/>
          <w:sz w:val="26"/>
          <w:szCs w:val="26"/>
        </w:rPr>
        <w:t xml:space="preserve">6.4 Disciplinary Hearing</w:t>
      </w:r>
    </w:p>
    <w:p>
      <w:pPr>
        <w:spacing w:after="100" w:before="60"/>
      </w:pPr>
      <w:r>
        <w:rPr>
          <w:rFonts w:ascii="Arial" w:cs="Arial" w:eastAsia="Arial" w:hAnsi="Arial"/>
          <w:color w:val="1A1A2E"/>
          <w:sz w:val="22"/>
          <w:szCs w:val="22"/>
        </w:rPr>
        <w:t xml:space="preserve">Following the investigation, HR will invite the employee to a formal disciplinary hearing. The employee will be given at least forty-eight (48) hours notice of the hearing and will be provided with a summary of the allegations and the evidence gathered. The employee has the right to be accompanied at the hearing by a colleague of their choice.</w:t>
      </w:r>
    </w:p>
    <w:p>
      <w:pPr>
        <w:spacing w:after="100" w:before="60"/>
      </w:pPr>
      <w:r>
        <w:rPr>
          <w:rFonts w:ascii="Arial" w:cs="Arial" w:eastAsia="Arial" w:hAnsi="Arial"/>
          <w:color w:val="1A1A2E"/>
          <w:sz w:val="22"/>
          <w:szCs w:val="22"/>
        </w:rPr>
        <w:t xml:space="preserve">At the hearing, the investigating manager will present the findings. The employee will have the opportunity to respond, provide their account, and present any mitigating circumstances.</w:t>
      </w:r>
    </w:p>
    <w:p>
      <w:pPr>
        <w:pStyle w:val="Heading2"/>
        <w:spacing w:after="80" w:before="280"/>
      </w:pPr>
      <w:r>
        <w:rPr>
          <w:rFonts w:ascii="Arial" w:cs="Arial" w:eastAsia="Arial" w:hAnsi="Arial"/>
          <w:b/>
          <w:bCs/>
          <w:color w:val="0D1F35"/>
          <w:sz w:val="26"/>
          <w:szCs w:val="26"/>
        </w:rPr>
        <w:t xml:space="preserve">6.5 Decision and Outcome</w:t>
      </w:r>
    </w:p>
    <w:p>
      <w:pPr>
        <w:spacing w:after="100" w:before="60"/>
      </w:pPr>
      <w:r>
        <w:rPr>
          <w:rFonts w:ascii="Arial" w:cs="Arial" w:eastAsia="Arial" w:hAnsi="Arial"/>
          <w:color w:val="1A1A2E"/>
          <w:sz w:val="22"/>
          <w:szCs w:val="22"/>
        </w:rPr>
        <w:t xml:space="preserve">Following the hearing, HR will communicate the outcome to the employee in writing within five (5) working days. The outcome letter will set out:</w:t>
      </w:r>
    </w:p>
    <w:p>
      <w:pPr>
        <w:pStyle w:val="ListParagraph"/>
        <w:numPr>
          <w:ilvl w:val="0"/>
          <w:numId w:val="2"/>
        </w:numPr>
        <w:spacing w:after="40" w:before="40"/>
      </w:pPr>
      <w:r>
        <w:rPr>
          <w:rFonts w:ascii="Arial" w:cs="Arial" w:eastAsia="Arial" w:hAnsi="Arial"/>
          <w:color w:val="1A1A2E"/>
          <w:sz w:val="22"/>
          <w:szCs w:val="22"/>
        </w:rPr>
        <w:t xml:space="preserve">The findings of the investigation</w:t>
      </w:r>
    </w:p>
    <w:p>
      <w:pPr>
        <w:pStyle w:val="ListParagraph"/>
        <w:numPr>
          <w:ilvl w:val="0"/>
          <w:numId w:val="2"/>
        </w:numPr>
        <w:spacing w:after="40" w:before="40"/>
      </w:pPr>
      <w:r>
        <w:rPr>
          <w:rFonts w:ascii="Arial" w:cs="Arial" w:eastAsia="Arial" w:hAnsi="Arial"/>
          <w:color w:val="1A1A2E"/>
          <w:sz w:val="22"/>
          <w:szCs w:val="22"/>
        </w:rPr>
        <w:t xml:space="preserve">The disciplinary sanction applied, if any</w:t>
      </w:r>
    </w:p>
    <w:p>
      <w:pPr>
        <w:pStyle w:val="ListParagraph"/>
        <w:numPr>
          <w:ilvl w:val="0"/>
          <w:numId w:val="2"/>
        </w:numPr>
        <w:spacing w:after="40" w:before="40"/>
      </w:pPr>
      <w:r>
        <w:rPr>
          <w:rFonts w:ascii="Arial" w:cs="Arial" w:eastAsia="Arial" w:hAnsi="Arial"/>
          <w:color w:val="1A1A2E"/>
          <w:sz w:val="22"/>
          <w:szCs w:val="22"/>
        </w:rPr>
        <w:t xml:space="preserve">The rationale for the decision</w:t>
      </w:r>
    </w:p>
    <w:p>
      <w:pPr>
        <w:pStyle w:val="ListParagraph"/>
        <w:numPr>
          <w:ilvl w:val="0"/>
          <w:numId w:val="2"/>
        </w:numPr>
        <w:spacing w:after="40" w:before="40"/>
      </w:pPr>
      <w:r>
        <w:rPr>
          <w:rFonts w:ascii="Arial" w:cs="Arial" w:eastAsia="Arial" w:hAnsi="Arial"/>
          <w:color w:val="1A1A2E"/>
          <w:sz w:val="22"/>
          <w:szCs w:val="22"/>
        </w:rPr>
        <w:t xml:space="preserve">Any improvement expectations and review timescales where applicable</w:t>
      </w:r>
    </w:p>
    <w:p>
      <w:pPr>
        <w:pStyle w:val="ListParagraph"/>
        <w:numPr>
          <w:ilvl w:val="0"/>
          <w:numId w:val="2"/>
        </w:numPr>
        <w:spacing w:after="40" w:before="40"/>
      </w:pPr>
      <w:r>
        <w:rPr>
          <w:rFonts w:ascii="Arial" w:cs="Arial" w:eastAsia="Arial" w:hAnsi="Arial"/>
          <w:color w:val="1A1A2E"/>
          <w:sz w:val="22"/>
          <w:szCs w:val="22"/>
        </w:rPr>
        <w:t xml:space="preserve">The employee's right to appeal</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7. Performance Improvement</w:t>
      </w:r>
    </w:p>
    <w:p>
      <w:pPr>
        <w:pStyle w:val="Heading2"/>
        <w:spacing w:after="80" w:before="280"/>
      </w:pPr>
      <w:r>
        <w:rPr>
          <w:rFonts w:ascii="Arial" w:cs="Arial" w:eastAsia="Arial" w:hAnsi="Arial"/>
          <w:b/>
          <w:bCs/>
          <w:color w:val="0D1F35"/>
          <w:sz w:val="26"/>
          <w:szCs w:val="26"/>
        </w:rPr>
        <w:t xml:space="preserve">7.1 Performance Improvement Plan (PIP)</w:t>
      </w:r>
    </w:p>
    <w:p>
      <w:pPr>
        <w:spacing w:after="100" w:before="60"/>
      </w:pPr>
      <w:r>
        <w:rPr>
          <w:rFonts w:ascii="Arial" w:cs="Arial" w:eastAsia="Arial" w:hAnsi="Arial"/>
          <w:color w:val="1A1A2E"/>
          <w:sz w:val="22"/>
          <w:szCs w:val="22"/>
        </w:rPr>
        <w:t xml:space="preserve">Where an employee's performance falls consistently below the required standard — rather than an isolated incident — the Company will initiate a Performance Improvement Plan (PIP) before entering the formal disciplinary process. A PIP is a structured support and accountability framework, not a disciplinary sanction.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Duration</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Typically 60 to 90 days, determined by HR and the line manager based on the nature of the performance concern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Contents</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Specific, measurable performance expectations — support and resources to be provided — review milestones — consequence of not meeting expectations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Review meetings</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Fortnightly check-ins between the employee and line manager, with HR involvement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Outcome</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Successful completion: PIP closed, employee returns to standard performance management. Unsuccessful: formal disciplinary process may be initiated.</w:t>
            </w:r>
          </w:p>
        </w:tc>
      </w:tr>
    </w:tbl>
    <w:p>
      <w:pPr>
        <w:pBdr>
          <w:left w:val="single" w:color="C2933A" w:sz="12" w:space="8"/>
        </w:pBdr>
        <w:spacing w:after="80" w:before="80"/>
        <w:ind w:left="360"/>
      </w:pPr>
      <w:r>
        <w:rPr>
          <w:rFonts w:ascii="Arial" w:cs="Arial" w:eastAsia="Arial" w:hAnsi="Arial"/>
          <w:i/>
          <w:iCs/>
          <w:color w:val="5A5A5A"/>
          <w:sz w:val="20"/>
          <w:szCs w:val="20"/>
        </w:rPr>
        <w:t xml:space="preserve">An active PIP will be noted on the employee's HR file. Employees on an active PIP are not eligible for salary increases or promotions during the PIP period.</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8. Termination of Employment</w:t>
      </w:r>
    </w:p>
    <w:p>
      <w:pPr>
        <w:pStyle w:val="Heading2"/>
        <w:spacing w:after="80" w:before="280"/>
      </w:pPr>
      <w:r>
        <w:rPr>
          <w:rFonts w:ascii="Arial" w:cs="Arial" w:eastAsia="Arial" w:hAnsi="Arial"/>
          <w:b/>
          <w:bCs/>
          <w:color w:val="0D1F35"/>
          <w:sz w:val="26"/>
          <w:szCs w:val="26"/>
        </w:rPr>
        <w:t xml:space="preserve">8.1 Termination by the Company — With Notice</w:t>
      </w:r>
    </w:p>
    <w:p>
      <w:pPr>
        <w:spacing w:after="100" w:before="60"/>
      </w:pPr>
      <w:r>
        <w:rPr>
          <w:rFonts w:ascii="Arial" w:cs="Arial" w:eastAsia="Arial" w:hAnsi="Arial"/>
          <w:color w:val="1A1A2E"/>
          <w:sz w:val="22"/>
          <w:szCs w:val="22"/>
        </w:rPr>
        <w:t xml:space="preserve">The Company may terminate an employee's employment by providing notice in accordance with the employee's band and the Novaris Solutions HR Handbook:</w:t>
      </w:r>
    </w:p>
    <w:p>
      <w:pPr>
        <w:pStyle w:val="ListParagraph"/>
        <w:numPr>
          <w:ilvl w:val="0"/>
          <w:numId w:val="2"/>
        </w:numPr>
        <w:spacing w:after="40" w:before="40"/>
      </w:pPr>
      <w:r>
        <w:rPr>
          <w:rFonts w:ascii="Arial" w:cs="Arial" w:eastAsia="Arial" w:hAnsi="Arial"/>
          <w:color w:val="1A1A2E"/>
          <w:sz w:val="22"/>
          <w:szCs w:val="22"/>
        </w:rPr>
        <w:t xml:space="preserve">Band 1 and Band 2 (Analyst to Senior Consultant): one (1) month written notice</w:t>
      </w:r>
    </w:p>
    <w:p>
      <w:pPr>
        <w:pStyle w:val="ListParagraph"/>
        <w:numPr>
          <w:ilvl w:val="0"/>
          <w:numId w:val="2"/>
        </w:numPr>
        <w:spacing w:after="40" w:before="40"/>
      </w:pPr>
      <w:r>
        <w:rPr>
          <w:rFonts w:ascii="Arial" w:cs="Arial" w:eastAsia="Arial" w:hAnsi="Arial"/>
          <w:color w:val="1A1A2E"/>
          <w:sz w:val="22"/>
          <w:szCs w:val="22"/>
        </w:rPr>
        <w:t xml:space="preserve">Band 3 and Band 4 (Manager to Director and above): three (3) months written notice</w:t>
      </w:r>
    </w:p>
    <w:p>
      <w:pPr>
        <w:spacing w:after="100" w:before="60"/>
      </w:pPr>
      <w:r>
        <w:rPr>
          <w:rFonts w:ascii="Arial" w:cs="Arial" w:eastAsia="Arial" w:hAnsi="Arial"/>
          <w:color w:val="1A1A2E"/>
          <w:sz w:val="22"/>
          <w:szCs w:val="22"/>
        </w:rPr>
        <w:t xml:space="preserve">The Company may, at its discretion, make a payment in lieu of notice (PILON) rather than requiring the employee to work out the notice period. The decision to offer PILON rests entirely with the Company.</w:t>
      </w:r>
    </w:p>
    <w:p>
      <w:pPr>
        <w:pStyle w:val="Heading2"/>
        <w:spacing w:after="80" w:before="280"/>
      </w:pPr>
      <w:r>
        <w:rPr>
          <w:rFonts w:ascii="Arial" w:cs="Arial" w:eastAsia="Arial" w:hAnsi="Arial"/>
          <w:b/>
          <w:bCs/>
          <w:color w:val="0D1F35"/>
          <w:sz w:val="26"/>
          <w:szCs w:val="26"/>
        </w:rPr>
        <w:t xml:space="preserve">8.2 Termination by the Company — Without Notice</w:t>
      </w:r>
    </w:p>
    <w:p>
      <w:pPr>
        <w:spacing w:after="100" w:before="60"/>
      </w:pPr>
      <w:r>
        <w:rPr>
          <w:rFonts w:ascii="Arial" w:cs="Arial" w:eastAsia="Arial" w:hAnsi="Arial"/>
          <w:color w:val="1A1A2E"/>
          <w:sz w:val="22"/>
          <w:szCs w:val="22"/>
        </w:rPr>
        <w:t xml:space="preserve">In cases of gross misconduct confirmed following a fair investigation and hearing, the Company may terminate employment without notice or payment in lieu of notice. This is in accordance with Article 44 of UAE Federal Decree-Law No. 33 of 2021, which sets out the specific grounds under which an employer may dismiss an employee without notice.</w:t>
      </w:r>
    </w:p>
    <w:p>
      <w:pPr>
        <w:pBdr>
          <w:left w:val="single" w:color="C2933A" w:sz="12" w:space="8"/>
        </w:pBdr>
        <w:spacing w:after="80" w:before="80"/>
        <w:ind w:left="360"/>
      </w:pPr>
      <w:r>
        <w:rPr>
          <w:rFonts w:ascii="Arial" w:cs="Arial" w:eastAsia="Arial" w:hAnsi="Arial"/>
          <w:i/>
          <w:iCs/>
          <w:color w:val="5A5A5A"/>
          <w:sz w:val="20"/>
          <w:szCs w:val="20"/>
        </w:rPr>
        <w:t xml:space="preserve">Even in cases of gross misconduct, the Company will conduct a fair investigation and provide the employee with the opportunity to respond before a termination decision is made. Summary dismissal without any process is not Novaris Solutions practice.</w:t>
      </w:r>
    </w:p>
    <w:p>
      <w:pPr>
        <w:pStyle w:val="Heading2"/>
        <w:spacing w:after="80" w:before="280"/>
      </w:pPr>
      <w:r>
        <w:rPr>
          <w:rFonts w:ascii="Arial" w:cs="Arial" w:eastAsia="Arial" w:hAnsi="Arial"/>
          <w:b/>
          <w:bCs/>
          <w:color w:val="0D1F35"/>
          <w:sz w:val="26"/>
          <w:szCs w:val="26"/>
        </w:rPr>
        <w:t xml:space="preserve">8.3 Resignation</w:t>
      </w:r>
    </w:p>
    <w:p>
      <w:pPr>
        <w:spacing w:after="100" w:before="60"/>
      </w:pPr>
      <w:r>
        <w:rPr>
          <w:rFonts w:ascii="Arial" w:cs="Arial" w:eastAsia="Arial" w:hAnsi="Arial"/>
          <w:color w:val="1A1A2E"/>
          <w:sz w:val="22"/>
          <w:szCs w:val="22"/>
        </w:rPr>
        <w:t xml:space="preserve">Employees who wish to resign must submit written notice to their line manager and HR in accordance with their notice period as set out in the HR Handbook. Employees who resign are entitled to receive all outstanding salary, accrued annual leave, and EOSG in accordance with UAE Labour Law, within fourteen (14) calendar days of their last working day.</w:t>
      </w:r>
    </w:p>
    <w:p>
      <w:pPr>
        <w:pStyle w:val="Heading2"/>
        <w:spacing w:after="80" w:before="280"/>
      </w:pPr>
      <w:r>
        <w:rPr>
          <w:rFonts w:ascii="Arial" w:cs="Arial" w:eastAsia="Arial" w:hAnsi="Arial"/>
          <w:b/>
          <w:bCs/>
          <w:color w:val="0D1F35"/>
          <w:sz w:val="26"/>
          <w:szCs w:val="26"/>
        </w:rPr>
        <w:t xml:space="preserve">8.4 Final Settlement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Outstanding salary</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Paid for all days worked up to and including the last working day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Accrued annual leave</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Paid out for any accrued but untaken leave from the current leave year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Air ticket allowance</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Prorated for the current year if not already paid, subject to eligibility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End of Service Gratuity</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Calculated and paid in accordance with the Benefits &amp; Compensation Policy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Payment timeline</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All final entitlements paid within fourteen (14) calendar days of the last working day</w:t>
            </w:r>
          </w:p>
        </w:tc>
      </w:tr>
    </w:tbl>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9. Appeals</w:t>
      </w:r>
    </w:p>
    <w:p>
      <w:pPr>
        <w:spacing w:after="100" w:before="60"/>
      </w:pPr>
      <w:r>
        <w:rPr>
          <w:rFonts w:ascii="Arial" w:cs="Arial" w:eastAsia="Arial" w:hAnsi="Arial"/>
          <w:color w:val="1A1A2E"/>
          <w:sz w:val="22"/>
          <w:szCs w:val="22"/>
        </w:rPr>
        <w:t xml:space="preserve">Employees have the right to appeal against any formal disciplinary outcome, including termination. Appeals must be submitted in writing to the HR Director within five (5) working days of receiving the outcome letter. The appeal should clearly state the grounds on which the employee is appealing — for example, that the process was not followed correctly, that the sanction was disproportionate, or that new evidence has come to light.</w:t>
      </w:r>
    </w:p>
    <w:p>
      <w:pPr>
        <w:spacing w:after="100" w:before="60"/>
      </w:pPr>
      <w:r>
        <w:rPr>
          <w:rFonts w:ascii="Arial" w:cs="Arial" w:eastAsia="Arial" w:hAnsi="Arial"/>
          <w:color w:val="1A1A2E"/>
          <w:sz w:val="22"/>
          <w:szCs w:val="22"/>
        </w:rPr>
        <w:t xml:space="preserve">Appeals will be heard by a senior manager who was not involved in the original investigation or hearing. The appeal decision will be communicated in writing within ten (10) working days of the appeal hearing. The appeal decision is final and binding.</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10. General Principles</w:t>
      </w:r>
    </w:p>
    <w:p>
      <w:pPr>
        <w:pStyle w:val="Heading2"/>
        <w:spacing w:after="80" w:before="280"/>
      </w:pPr>
      <w:r>
        <w:rPr>
          <w:rFonts w:ascii="Arial" w:cs="Arial" w:eastAsia="Arial" w:hAnsi="Arial"/>
          <w:b/>
          <w:bCs/>
          <w:color w:val="0D1F35"/>
          <w:sz w:val="26"/>
          <w:szCs w:val="26"/>
        </w:rPr>
        <w:t xml:space="preserve">10.1 Fairness and Consistency</w:t>
      </w:r>
    </w:p>
    <w:p>
      <w:pPr>
        <w:spacing w:after="100" w:before="60"/>
      </w:pPr>
      <w:r>
        <w:rPr>
          <w:rFonts w:ascii="Arial" w:cs="Arial" w:eastAsia="Arial" w:hAnsi="Arial"/>
          <w:color w:val="1A1A2E"/>
          <w:sz w:val="22"/>
          <w:szCs w:val="22"/>
        </w:rPr>
        <w:t xml:space="preserve">All disciplinary and grievance proceedings will be conducted fairly, consistently, and without bias. Decisions will be based on facts established through proper investigation and not on assumptions, hearsay, or personal relationships.</w:t>
      </w:r>
    </w:p>
    <w:p>
      <w:pPr>
        <w:pStyle w:val="Heading2"/>
        <w:spacing w:after="80" w:before="280"/>
      </w:pPr>
      <w:r>
        <w:rPr>
          <w:rFonts w:ascii="Arial" w:cs="Arial" w:eastAsia="Arial" w:hAnsi="Arial"/>
          <w:b/>
          <w:bCs/>
          <w:color w:val="0D1F35"/>
          <w:sz w:val="26"/>
          <w:szCs w:val="26"/>
        </w:rPr>
        <w:t xml:space="preserve">10.2 Confidentiality</w:t>
      </w:r>
    </w:p>
    <w:p>
      <w:pPr>
        <w:spacing w:after="100" w:before="60"/>
      </w:pPr>
      <w:r>
        <w:rPr>
          <w:rFonts w:ascii="Arial" w:cs="Arial" w:eastAsia="Arial" w:hAnsi="Arial"/>
          <w:color w:val="1A1A2E"/>
          <w:sz w:val="22"/>
          <w:szCs w:val="22"/>
        </w:rPr>
        <w:t xml:space="preserve">All matters arising under this policy will be treated with strict confidentiality. Information will be shared only with those who need to be involved in the process. Employees who breach confidentiality during proceedings — whether as the subject, a witness, or a companion — will themselves be subject to disciplinary action.</w:t>
      </w:r>
    </w:p>
    <w:p>
      <w:pPr>
        <w:pStyle w:val="Heading2"/>
        <w:spacing w:after="80" w:before="280"/>
      </w:pPr>
      <w:r>
        <w:rPr>
          <w:rFonts w:ascii="Arial" w:cs="Arial" w:eastAsia="Arial" w:hAnsi="Arial"/>
          <w:b/>
          <w:bCs/>
          <w:color w:val="0D1F35"/>
          <w:sz w:val="26"/>
          <w:szCs w:val="26"/>
        </w:rPr>
        <w:t xml:space="preserve">10.3 No Retaliation</w:t>
      </w:r>
    </w:p>
    <w:p>
      <w:pPr>
        <w:spacing w:after="100" w:before="60"/>
      </w:pPr>
      <w:r>
        <w:rPr>
          <w:rFonts w:ascii="Arial" w:cs="Arial" w:eastAsia="Arial" w:hAnsi="Arial"/>
          <w:color w:val="1A1A2E"/>
          <w:sz w:val="22"/>
          <w:szCs w:val="22"/>
        </w:rPr>
        <w:t xml:space="preserve">Novaris Solutions will not tolerate retaliation against any employee who raises a grievance in good faith, participates in an investigation as a witness, or exercises their rights under this policy. Retaliation is itself a serious disciplinary matter and will be treated accordingly.</w:t>
      </w:r>
    </w:p>
    <w:p>
      <w:pPr>
        <w:pStyle w:val="Heading2"/>
        <w:spacing w:after="80" w:before="280"/>
      </w:pPr>
      <w:r>
        <w:rPr>
          <w:rFonts w:ascii="Arial" w:cs="Arial" w:eastAsia="Arial" w:hAnsi="Arial"/>
          <w:b/>
          <w:bCs/>
          <w:color w:val="0D1F35"/>
          <w:sz w:val="26"/>
          <w:szCs w:val="26"/>
        </w:rPr>
        <w:t xml:space="preserve">10.4 Compliance with UAE Law</w:t>
      </w:r>
    </w:p>
    <w:p>
      <w:pPr>
        <w:spacing w:after="100" w:before="60"/>
      </w:pPr>
      <w:r>
        <w:rPr>
          <w:rFonts w:ascii="Arial" w:cs="Arial" w:eastAsia="Arial" w:hAnsi="Arial"/>
          <w:color w:val="1A1A2E"/>
          <w:sz w:val="22"/>
          <w:szCs w:val="22"/>
        </w:rPr>
        <w:t xml:space="preserve">All proceedings under this policy will comply with the applicable provisions of UAE Federal Decree-Law No. 33 of 2021 on the Regulation of Labour Relations and any associated ministerial decisions. In the event of any conflict between this policy and UAE law, UAE law shall prevail.</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11. Policy Amendments</w:t>
      </w:r>
    </w:p>
    <w:p>
      <w:pPr>
        <w:spacing w:after="100" w:before="60"/>
      </w:pPr>
      <w:r>
        <w:rPr>
          <w:rFonts w:ascii="Arial" w:cs="Arial" w:eastAsia="Arial" w:hAnsi="Arial"/>
          <w:color w:val="1A1A2E"/>
          <w:sz w:val="22"/>
          <w:szCs w:val="22"/>
        </w:rPr>
        <w:t xml:space="preserve">This policy will be reviewed annually by the Human Resources department. Amendments will be communicated to all employees in writing. Continued employment following notification of a change constitutes acceptance of the revised policy.</w:t>
      </w:r>
    </w:p>
    <w:p>
      <w:pPr>
        <w:spacing w:after="240" w:before="0"/>
      </w:pPr>
      <w:r>
        <w:t xml:space="preserve"/>
      </w:r>
    </w:p>
    <w:p>
      <w:pPr>
        <w:pBdr>
          <w:top w:val="single" w:color="CCCCCC" w:sz="4" w:space="6"/>
        </w:pBdr>
        <w:spacing w:after="60" w:before="200"/>
        <w:jc w:val="center"/>
      </w:pPr>
      <w:r>
        <w:rPr>
          <w:rFonts w:ascii="Arial" w:cs="Arial" w:eastAsia="Arial" w:hAnsi="Arial"/>
          <w:color w:val="AAAAAA"/>
          <w:sz w:val="18"/>
          <w:szCs w:val="18"/>
        </w:rPr>
        <w:t xml:space="preserve">Novaris Solutions  |  Human Resources Department  |  hr@novarissolutions.ae</w:t>
      </w:r>
    </w:p>
    <w:p>
      <w:pPr>
        <w:spacing w:after="60"/>
        <w:jc w:val="center"/>
      </w:pPr>
      <w:r>
        <w:rPr>
          <w:rFonts w:ascii="Arial" w:cs="Arial" w:eastAsia="Arial" w:hAnsi="Arial"/>
          <w:color w:val="AAAAAA"/>
          <w:sz w:val="18"/>
          <w:szCs w:val="18"/>
        </w:rPr>
        <w:t xml:space="preserve">Version 1.0  |  January 2025  |  Confidential — For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60"/>
    </w:pPr>
    <w:r>
      <w:rPr>
        <w:rFonts w:ascii="Arial" w:cs="Arial" w:eastAsia="Arial" w:hAnsi="Arial"/>
        <w:color w:val="AAAAAA"/>
        <w:sz w:val="16"/>
        <w:szCs w:val="16"/>
      </w:rPr>
      <w:t xml:space="preserve">Confidential — For Internal Use Only</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933A" w:sz="6" w:space="4"/>
      </w:pBdr>
      <w:tabs>
        <w:tab w:val="right" w:pos="9360"/>
      </w:tabs>
      <w:spacing w:after="0"/>
    </w:pPr>
    <w:r>
      <w:rPr>
        <w:rFonts w:ascii="Arial" w:cs="Arial" w:eastAsia="Arial" w:hAnsi="Arial"/>
        <w:b/>
        <w:bCs/>
        <w:color w:val="0D1F35"/>
        <w:sz w:val="18"/>
        <w:szCs w:val="18"/>
      </w:rPr>
      <w:t xml:space="preserve">NOVARIS SOLUTIONS</w:t>
    </w:r>
    <w:r>
      <w:rPr>
        <w:rFonts w:ascii="Arial" w:cs="Arial" w:eastAsia="Arial" w:hAnsi="Arial"/>
        <w:color w:val="888888"/>
        <w:sz w:val="18"/>
        <w:szCs w:val="18"/>
      </w:rPr>
      <w:t xml:space="preserve">	Grievance &amp; Disciplinary Policy</w:t>
    </w:r>
  </w:p>
  <w:p>
    <w:pPr>
      <w:spacing w:after="36"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F35"/>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D1F35"/>
      <w:sz w:val="26"/>
      <w:szCs w:val="26"/>
    </w:rPr>
  </w:style>
  <w:style w:type="paragraph" w:styleId="Heading3">
    <w:name w:val="Heading 3"/>
    <w:basedOn w:val="Normal"/>
    <w:next w:val="Normal"/>
    <w:qFormat/>
    <w:pPr>
      <w:spacing w:after="60" w:before="200"/>
      <w:outlineLvl w:val="2"/>
    </w:pPr>
    <w:rPr>
      <w:rFonts w:ascii="Arial" w:cs="Arial" w:eastAsia="Arial" w:hAnsi="Arial"/>
      <w:b/>
      <w:bCs/>
      <w:color w:val="C293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2026-04-21T15:54:34.338Z</dcterms:created>
  <dcterms:modified xsi:type="dcterms:W3CDTF">2026-04-21T15:54:34.339Z</dcterms:modified>
</cp:coreProperties>
</file>

<file path=docProps/custom.xml><?xml version="1.0" encoding="utf-8"?>
<Properties xmlns="http://schemas.openxmlformats.org/officeDocument/2006/custom-properties" xmlns:vt="http://schemas.openxmlformats.org/officeDocument/2006/docPropsVTypes"/>
</file>