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80"/>
        <w:jc w:val="center"/>
      </w:pPr>
      <w:r>
        <w:rPr>
          <w:rFonts w:ascii="Arial" w:cs="Arial" w:eastAsia="Arial" w:hAnsi="Arial"/>
          <w:b/>
          <w:bCs/>
          <w:color w:val="0D1F35"/>
          <w:sz w:val="52"/>
          <w:szCs w:val="52"/>
        </w:rPr>
        <w:t xml:space="preserve">NOVARIS SOLUTIONS</w:t>
      </w:r>
    </w:p>
    <w:p>
      <w:pPr>
        <w:spacing w:after="60"/>
        <w:jc w:val="center"/>
      </w:pPr>
      <w:r>
        <w:rPr>
          <w:rFonts w:ascii="Arial" w:cs="Arial" w:eastAsia="Arial" w:hAnsi="Arial"/>
          <w:color w:val="C2933A"/>
          <w:sz w:val="36"/>
          <w:szCs w:val="36"/>
        </w:rPr>
        <w:t xml:space="preserve">Leave &amp; Attendance Policy</w:t>
      </w:r>
    </w:p>
    <w:p>
      <w:pPr>
        <w:spacing w:after="400"/>
        <w:jc w:val="center"/>
      </w:pPr>
      <w:r>
        <w:rPr>
          <w:rFonts w:ascii="Arial" w:cs="Arial" w:eastAsia="Arial" w:hAnsi="Arial"/>
          <w:color w:val="888888"/>
          <w:sz w:val="24"/>
          <w:szCs w:val="24"/>
        </w:rPr>
        <w:t xml:space="preserve">Dubai, United Arab Emirates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40"/>
      </w:tblGrid>
      <w:tr>
        <w:tc>
          <w:tcPr>
            <w:tcW w:type="dxa" w:w="5040"/>
            <w:tcBorders>
              <w:top w:val="none" w:color="FFFFFF" w:sz="0"/>
              <w:left w:val="none" w:color="FFFFFF" w:sz="0"/>
              <w:bottom w:val="single" w:color="C2933A" w:sz="8"/>
              <w:right w:val="none" w:color="FFFFFF" w:sz="0"/>
            </w:tcBorders>
            <w:tcMar>
              <w:top w:type="dxa" w:w="0"/>
              <w:left w:type="dxa" w:w="0"/>
              <w:bottom w:type="dxa" w:w="160"/>
              <w:right w:type="dxa" w:w="0"/>
            </w:tcMar>
          </w:tcPr>
          <w:p>
            <w:pPr>
              <w:jc w:val="center"/>
            </w:pPr>
            <w:r>
              <w:t xml:space="preserve"/>
            </w:r>
          </w:p>
        </w:tc>
      </w:tr>
    </w:tbl>
    <w:p>
      <w:pPr>
        <w:spacing w:after="240" w:before="0"/>
      </w:pPr>
      <w:r>
        <w:t xml:space="preserve"/>
      </w:r>
    </w:p>
    <w:p>
      <w:pPr>
        <w:spacing w:after="60"/>
        <w:jc w:val="center"/>
      </w:pPr>
      <w:r>
        <w:rPr>
          <w:rFonts w:ascii="Arial" w:cs="Arial" w:eastAsia="Arial" w:hAnsi="Arial"/>
          <w:color w:val="888888"/>
          <w:sz w:val="20"/>
          <w:szCs w:val="20"/>
        </w:rPr>
        <w:t xml:space="preserve">Version 1.0  |  Effective Date: January 2025</w:t>
      </w:r>
    </w:p>
    <w:p>
      <w:pPr>
        <w:jc w:val="center"/>
      </w:pPr>
      <w:r>
        <w:rPr>
          <w:rFonts w:ascii="Arial" w:cs="Arial" w:eastAsia="Arial" w:hAnsi="Arial"/>
          <w:color w:val="888888"/>
          <w:sz w:val="20"/>
          <w:szCs w:val="20"/>
        </w:rPr>
        <w:t xml:space="preserve">Human Resources Department</w:t>
      </w:r>
    </w:p>
    <w:p>
      <w:r>
        <w:br w:type="page"/>
      </w:r>
    </w:p>
    <w:p>
      <w:pPr>
        <w:pStyle w:val="Heading1"/>
        <w:pBdr>
          <w:bottom w:val="single" w:color="C2933A" w:sz="8" w:space="4"/>
        </w:pBdr>
        <w:spacing w:after="120" w:before="360"/>
      </w:pPr>
      <w:r>
        <w:rPr>
          <w:rFonts w:ascii="Arial" w:cs="Arial" w:eastAsia="Arial" w:hAnsi="Arial"/>
          <w:b/>
          <w:bCs/>
          <w:color w:val="0D1F35"/>
          <w:sz w:val="32"/>
          <w:szCs w:val="32"/>
        </w:rPr>
        <w:t xml:space="preserve">1. Purpose and Scope</w:t>
      </w:r>
    </w:p>
    <w:p>
      <w:pPr>
        <w:spacing w:after="100" w:before="60"/>
      </w:pPr>
      <w:r>
        <w:rPr>
          <w:rFonts w:ascii="Arial" w:cs="Arial" w:eastAsia="Arial" w:hAnsi="Arial"/>
          <w:color w:val="1A1A2E"/>
          <w:sz w:val="22"/>
          <w:szCs w:val="22"/>
        </w:rPr>
        <w:t xml:space="preserve">This policy sets out the leave entitlements, attendance expectations, and related procedures for all employees of Novaris Solutions LLC in the United Arab Emirates. It should be read alongside the Novaris Solutions Employee HR Handbook.</w:t>
      </w:r>
    </w:p>
    <w:p>
      <w:pPr>
        <w:spacing w:after="100" w:before="60"/>
      </w:pPr>
      <w:r>
        <w:rPr>
          <w:rFonts w:ascii="Arial" w:cs="Arial" w:eastAsia="Arial" w:hAnsi="Arial"/>
          <w:color w:val="1A1A2E"/>
          <w:sz w:val="22"/>
          <w:szCs w:val="22"/>
        </w:rPr>
        <w:t xml:space="preserve">This policy applies to all full-time employees on Novaris Solutions employment contracts. It does not apply to contractors, consultants engaged on a third-party basis, or employees on secondment from client organisations.</w:t>
      </w:r>
    </w:p>
    <w:p>
      <w:pPr>
        <w:pBdr>
          <w:left w:val="single" w:color="C2933A" w:sz="12" w:space="8"/>
        </w:pBdr>
        <w:spacing w:after="80" w:before="80"/>
        <w:ind w:left="360"/>
      </w:pPr>
      <w:r>
        <w:rPr>
          <w:rFonts w:ascii="Arial" w:cs="Arial" w:eastAsia="Arial" w:hAnsi="Arial"/>
          <w:i/>
          <w:iCs/>
          <w:color w:val="5A5A5A"/>
          <w:sz w:val="20"/>
          <w:szCs w:val="20"/>
        </w:rPr>
        <w:t xml:space="preserve">Where any provision of this policy conflicts with UAE Federal Decree-Law No. 33 of 2021 on the Regulation of Labour Relations (as amended), UAE law shall prevail.</w:t>
      </w:r>
    </w:p>
    <w:p>
      <w:pPr>
        <w:spacing w:after="120" w:before="0"/>
      </w:pPr>
      <w:r>
        <w:t xml:space="preserve"/>
      </w:r>
    </w:p>
    <w:p>
      <w:pPr>
        <w:pStyle w:val="Heading1"/>
        <w:pBdr>
          <w:bottom w:val="single" w:color="C2933A" w:sz="8" w:space="4"/>
        </w:pBdr>
        <w:spacing w:after="120" w:before="360"/>
      </w:pPr>
      <w:r>
        <w:rPr>
          <w:rFonts w:ascii="Arial" w:cs="Arial" w:eastAsia="Arial" w:hAnsi="Arial"/>
          <w:b/>
          <w:bCs/>
          <w:color w:val="0D1F35"/>
          <w:sz w:val="32"/>
          <w:szCs w:val="32"/>
        </w:rPr>
        <w:t xml:space="preserve">2. Annual Leave</w:t>
      </w:r>
    </w:p>
    <w:p>
      <w:pPr>
        <w:pStyle w:val="Heading2"/>
        <w:spacing w:after="80" w:before="280"/>
      </w:pPr>
      <w:r>
        <w:rPr>
          <w:rFonts w:ascii="Arial" w:cs="Arial" w:eastAsia="Arial" w:hAnsi="Arial"/>
          <w:b/>
          <w:bCs/>
          <w:color w:val="0D1F35"/>
          <w:sz w:val="26"/>
          <w:szCs w:val="26"/>
        </w:rPr>
        <w:t xml:space="preserve">2.1 Entitlement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Annual entitlement</w:t>
            </w:r>
          </w:p>
        </w:tc>
        <w:tc>
          <w:tcPr>
            <w:tcW w:type="dxa" w:w="6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24 working days per calendar year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Accrual basis</w:t>
            </w:r>
          </w:p>
        </w:tc>
        <w:tc>
          <w:tcPr>
            <w:tcW w:type="dxa" w:w="6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Accrues from the date of joining at a rate of 2 working days per month</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Leave year</w:t>
            </w:r>
          </w:p>
        </w:tc>
        <w:tc>
          <w:tcPr>
            <w:tcW w:type="dxa" w:w="6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1 January to 31 December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Minimum to take</w:t>
            </w:r>
          </w:p>
        </w:tc>
        <w:tc>
          <w:tcPr>
            <w:tcW w:type="dxa" w:w="6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Annual leave must be taken in a minimum block of 3 consecutive working days unless HR approves otherwise</w:t>
            </w:r>
          </w:p>
        </w:tc>
      </w:tr>
    </w:tbl>
    <w:p>
      <w:pPr>
        <w:pStyle w:val="Heading2"/>
        <w:spacing w:after="80" w:before="280"/>
      </w:pPr>
      <w:r>
        <w:rPr>
          <w:rFonts w:ascii="Arial" w:cs="Arial" w:eastAsia="Arial" w:hAnsi="Arial"/>
          <w:b/>
          <w:bCs/>
          <w:color w:val="0D1F35"/>
          <w:sz w:val="26"/>
          <w:szCs w:val="26"/>
        </w:rPr>
        <w:t xml:space="preserve">2.2 Eligibility and Booking</w:t>
      </w:r>
    </w:p>
    <w:p>
      <w:pPr>
        <w:spacing w:after="100" w:before="60"/>
      </w:pPr>
      <w:r>
        <w:rPr>
          <w:rFonts w:ascii="Arial" w:cs="Arial" w:eastAsia="Arial" w:hAnsi="Arial"/>
          <w:color w:val="1A1A2E"/>
          <w:sz w:val="22"/>
          <w:szCs w:val="22"/>
        </w:rPr>
        <w:t xml:space="preserve">Employees may begin taking annual leave upon successful completion of their six-month probation period. Leave accrued during probation may be taken after confirmation.</w:t>
      </w:r>
    </w:p>
    <w:p>
      <w:pPr>
        <w:spacing w:after="100" w:before="60"/>
      </w:pPr>
      <w:r>
        <w:rPr>
          <w:rFonts w:ascii="Arial" w:cs="Arial" w:eastAsia="Arial" w:hAnsi="Arial"/>
          <w:color w:val="1A1A2E"/>
          <w:sz w:val="22"/>
          <w:szCs w:val="22"/>
        </w:rPr>
        <w:t xml:space="preserve">To book annual leave, employees must:</w:t>
      </w:r>
    </w:p>
    <w:p>
      <w:pPr>
        <w:pStyle w:val="ListParagraph"/>
        <w:numPr>
          <w:ilvl w:val="0"/>
          <w:numId w:val="2"/>
        </w:numPr>
        <w:spacing w:after="40" w:before="40"/>
      </w:pPr>
      <w:r>
        <w:rPr>
          <w:rFonts w:ascii="Arial" w:cs="Arial" w:eastAsia="Arial" w:hAnsi="Arial"/>
          <w:b w:val="false"/>
          <w:bCs w:val="false"/>
          <w:color w:val="1A1A2E"/>
          <w:sz w:val="22"/>
          <w:szCs w:val="22"/>
        </w:rPr>
        <w:t xml:space="preserve">Submit a leave request through the HR system at least five (5) working days in advance for leave of up to five (5) days</w:t>
      </w:r>
    </w:p>
    <w:p>
      <w:pPr>
        <w:pStyle w:val="ListParagraph"/>
        <w:numPr>
          <w:ilvl w:val="0"/>
          <w:numId w:val="2"/>
        </w:numPr>
        <w:spacing w:after="40" w:before="40"/>
      </w:pPr>
      <w:r>
        <w:rPr>
          <w:rFonts w:ascii="Arial" w:cs="Arial" w:eastAsia="Arial" w:hAnsi="Arial"/>
          <w:b w:val="false"/>
          <w:bCs w:val="false"/>
          <w:color w:val="1A1A2E"/>
          <w:sz w:val="22"/>
          <w:szCs w:val="22"/>
        </w:rPr>
        <w:t xml:space="preserve">Submit at least fifteen (15) working days in advance for leave exceeding five (5) days</w:t>
      </w:r>
    </w:p>
    <w:p>
      <w:pPr>
        <w:pStyle w:val="ListParagraph"/>
        <w:numPr>
          <w:ilvl w:val="0"/>
          <w:numId w:val="2"/>
        </w:numPr>
        <w:spacing w:after="40" w:before="40"/>
      </w:pPr>
      <w:r>
        <w:rPr>
          <w:rFonts w:ascii="Arial" w:cs="Arial" w:eastAsia="Arial" w:hAnsi="Arial"/>
          <w:b w:val="false"/>
          <w:bCs w:val="false"/>
          <w:color w:val="1A1A2E"/>
          <w:sz w:val="22"/>
          <w:szCs w:val="22"/>
        </w:rPr>
        <w:t xml:space="preserve">Obtain written approval from their line manager before confirming any travel arrangements</w:t>
      </w:r>
    </w:p>
    <w:p>
      <w:pPr>
        <w:pBdr>
          <w:left w:val="single" w:color="C2933A" w:sz="12" w:space="8"/>
        </w:pBdr>
        <w:spacing w:after="80" w:before="80"/>
        <w:ind w:left="360"/>
      </w:pPr>
      <w:r>
        <w:rPr>
          <w:rFonts w:ascii="Arial" w:cs="Arial" w:eastAsia="Arial" w:hAnsi="Arial"/>
          <w:i/>
          <w:iCs/>
          <w:color w:val="5A5A5A"/>
          <w:sz w:val="20"/>
          <w:szCs w:val="20"/>
        </w:rPr>
        <w:t xml:space="preserve">Leave requests are subject to business needs and operational requirements. The Company reserves the right to decline or defer leave requests where business demands require it, particularly during client engagement periods or project go-lives.</w:t>
      </w:r>
    </w:p>
    <w:p>
      <w:pPr>
        <w:pStyle w:val="Heading2"/>
        <w:spacing w:after="80" w:before="280"/>
      </w:pPr>
      <w:r>
        <w:rPr>
          <w:rFonts w:ascii="Arial" w:cs="Arial" w:eastAsia="Arial" w:hAnsi="Arial"/>
          <w:b/>
          <w:bCs/>
          <w:color w:val="0D1F35"/>
          <w:sz w:val="26"/>
          <w:szCs w:val="26"/>
        </w:rPr>
        <w:t xml:space="preserve">2.3 Carry Forward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Maximum carry forward</w:t>
            </w:r>
          </w:p>
        </w:tc>
        <w:tc>
          <w:tcPr>
            <w:tcW w:type="dxa" w:w="6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10 working days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Deadline to use</w:t>
            </w:r>
          </w:p>
        </w:tc>
        <w:tc>
          <w:tcPr>
            <w:tcW w:type="dxa" w:w="6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31 March of the following calendar year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If not used by deadline</w:t>
            </w:r>
          </w:p>
        </w:tc>
        <w:tc>
          <w:tcPr>
            <w:tcW w:type="dxa" w:w="6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Carried forward leave lapses and will not be encashed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Encashment</w:t>
            </w:r>
          </w:p>
        </w:tc>
        <w:tc>
          <w:tcPr>
            <w:tcW w:type="dxa" w:w="6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Carried forward leave may not be encashed at any time</w:t>
            </w:r>
          </w:p>
        </w:tc>
      </w:tr>
    </w:tbl>
    <w:p>
      <w:pPr>
        <w:spacing w:after="100" w:before="60"/>
      </w:pPr>
      <w:r>
        <w:rPr>
          <w:rFonts w:ascii="Arial" w:cs="Arial" w:eastAsia="Arial" w:hAnsi="Arial"/>
          <w:color w:val="1A1A2E"/>
          <w:sz w:val="22"/>
          <w:szCs w:val="22"/>
        </w:rPr>
        <w:t xml:space="preserve">Employees are strongly encouraged to take their full annual leave entitlement within the leave year. Managers are responsible for ensuring their teams plan and take leave regularly throughout the year.</w:t>
      </w:r>
    </w:p>
    <w:p>
      <w:pPr>
        <w:pStyle w:val="Heading2"/>
        <w:spacing w:after="80" w:before="280"/>
      </w:pPr>
      <w:r>
        <w:rPr>
          <w:rFonts w:ascii="Arial" w:cs="Arial" w:eastAsia="Arial" w:hAnsi="Arial"/>
          <w:b/>
          <w:bCs/>
          <w:color w:val="0D1F35"/>
          <w:sz w:val="26"/>
          <w:szCs w:val="26"/>
        </w:rPr>
        <w:t xml:space="preserve">2.4 Leave on Exit</w:t>
      </w:r>
    </w:p>
    <w:p>
      <w:pPr>
        <w:spacing w:after="100" w:before="60"/>
      </w:pPr>
      <w:r>
        <w:rPr>
          <w:rFonts w:ascii="Arial" w:cs="Arial" w:eastAsia="Arial" w:hAnsi="Arial"/>
          <w:color w:val="1A1A2E"/>
          <w:sz w:val="22"/>
          <w:szCs w:val="22"/>
        </w:rPr>
        <w:t xml:space="preserve">On resignation or termination of employment, any accrued but untaken annual leave (from the current leave year) will be paid out as part of the final settlement, calculated on the basis of the employee's daily salary rate.</w:t>
      </w:r>
    </w:p>
    <w:p>
      <w:pPr>
        <w:spacing w:after="100" w:before="60"/>
      </w:pPr>
      <w:r>
        <w:rPr>
          <w:rFonts w:ascii="Arial" w:cs="Arial" w:eastAsia="Arial" w:hAnsi="Arial"/>
          <w:color w:val="1A1A2E"/>
          <w:sz w:val="22"/>
          <w:szCs w:val="22"/>
        </w:rPr>
        <w:t xml:space="preserve">If an employee has taken more annual leave than they have accrued at the time of exit, the excess will be deducted from the final salary payment.</w:t>
      </w:r>
    </w:p>
    <w:p>
      <w:pPr>
        <w:pStyle w:val="Heading2"/>
        <w:spacing w:after="80" w:before="280"/>
      </w:pPr>
      <w:r>
        <w:rPr>
          <w:rFonts w:ascii="Arial" w:cs="Arial" w:eastAsia="Arial" w:hAnsi="Arial"/>
          <w:b/>
          <w:bCs/>
          <w:color w:val="0D1F35"/>
          <w:sz w:val="26"/>
          <w:szCs w:val="26"/>
        </w:rPr>
        <w:t xml:space="preserve">2.5 Leave During Notice Period</w:t>
      </w:r>
    </w:p>
    <w:p>
      <w:pPr>
        <w:spacing w:after="100" w:before="60"/>
      </w:pPr>
      <w:r>
        <w:rPr>
          <w:rFonts w:ascii="Arial" w:cs="Arial" w:eastAsia="Arial" w:hAnsi="Arial"/>
          <w:color w:val="1A1A2E"/>
          <w:sz w:val="22"/>
          <w:szCs w:val="22"/>
        </w:rPr>
        <w:t xml:space="preserve">Annual leave may not ordinarily be taken during the notice period unless agreed in writing by HR. Where leave has already been approved and falls within the notice period, the Company may, at its discretion, accept the leave or require the employee to reschedule it.</w:t>
      </w:r>
    </w:p>
    <w:p>
      <w:pPr>
        <w:spacing w:after="120" w:before="0"/>
      </w:pPr>
      <w:r>
        <w:t xml:space="preserve"/>
      </w:r>
    </w:p>
    <w:p>
      <w:pPr>
        <w:pStyle w:val="Heading1"/>
        <w:pBdr>
          <w:bottom w:val="single" w:color="C2933A" w:sz="8" w:space="4"/>
        </w:pBdr>
        <w:spacing w:after="120" w:before="360"/>
      </w:pPr>
      <w:r>
        <w:rPr>
          <w:rFonts w:ascii="Arial" w:cs="Arial" w:eastAsia="Arial" w:hAnsi="Arial"/>
          <w:b/>
          <w:bCs/>
          <w:color w:val="0D1F35"/>
          <w:sz w:val="32"/>
          <w:szCs w:val="32"/>
        </w:rPr>
        <w:t xml:space="preserve">3. Public Holidays</w:t>
      </w:r>
    </w:p>
    <w:p>
      <w:pPr>
        <w:spacing w:after="100" w:before="60"/>
      </w:pPr>
      <w:r>
        <w:rPr>
          <w:rFonts w:ascii="Arial" w:cs="Arial" w:eastAsia="Arial" w:hAnsi="Arial"/>
          <w:color w:val="1A1A2E"/>
          <w:sz w:val="22"/>
          <w:szCs w:val="22"/>
        </w:rPr>
        <w:t xml:space="preserve">Employees are entitled to all official UAE public holidays as gazetted by the UAE Cabinet each year. In addition, Novaris Solutions grants two discretionary holidays annually. The full list is as follows: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160"/>
      </w:tblGrid>
      <w:tr>
        <w:tc>
          <w:tcPr>
            <w:tcW w:type="dxa" w:w="4200"/>
            <w:tcBorders>
              <w:top w:val="single" w:color="CCCCCC" w:sz="1"/>
              <w:left w:val="single" w:color="CCCCCC" w:sz="1"/>
              <w:bottom w:val="single" w:color="CCCCCC" w:sz="1"/>
              <w:right w:val="single" w:color="CCCCCC" w:sz="1"/>
            </w:tcBorders>
            <w:shd w:fill="0D1F35" w:val="clear"/>
            <w:tcMar>
              <w:top w:type="dxa" w:w="80"/>
              <w:left w:type="dxa" w:w="160"/>
              <w:bottom w:type="dxa" w:w="80"/>
              <w:right w:type="dxa" w:w="160"/>
            </w:tcMar>
          </w:tcPr>
          <w:p>
            <w:r>
              <w:rPr>
                <w:rFonts w:ascii="Arial" w:cs="Arial" w:eastAsia="Arial" w:hAnsi="Arial"/>
                <w:b/>
                <w:bCs/>
                <w:color w:val="FFFFFF"/>
                <w:sz w:val="20"/>
                <w:szCs w:val="20"/>
              </w:rPr>
              <w:t xml:space="preserve">Holiday</w:t>
            </w:r>
          </w:p>
        </w:tc>
        <w:tc>
          <w:tcPr>
            <w:tcW w:type="dxa" w:w="3000"/>
            <w:tcBorders>
              <w:top w:val="single" w:color="CCCCCC" w:sz="1"/>
              <w:left w:val="single" w:color="CCCCCC" w:sz="1"/>
              <w:bottom w:val="single" w:color="CCCCCC" w:sz="1"/>
              <w:right w:val="single" w:color="CCCCCC" w:sz="1"/>
            </w:tcBorders>
            <w:shd w:fill="0D1F35" w:val="clear"/>
            <w:tcMar>
              <w:top w:type="dxa" w:w="80"/>
              <w:left w:type="dxa" w:w="160"/>
              <w:bottom w:type="dxa" w:w="80"/>
              <w:right w:type="dxa" w:w="160"/>
            </w:tcMar>
          </w:tcPr>
          <w:p>
            <w:r>
              <w:rPr>
                <w:rFonts w:ascii="Arial" w:cs="Arial" w:eastAsia="Arial" w:hAnsi="Arial"/>
                <w:b/>
                <w:bCs/>
                <w:color w:val="FFFFFF"/>
                <w:sz w:val="20"/>
                <w:szCs w:val="20"/>
              </w:rPr>
              <w:t xml:space="preserve">Type</w:t>
            </w:r>
          </w:p>
        </w:tc>
        <w:tc>
          <w:tcPr>
            <w:tcW w:type="dxa" w:w="2160"/>
            <w:tcBorders>
              <w:top w:val="single" w:color="CCCCCC" w:sz="1"/>
              <w:left w:val="single" w:color="CCCCCC" w:sz="1"/>
              <w:bottom w:val="single" w:color="CCCCCC" w:sz="1"/>
              <w:right w:val="single" w:color="CCCCCC" w:sz="1"/>
            </w:tcBorders>
            <w:shd w:fill="0D1F35" w:val="clear"/>
            <w:tcMar>
              <w:top w:type="dxa" w:w="80"/>
              <w:left w:type="dxa" w:w="160"/>
              <w:bottom w:type="dxa" w:w="80"/>
              <w:right w:type="dxa" w:w="160"/>
            </w:tcMar>
          </w:tcPr>
          <w:p>
            <w:r>
              <w:rPr>
                <w:rFonts w:ascii="Arial" w:cs="Arial" w:eastAsia="Arial" w:hAnsi="Arial"/>
                <w:b/>
                <w:bCs/>
                <w:color w:val="FFFFFF"/>
                <w:sz w:val="20"/>
                <w:szCs w:val="20"/>
              </w:rPr>
              <w:t xml:space="preserve">Substitute Day if Weekend?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New Year's Day — 1 January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UAE Gazetted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Yes</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1A1A2E"/>
                <w:sz w:val="20"/>
                <w:szCs w:val="20"/>
              </w:rPr>
              <w:t xml:space="preserve">Eid Al Fitr (3 days)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1A1A2E"/>
                <w:sz w:val="20"/>
                <w:szCs w:val="20"/>
              </w:rPr>
              <w:t xml:space="preserve">UAE Gazetted</w:t>
            </w:r>
          </w:p>
        </w:tc>
        <w:tc>
          <w:tcPr>
            <w:tcW w:type="dxa" w:w="21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1A1A2E"/>
                <w:sz w:val="20"/>
                <w:szCs w:val="20"/>
              </w:rPr>
              <w:t xml:space="preserve">As gazetted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Eid Al Adha (3 days)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UAE Gazetted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As gazetted</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1A1A2E"/>
                <w:sz w:val="20"/>
                <w:szCs w:val="20"/>
              </w:rPr>
              <w:t xml:space="preserve">Arafat Day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1A1A2E"/>
                <w:sz w:val="20"/>
                <w:szCs w:val="20"/>
              </w:rPr>
              <w:t xml:space="preserve">UAE Gazetted</w:t>
            </w:r>
          </w:p>
        </w:tc>
        <w:tc>
          <w:tcPr>
            <w:tcW w:type="dxa" w:w="21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1A1A2E"/>
                <w:sz w:val="20"/>
                <w:szCs w:val="20"/>
              </w:rPr>
              <w:t xml:space="preserve">As gazetted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Islamic New Year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UAE Gazetted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As gazetted</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1A1A2E"/>
                <w:sz w:val="20"/>
                <w:szCs w:val="20"/>
              </w:rPr>
              <w:t xml:space="preserve">Prophet's Birthday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1A1A2E"/>
                <w:sz w:val="20"/>
                <w:szCs w:val="20"/>
              </w:rPr>
              <w:t xml:space="preserve">UAE Gazetted</w:t>
            </w:r>
          </w:p>
        </w:tc>
        <w:tc>
          <w:tcPr>
            <w:tcW w:type="dxa" w:w="21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1A1A2E"/>
                <w:sz w:val="20"/>
                <w:szCs w:val="20"/>
              </w:rPr>
              <w:t xml:space="preserve">As gazetted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Commemoration Day — 1 December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UAE Gazetted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Yes</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1A1A2E"/>
                <w:sz w:val="20"/>
                <w:szCs w:val="20"/>
              </w:rPr>
              <w:t xml:space="preserve">UAE National Day — 2–3 December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1A1A2E"/>
                <w:sz w:val="20"/>
                <w:szCs w:val="20"/>
              </w:rPr>
              <w:t xml:space="preserve">UAE Gazetted</w:t>
            </w:r>
          </w:p>
        </w:tc>
        <w:tc>
          <w:tcPr>
            <w:tcW w:type="dxa" w:w="21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1A1A2E"/>
                <w:sz w:val="20"/>
                <w:szCs w:val="20"/>
              </w:rPr>
              <w:t xml:space="preserve">Yes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Christmas Day — 25 December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Novaris Discretionary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Yes — within same month</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1A1A2E"/>
                <w:sz w:val="20"/>
                <w:szCs w:val="20"/>
              </w:rPr>
              <w:t xml:space="preserve">Diwali — date varies annually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1A1A2E"/>
                <w:sz w:val="20"/>
                <w:szCs w:val="20"/>
              </w:rPr>
              <w:t xml:space="preserve">Novaris Discretionary</w:t>
            </w:r>
          </w:p>
        </w:tc>
        <w:tc>
          <w:tcPr>
            <w:tcW w:type="dxa" w:w="21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1A1A2E"/>
                <w:sz w:val="20"/>
                <w:szCs w:val="20"/>
              </w:rPr>
              <w:t xml:space="preserve">Yes — within same month</w:t>
            </w:r>
          </w:p>
        </w:tc>
      </w:tr>
    </w:tbl>
    <w:p>
      <w:pPr>
        <w:spacing w:after="60" w:before="0"/>
      </w:pPr>
      <w:r>
        <w:t xml:space="preserve"/>
      </w:r>
    </w:p>
    <w:p>
      <w:pPr>
        <w:pBdr>
          <w:left w:val="single" w:color="C2933A" w:sz="12" w:space="8"/>
        </w:pBdr>
        <w:spacing w:after="80" w:before="80"/>
        <w:ind w:left="360"/>
      </w:pPr>
      <w:r>
        <w:rPr>
          <w:rFonts w:ascii="Arial" w:cs="Arial" w:eastAsia="Arial" w:hAnsi="Arial"/>
          <w:i/>
          <w:iCs/>
          <w:color w:val="5A5A5A"/>
          <w:sz w:val="20"/>
          <w:szCs w:val="20"/>
        </w:rPr>
        <w:t xml:space="preserve">The exact dates of Islamic holidays are subject to moon sighting and will be confirmed annually by the UAE Cabinet. HR will communicate confirmed holiday dates to all employees as soon as they are officially announced.</w:t>
      </w:r>
    </w:p>
    <w:p>
      <w:pPr>
        <w:spacing w:after="100" w:before="60"/>
      </w:pPr>
      <w:r>
        <w:rPr>
          <w:rFonts w:ascii="Arial" w:cs="Arial" w:eastAsia="Arial" w:hAnsi="Arial"/>
          <w:color w:val="1A1A2E"/>
          <w:sz w:val="22"/>
          <w:szCs w:val="22"/>
        </w:rPr>
        <w:t xml:space="preserve">If a public holiday falls during an employee's approved annual leave, the day will not be counted as annual leave and the employee's leave balance will be credited accordingly.</w:t>
      </w:r>
    </w:p>
    <w:p>
      <w:pPr>
        <w:spacing w:after="100" w:before="60"/>
      </w:pPr>
      <w:r>
        <w:rPr>
          <w:rFonts w:ascii="Arial" w:cs="Arial" w:eastAsia="Arial" w:hAnsi="Arial"/>
          <w:color w:val="1A1A2E"/>
          <w:sz w:val="22"/>
          <w:szCs w:val="22"/>
        </w:rPr>
        <w:t xml:space="preserve">Where the Novaris discretionary holidays (Christmas Day or Diwali) fall on a weekend (Friday or Saturday), a substitute working day will be granted. The substitute day must be taken within the same calendar month.</w:t>
      </w:r>
    </w:p>
    <w:p>
      <w:pPr>
        <w:spacing w:after="120" w:before="0"/>
      </w:pPr>
      <w:r>
        <w:t xml:space="preserve"/>
      </w:r>
    </w:p>
    <w:p>
      <w:pPr>
        <w:pStyle w:val="Heading1"/>
        <w:pBdr>
          <w:bottom w:val="single" w:color="C2933A" w:sz="8" w:space="4"/>
        </w:pBdr>
        <w:spacing w:after="120" w:before="360"/>
      </w:pPr>
      <w:r>
        <w:rPr>
          <w:rFonts w:ascii="Arial" w:cs="Arial" w:eastAsia="Arial" w:hAnsi="Arial"/>
          <w:b/>
          <w:bCs/>
          <w:color w:val="0D1F35"/>
          <w:sz w:val="32"/>
          <w:szCs w:val="32"/>
        </w:rPr>
        <w:t xml:space="preserve">4. Sick Leave</w:t>
      </w:r>
    </w:p>
    <w:p>
      <w:pPr>
        <w:pStyle w:val="Heading2"/>
        <w:spacing w:after="80" w:before="280"/>
      </w:pPr>
      <w:r>
        <w:rPr>
          <w:rFonts w:ascii="Arial" w:cs="Arial" w:eastAsia="Arial" w:hAnsi="Arial"/>
          <w:b/>
          <w:bCs/>
          <w:color w:val="0D1F35"/>
          <w:sz w:val="26"/>
          <w:szCs w:val="26"/>
        </w:rPr>
        <w:t xml:space="preserve">4.1 Entitlement</w:t>
      </w:r>
    </w:p>
    <w:p>
      <w:pPr>
        <w:spacing w:after="100" w:before="60"/>
      </w:pPr>
      <w:r>
        <w:rPr>
          <w:rFonts w:ascii="Arial" w:cs="Arial" w:eastAsia="Arial" w:hAnsi="Arial"/>
          <w:color w:val="1A1A2E"/>
          <w:sz w:val="22"/>
          <w:szCs w:val="22"/>
        </w:rPr>
        <w:t xml:space="preserve">Employees who are unable to work due to illness or injury are entitled to sick leave in accordance with UAE Federal Decree-Law No. 33 of 2021. Sick leave entitlement per year is as follows: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D1F35" w:val="clear"/>
            <w:tcMar>
              <w:top w:type="dxa" w:w="80"/>
              <w:left w:type="dxa" w:w="160"/>
              <w:bottom w:type="dxa" w:w="80"/>
              <w:right w:type="dxa" w:w="160"/>
            </w:tcMar>
          </w:tcPr>
          <w:p>
            <w:r>
              <w:rPr>
                <w:rFonts w:ascii="Arial" w:cs="Arial" w:eastAsia="Arial" w:hAnsi="Arial"/>
                <w:b/>
                <w:bCs/>
                <w:color w:val="FFFFFF"/>
                <w:sz w:val="20"/>
                <w:szCs w:val="20"/>
              </w:rPr>
              <w:t xml:space="preserve">Period</w:t>
            </w:r>
          </w:p>
        </w:tc>
        <w:tc>
          <w:tcPr>
            <w:tcW w:type="dxa" w:w="4680"/>
            <w:tcBorders>
              <w:top w:val="single" w:color="CCCCCC" w:sz="1"/>
              <w:left w:val="single" w:color="CCCCCC" w:sz="1"/>
              <w:bottom w:val="single" w:color="CCCCCC" w:sz="1"/>
              <w:right w:val="single" w:color="CCCCCC" w:sz="1"/>
            </w:tcBorders>
            <w:shd w:fill="0D1F35" w:val="clear"/>
            <w:tcMar>
              <w:top w:type="dxa" w:w="80"/>
              <w:left w:type="dxa" w:w="160"/>
              <w:bottom w:type="dxa" w:w="80"/>
              <w:right w:type="dxa" w:w="160"/>
            </w:tcMar>
          </w:tcPr>
          <w:p>
            <w:r>
              <w:rPr>
                <w:rFonts w:ascii="Arial" w:cs="Arial" w:eastAsia="Arial" w:hAnsi="Arial"/>
                <w:b/>
                <w:bCs/>
                <w:color w:val="FFFFFF"/>
                <w:sz w:val="20"/>
                <w:szCs w:val="20"/>
              </w:rPr>
              <w:t xml:space="preserve">Pay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First 15 calendar days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Full pay</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1A1A2E"/>
                <w:sz w:val="20"/>
                <w:szCs w:val="20"/>
              </w:rPr>
              <w:t xml:space="preserve">Days 16 to 45</w:t>
            </w:r>
          </w:p>
        </w:tc>
        <w:tc>
          <w:tcPr>
            <w:tcW w:type="dxa" w:w="468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1A1A2E"/>
                <w:sz w:val="20"/>
                <w:szCs w:val="20"/>
              </w:rPr>
              <w:t xml:space="preserve">Half pay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Days 46 to 90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Unpaid</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1A1A2E"/>
                <w:sz w:val="20"/>
                <w:szCs w:val="20"/>
              </w:rPr>
              <w:t xml:space="preserve">Beyond 90 days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1A1A2E"/>
                <w:sz w:val="20"/>
                <w:szCs w:val="20"/>
              </w:rPr>
              <w:t xml:space="preserve">Company may initiate separation in accordance with UAE Labour Law</w:t>
            </w:r>
          </w:p>
        </w:tc>
      </w:tr>
    </w:tbl>
    <w:p>
      <w:pPr>
        <w:spacing w:after="60" w:before="0"/>
      </w:pPr>
      <w:r>
        <w:t xml:space="preserve"/>
      </w:r>
    </w:p>
    <w:p>
      <w:pPr>
        <w:pBdr>
          <w:left w:val="single" w:color="C2933A" w:sz="12" w:space="8"/>
        </w:pBdr>
        <w:spacing w:after="80" w:before="80"/>
        <w:ind w:left="360"/>
      </w:pPr>
      <w:r>
        <w:rPr>
          <w:rFonts w:ascii="Arial" w:cs="Arial" w:eastAsia="Arial" w:hAnsi="Arial"/>
          <w:i/>
          <w:iCs/>
          <w:color w:val="5A5A5A"/>
          <w:sz w:val="20"/>
          <w:szCs w:val="20"/>
        </w:rPr>
        <w:t xml:space="preserve">Sick leave during the probation period is unpaid unless the Company exercises discretion otherwise.</w:t>
      </w:r>
    </w:p>
    <w:p>
      <w:pPr>
        <w:pStyle w:val="Heading2"/>
        <w:spacing w:after="80" w:before="280"/>
      </w:pPr>
      <w:r>
        <w:rPr>
          <w:rFonts w:ascii="Arial" w:cs="Arial" w:eastAsia="Arial" w:hAnsi="Arial"/>
          <w:b/>
          <w:bCs/>
          <w:color w:val="0D1F35"/>
          <w:sz w:val="26"/>
          <w:szCs w:val="26"/>
        </w:rPr>
        <w:t xml:space="preserve">4.2 Notification and Documentation</w:t>
      </w:r>
    </w:p>
    <w:p>
      <w:pPr>
        <w:spacing w:after="100" w:before="60"/>
      </w:pPr>
      <w:r>
        <w:rPr>
          <w:rFonts w:ascii="Arial" w:cs="Arial" w:eastAsia="Arial" w:hAnsi="Arial"/>
          <w:color w:val="1A1A2E"/>
          <w:sz w:val="22"/>
          <w:szCs w:val="22"/>
        </w:rPr>
        <w:t xml:space="preserve">Employees must notify their line manager as early as possible on the first day of absence — and no later than the start of their working hours. Notification by message is acceptable but must be followed by a conversation with the manager at the earliest opportunity.</w:t>
      </w:r>
    </w:p>
    <w:p>
      <w:pPr>
        <w:spacing w:after="100" w:before="60"/>
      </w:pPr>
      <w:r>
        <w:rPr>
          <w:rFonts w:ascii="Arial" w:cs="Arial" w:eastAsia="Arial" w:hAnsi="Arial"/>
          <w:color w:val="1A1A2E"/>
          <w:sz w:val="22"/>
          <w:szCs w:val="22"/>
        </w:rPr>
        <w:t xml:space="preserve">The following documentation applies:</w:t>
      </w:r>
    </w:p>
    <w:p>
      <w:pPr>
        <w:pStyle w:val="ListParagraph"/>
        <w:numPr>
          <w:ilvl w:val="0"/>
          <w:numId w:val="2"/>
        </w:numPr>
        <w:spacing w:after="40" w:before="40"/>
      </w:pPr>
      <w:r>
        <w:rPr>
          <w:rFonts w:ascii="Arial" w:cs="Arial" w:eastAsia="Arial" w:hAnsi="Arial"/>
          <w:b w:val="false"/>
          <w:bCs w:val="false"/>
          <w:color w:val="1A1A2E"/>
          <w:sz w:val="22"/>
          <w:szCs w:val="22"/>
        </w:rPr>
        <w:t xml:space="preserve">For absences of one (1) day: self-certification is acceptable on return to work</w:t>
      </w:r>
    </w:p>
    <w:p>
      <w:pPr>
        <w:pStyle w:val="ListParagraph"/>
        <w:numPr>
          <w:ilvl w:val="0"/>
          <w:numId w:val="2"/>
        </w:numPr>
        <w:spacing w:after="40" w:before="40"/>
      </w:pPr>
      <w:r>
        <w:rPr>
          <w:rFonts w:ascii="Arial" w:cs="Arial" w:eastAsia="Arial" w:hAnsi="Arial"/>
          <w:b w:val="false"/>
          <w:bCs w:val="false"/>
          <w:color w:val="1A1A2E"/>
          <w:sz w:val="22"/>
          <w:szCs w:val="22"/>
        </w:rPr>
        <w:t xml:space="preserve">For absences of two (2) or more consecutive days: a valid medical certificate from a DHA-licensed medical facility is required</w:t>
      </w:r>
    </w:p>
    <w:p>
      <w:pPr>
        <w:pStyle w:val="ListParagraph"/>
        <w:numPr>
          <w:ilvl w:val="0"/>
          <w:numId w:val="2"/>
        </w:numPr>
        <w:spacing w:after="40" w:before="40"/>
      </w:pPr>
      <w:r>
        <w:rPr>
          <w:rFonts w:ascii="Arial" w:cs="Arial" w:eastAsia="Arial" w:hAnsi="Arial"/>
          <w:b w:val="false"/>
          <w:bCs w:val="false"/>
          <w:color w:val="1A1A2E"/>
          <w:sz w:val="22"/>
          <w:szCs w:val="22"/>
        </w:rPr>
        <w:t xml:space="preserve">For absences of five (5) or more consecutive days: HR must be notified and a detailed medical report may be requested</w:t>
      </w:r>
    </w:p>
    <w:p>
      <w:pPr>
        <w:spacing w:after="100" w:before="60"/>
      </w:pPr>
      <w:r>
        <w:rPr>
          <w:rFonts w:ascii="Arial" w:cs="Arial" w:eastAsia="Arial" w:hAnsi="Arial"/>
          <w:color w:val="1A1A2E"/>
          <w:sz w:val="22"/>
          <w:szCs w:val="22"/>
        </w:rPr>
        <w:t xml:space="preserve">Failure to provide required documentation may result in the absence being treated as unauthorised and unpaid.</w:t>
      </w:r>
    </w:p>
    <w:p>
      <w:pPr>
        <w:pStyle w:val="Heading2"/>
        <w:spacing w:after="80" w:before="280"/>
      </w:pPr>
      <w:r>
        <w:rPr>
          <w:rFonts w:ascii="Arial" w:cs="Arial" w:eastAsia="Arial" w:hAnsi="Arial"/>
          <w:b/>
          <w:bCs/>
          <w:color w:val="0D1F35"/>
          <w:sz w:val="26"/>
          <w:szCs w:val="26"/>
        </w:rPr>
        <w:t xml:space="preserve">4.3 Sick Leave and Annual Leave</w:t>
      </w:r>
    </w:p>
    <w:p>
      <w:pPr>
        <w:spacing w:after="100" w:before="60"/>
      </w:pPr>
      <w:r>
        <w:rPr>
          <w:rFonts w:ascii="Arial" w:cs="Arial" w:eastAsia="Arial" w:hAnsi="Arial"/>
          <w:color w:val="1A1A2E"/>
          <w:sz w:val="22"/>
          <w:szCs w:val="22"/>
        </w:rPr>
        <w:t xml:space="preserve">Sick leave that occurs during a period of approved annual leave will be reclassified as sick leave, provided the employee submits a valid medical certificate covering the period of illness. The corresponding annual leave days will be reinstated to the employee's balance.</w:t>
      </w:r>
    </w:p>
    <w:p>
      <w:pPr>
        <w:pStyle w:val="Heading2"/>
        <w:spacing w:after="80" w:before="280"/>
      </w:pPr>
      <w:r>
        <w:rPr>
          <w:rFonts w:ascii="Arial" w:cs="Arial" w:eastAsia="Arial" w:hAnsi="Arial"/>
          <w:b/>
          <w:bCs/>
          <w:color w:val="0D1F35"/>
          <w:sz w:val="26"/>
          <w:szCs w:val="26"/>
        </w:rPr>
        <w:t xml:space="preserve">4.4 Repeated Short-Term Absence</w:t>
      </w:r>
    </w:p>
    <w:p>
      <w:pPr>
        <w:spacing w:after="100" w:before="60"/>
      </w:pPr>
      <w:r>
        <w:rPr>
          <w:rFonts w:ascii="Arial" w:cs="Arial" w:eastAsia="Arial" w:hAnsi="Arial"/>
          <w:color w:val="1A1A2E"/>
          <w:sz w:val="22"/>
          <w:szCs w:val="22"/>
        </w:rPr>
        <w:t xml:space="preserve">Where a pattern of repeated short-term sick leave is identified — for example, regular absences on Mondays or Fridays or immediately before or after public holidays — HR may require the employee to provide medical documentation for each absence and may initiate a formal attendance review meeting.</w:t>
      </w:r>
    </w:p>
    <w:p>
      <w:pPr>
        <w:spacing w:after="120" w:before="0"/>
      </w:pPr>
      <w:r>
        <w:t xml:space="preserve"/>
      </w:r>
    </w:p>
    <w:p>
      <w:pPr>
        <w:pStyle w:val="Heading1"/>
        <w:pBdr>
          <w:bottom w:val="single" w:color="C2933A" w:sz="8" w:space="4"/>
        </w:pBdr>
        <w:spacing w:after="120" w:before="360"/>
      </w:pPr>
      <w:r>
        <w:rPr>
          <w:rFonts w:ascii="Arial" w:cs="Arial" w:eastAsia="Arial" w:hAnsi="Arial"/>
          <w:b/>
          <w:bCs/>
          <w:color w:val="0D1F35"/>
          <w:sz w:val="32"/>
          <w:szCs w:val="32"/>
        </w:rPr>
        <w:t xml:space="preserve">5. Maternity Leave</w:t>
      </w:r>
    </w:p>
    <w:p>
      <w:pPr>
        <w:pStyle w:val="Heading2"/>
        <w:spacing w:after="80" w:before="280"/>
      </w:pPr>
      <w:r>
        <w:rPr>
          <w:rFonts w:ascii="Arial" w:cs="Arial" w:eastAsia="Arial" w:hAnsi="Arial"/>
          <w:b/>
          <w:bCs/>
          <w:color w:val="0D1F35"/>
          <w:sz w:val="26"/>
          <w:szCs w:val="26"/>
        </w:rPr>
        <w:t xml:space="preserve">5.1 Entitlement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Total entitlement</w:t>
            </w:r>
          </w:p>
        </w:tc>
        <w:tc>
          <w:tcPr>
            <w:tcW w:type="dxa" w:w="6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60 calendar days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First 45 days</w:t>
            </w:r>
          </w:p>
        </w:tc>
        <w:tc>
          <w:tcPr>
            <w:tcW w:type="dxa" w:w="6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Full pay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Days 46 to 60</w:t>
            </w:r>
          </w:p>
        </w:tc>
        <w:tc>
          <w:tcPr>
            <w:tcW w:type="dxa" w:w="6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Half pay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Earliest start</w:t>
            </w:r>
          </w:p>
        </w:tc>
        <w:tc>
          <w:tcPr>
            <w:tcW w:type="dxa" w:w="6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Leave may begin up to 30 days before the expected date of delivery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Extended unpaid leave</w:t>
            </w:r>
          </w:p>
        </w:tc>
        <w:tc>
          <w:tcPr>
            <w:tcW w:type="dxa" w:w="6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Up to 45 additional calendar days (unpaid) may be requested on medical grounds post-delivery</w:t>
            </w:r>
          </w:p>
        </w:tc>
      </w:tr>
    </w:tbl>
    <w:p>
      <w:pPr>
        <w:pStyle w:val="Heading2"/>
        <w:spacing w:after="80" w:before="280"/>
      </w:pPr>
      <w:r>
        <w:rPr>
          <w:rFonts w:ascii="Arial" w:cs="Arial" w:eastAsia="Arial" w:hAnsi="Arial"/>
          <w:b/>
          <w:bCs/>
          <w:color w:val="0D1F35"/>
          <w:sz w:val="26"/>
          <w:szCs w:val="26"/>
        </w:rPr>
        <w:t xml:space="preserve">5.2 Notification and Documentation</w:t>
      </w:r>
    </w:p>
    <w:p>
      <w:pPr>
        <w:pStyle w:val="ListParagraph"/>
        <w:numPr>
          <w:ilvl w:val="0"/>
          <w:numId w:val="2"/>
        </w:numPr>
        <w:spacing w:after="40" w:before="40"/>
      </w:pPr>
      <w:r>
        <w:rPr>
          <w:rFonts w:ascii="Arial" w:cs="Arial" w:eastAsia="Arial" w:hAnsi="Arial"/>
          <w:b w:val="false"/>
          <w:bCs w:val="false"/>
          <w:color w:val="1A1A2E"/>
          <w:sz w:val="22"/>
          <w:szCs w:val="22"/>
        </w:rPr>
        <w:t xml:space="preserve">Employees should notify HR and their line manager of their pregnancy as early as reasonably practicable</w:t>
      </w:r>
    </w:p>
    <w:p>
      <w:pPr>
        <w:pStyle w:val="ListParagraph"/>
        <w:numPr>
          <w:ilvl w:val="0"/>
          <w:numId w:val="2"/>
        </w:numPr>
        <w:spacing w:after="40" w:before="40"/>
      </w:pPr>
      <w:r>
        <w:rPr>
          <w:rFonts w:ascii="Arial" w:cs="Arial" w:eastAsia="Arial" w:hAnsi="Arial"/>
          <w:b w:val="false"/>
          <w:bCs w:val="false"/>
          <w:color w:val="1A1A2E"/>
          <w:sz w:val="22"/>
          <w:szCs w:val="22"/>
        </w:rPr>
        <w:t xml:space="preserve">A formal maternity leave request must be submitted to HR at least four (4) weeks before the intended start date</w:t>
      </w:r>
    </w:p>
    <w:p>
      <w:pPr>
        <w:pStyle w:val="ListParagraph"/>
        <w:numPr>
          <w:ilvl w:val="0"/>
          <w:numId w:val="2"/>
        </w:numPr>
        <w:spacing w:after="40" w:before="40"/>
      </w:pPr>
      <w:r>
        <w:rPr>
          <w:rFonts w:ascii="Arial" w:cs="Arial" w:eastAsia="Arial" w:hAnsi="Arial"/>
          <w:b w:val="false"/>
          <w:bCs w:val="false"/>
          <w:color w:val="1A1A2E"/>
          <w:sz w:val="22"/>
          <w:szCs w:val="22"/>
        </w:rPr>
        <w:t xml:space="preserve">A medical certificate confirming the expected delivery date is required</w:t>
      </w:r>
    </w:p>
    <w:p>
      <w:pPr>
        <w:pStyle w:val="ListParagraph"/>
        <w:numPr>
          <w:ilvl w:val="0"/>
          <w:numId w:val="2"/>
        </w:numPr>
        <w:spacing w:after="40" w:before="40"/>
      </w:pPr>
      <w:r>
        <w:rPr>
          <w:rFonts w:ascii="Arial" w:cs="Arial" w:eastAsia="Arial" w:hAnsi="Arial"/>
          <w:b w:val="false"/>
          <w:bCs w:val="false"/>
          <w:color w:val="1A1A2E"/>
          <w:sz w:val="22"/>
          <w:szCs w:val="22"/>
        </w:rPr>
        <w:t xml:space="preserve">Following delivery, the birth certificate must be submitted to HR within 30 days</w:t>
      </w:r>
    </w:p>
    <w:p>
      <w:pPr>
        <w:pStyle w:val="Heading2"/>
        <w:spacing w:after="80" w:before="280"/>
      </w:pPr>
      <w:r>
        <w:rPr>
          <w:rFonts w:ascii="Arial" w:cs="Arial" w:eastAsia="Arial" w:hAnsi="Arial"/>
          <w:b/>
          <w:bCs/>
          <w:color w:val="0D1F35"/>
          <w:sz w:val="26"/>
          <w:szCs w:val="26"/>
        </w:rPr>
        <w:t xml:space="preserve">5.3 Return to Work</w:t>
      </w:r>
    </w:p>
    <w:p>
      <w:pPr>
        <w:spacing w:after="100" w:before="60"/>
      </w:pPr>
      <w:r>
        <w:rPr>
          <w:rFonts w:ascii="Arial" w:cs="Arial" w:eastAsia="Arial" w:hAnsi="Arial"/>
          <w:color w:val="1A1A2E"/>
          <w:sz w:val="22"/>
          <w:szCs w:val="22"/>
        </w:rPr>
        <w:t xml:space="preserve">Employees returning from maternity leave are entitled to return to the same role or a role of equivalent grade and compensation. HR will confirm the return-to-work date in writing before the end of the leave period.</w:t>
      </w:r>
    </w:p>
    <w:p>
      <w:pPr>
        <w:spacing w:after="100" w:before="60"/>
      </w:pPr>
      <w:r>
        <w:rPr>
          <w:rFonts w:ascii="Arial" w:cs="Arial" w:eastAsia="Arial" w:hAnsi="Arial"/>
          <w:color w:val="1A1A2E"/>
          <w:sz w:val="22"/>
          <w:szCs w:val="22"/>
        </w:rPr>
        <w:t xml:space="preserve">Nursing mothers are entitled to two (2) nursing breaks per day of thirty (30) minutes each for a period of up to six (6) months following delivery, in accordance with UAE Labour Law.</w:t>
      </w:r>
    </w:p>
    <w:p>
      <w:pPr>
        <w:spacing w:after="120" w:before="0"/>
      </w:pPr>
      <w:r>
        <w:t xml:space="preserve"/>
      </w:r>
    </w:p>
    <w:p>
      <w:pPr>
        <w:pStyle w:val="Heading1"/>
        <w:pBdr>
          <w:bottom w:val="single" w:color="C2933A" w:sz="8" w:space="4"/>
        </w:pBdr>
        <w:spacing w:after="120" w:before="360"/>
      </w:pPr>
      <w:r>
        <w:rPr>
          <w:rFonts w:ascii="Arial" w:cs="Arial" w:eastAsia="Arial" w:hAnsi="Arial"/>
          <w:b/>
          <w:bCs/>
          <w:color w:val="0D1F35"/>
          <w:sz w:val="32"/>
          <w:szCs w:val="32"/>
        </w:rPr>
        <w:t xml:space="preserve">6. Paternity Leave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Entitlement</w:t>
            </w:r>
          </w:p>
        </w:tc>
        <w:tc>
          <w:tcPr>
            <w:tcW w:type="dxa" w:w="6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5 working days at full pay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Eligibility</w:t>
            </w:r>
          </w:p>
        </w:tc>
        <w:tc>
          <w:tcPr>
            <w:tcW w:type="dxa" w:w="6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Must be taken within one (1) calendar month of the child's date of birth</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Documentation</w:t>
            </w:r>
          </w:p>
        </w:tc>
        <w:tc>
          <w:tcPr>
            <w:tcW w:type="dxa" w:w="6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Birth certificate must be submitted to HR within 30 days of the child's birth</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Adoption</w:t>
            </w:r>
          </w:p>
        </w:tc>
        <w:tc>
          <w:tcPr>
            <w:tcW w:type="dxa" w:w="6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Paternity leave does not currently apply to adoption. HR should be contacted separately for adoption-related leave requests.</w:t>
            </w:r>
          </w:p>
        </w:tc>
      </w:tr>
    </w:tbl>
    <w:p>
      <w:pPr>
        <w:spacing w:after="120" w:before="0"/>
      </w:pPr>
      <w:r>
        <w:t xml:space="preserve"/>
      </w:r>
    </w:p>
    <w:p>
      <w:pPr>
        <w:pStyle w:val="Heading1"/>
        <w:pBdr>
          <w:bottom w:val="single" w:color="C2933A" w:sz="8" w:space="4"/>
        </w:pBdr>
        <w:spacing w:after="120" w:before="360"/>
      </w:pPr>
      <w:r>
        <w:rPr>
          <w:rFonts w:ascii="Arial" w:cs="Arial" w:eastAsia="Arial" w:hAnsi="Arial"/>
          <w:b/>
          <w:bCs/>
          <w:color w:val="0D1F35"/>
          <w:sz w:val="32"/>
          <w:szCs w:val="32"/>
        </w:rPr>
        <w:t xml:space="preserve">7. Other Leave Types</w:t>
      </w:r>
    </w:p>
    <w:p>
      <w:pPr>
        <w:pStyle w:val="Heading2"/>
        <w:spacing w:after="80" w:before="280"/>
      </w:pPr>
      <w:r>
        <w:rPr>
          <w:rFonts w:ascii="Arial" w:cs="Arial" w:eastAsia="Arial" w:hAnsi="Arial"/>
          <w:b/>
          <w:bCs/>
          <w:color w:val="0D1F35"/>
          <w:sz w:val="26"/>
          <w:szCs w:val="26"/>
        </w:rPr>
        <w:t xml:space="preserve">7.1 Bereavement Leave</w:t>
      </w:r>
    </w:p>
    <w:p>
      <w:pPr>
        <w:spacing w:after="100" w:before="60"/>
      </w:pPr>
      <w:r>
        <w:rPr>
          <w:rFonts w:ascii="Arial" w:cs="Arial" w:eastAsia="Arial" w:hAnsi="Arial"/>
          <w:color w:val="1A1A2E"/>
          <w:sz w:val="22"/>
          <w:szCs w:val="22"/>
        </w:rPr>
        <w:t xml:space="preserve">In the event of the death of an immediate family member, employees are entitled to the following paid bereavement leave:</w:t>
      </w:r>
    </w:p>
    <w:p>
      <w:pPr>
        <w:pStyle w:val="ListParagraph"/>
        <w:numPr>
          <w:ilvl w:val="0"/>
          <w:numId w:val="2"/>
        </w:numPr>
        <w:spacing w:after="40" w:before="40"/>
      </w:pPr>
      <w:r>
        <w:rPr>
          <w:rFonts w:ascii="Arial" w:cs="Arial" w:eastAsia="Arial" w:hAnsi="Arial"/>
          <w:b w:val="false"/>
          <w:bCs w:val="false"/>
          <w:color w:val="1A1A2E"/>
          <w:sz w:val="22"/>
          <w:szCs w:val="22"/>
        </w:rPr>
        <w:t xml:space="preserve">5 working days for the death of a spouse, child, or parent</w:t>
      </w:r>
    </w:p>
    <w:p>
      <w:pPr>
        <w:pStyle w:val="ListParagraph"/>
        <w:numPr>
          <w:ilvl w:val="0"/>
          <w:numId w:val="2"/>
        </w:numPr>
        <w:spacing w:after="40" w:before="40"/>
      </w:pPr>
      <w:r>
        <w:rPr>
          <w:rFonts w:ascii="Arial" w:cs="Arial" w:eastAsia="Arial" w:hAnsi="Arial"/>
          <w:b w:val="false"/>
          <w:bCs w:val="false"/>
          <w:color w:val="1A1A2E"/>
          <w:sz w:val="22"/>
          <w:szCs w:val="22"/>
        </w:rPr>
        <w:t xml:space="preserve">3 working days for the death of a sibling, grandparent, or parent-in-law</w:t>
      </w:r>
    </w:p>
    <w:p>
      <w:pPr>
        <w:spacing w:after="100" w:before="60"/>
      </w:pPr>
      <w:r>
        <w:rPr>
          <w:rFonts w:ascii="Arial" w:cs="Arial" w:eastAsia="Arial" w:hAnsi="Arial"/>
          <w:color w:val="1A1A2E"/>
          <w:sz w:val="22"/>
          <w:szCs w:val="22"/>
        </w:rPr>
        <w:t xml:space="preserve">Bereavement leave must be taken consecutively and as close to the date of death as possible. A death certificate or equivalent documentation must be submitted to HR upon return.</w:t>
      </w:r>
    </w:p>
    <w:p>
      <w:pPr>
        <w:pStyle w:val="Heading2"/>
        <w:spacing w:after="80" w:before="280"/>
      </w:pPr>
      <w:r>
        <w:rPr>
          <w:rFonts w:ascii="Arial" w:cs="Arial" w:eastAsia="Arial" w:hAnsi="Arial"/>
          <w:b/>
          <w:bCs/>
          <w:color w:val="0D1F35"/>
          <w:sz w:val="26"/>
          <w:szCs w:val="26"/>
        </w:rPr>
        <w:t xml:space="preserve">7.2 Hajj Leave</w:t>
      </w:r>
    </w:p>
    <w:p>
      <w:pPr>
        <w:spacing w:after="100" w:before="60"/>
      </w:pPr>
      <w:r>
        <w:rPr>
          <w:rFonts w:ascii="Arial" w:cs="Arial" w:eastAsia="Arial" w:hAnsi="Arial"/>
          <w:color w:val="1A1A2E"/>
          <w:sz w:val="22"/>
          <w:szCs w:val="22"/>
        </w:rPr>
        <w:t xml:space="preserve">Muslim employees are entitled to unpaid leave of up to thirty (30) days once during their employment with Novaris Solutions to perform the Hajj pilgrimage, in accordance with UAE Labour Law. This leave may only be granted once in the employee's tenure.</w:t>
      </w:r>
    </w:p>
    <w:p>
      <w:pPr>
        <w:pStyle w:val="Heading2"/>
        <w:spacing w:after="80" w:before="280"/>
      </w:pPr>
      <w:r>
        <w:rPr>
          <w:rFonts w:ascii="Arial" w:cs="Arial" w:eastAsia="Arial" w:hAnsi="Arial"/>
          <w:b/>
          <w:bCs/>
          <w:color w:val="0D1F35"/>
          <w:sz w:val="26"/>
          <w:szCs w:val="26"/>
        </w:rPr>
        <w:t xml:space="preserve">7.3 Study and Exam Leave</w:t>
      </w:r>
    </w:p>
    <w:p>
      <w:pPr>
        <w:spacing w:after="100" w:before="60"/>
      </w:pPr>
      <w:r>
        <w:rPr>
          <w:rFonts w:ascii="Arial" w:cs="Arial" w:eastAsia="Arial" w:hAnsi="Arial"/>
          <w:color w:val="1A1A2E"/>
          <w:sz w:val="22"/>
          <w:szCs w:val="22"/>
        </w:rPr>
        <w:t xml:space="preserve">Employees enrolled in approved professional development programmes or formal qualifications relevant to their role may apply for up to five (5) working days of paid study or exam leave per year. Approval is at the discretion of the line manager and HR and must be supported by documentation from the educational institution.</w:t>
      </w:r>
    </w:p>
    <w:p>
      <w:pPr>
        <w:pStyle w:val="Heading2"/>
        <w:spacing w:after="80" w:before="280"/>
      </w:pPr>
      <w:r>
        <w:rPr>
          <w:rFonts w:ascii="Arial" w:cs="Arial" w:eastAsia="Arial" w:hAnsi="Arial"/>
          <w:b/>
          <w:bCs/>
          <w:color w:val="0D1F35"/>
          <w:sz w:val="26"/>
          <w:szCs w:val="26"/>
        </w:rPr>
        <w:t xml:space="preserve">7.4 Unpaid Leave</w:t>
      </w:r>
    </w:p>
    <w:p>
      <w:pPr>
        <w:spacing w:after="100" w:before="60"/>
      </w:pPr>
      <w:r>
        <w:rPr>
          <w:rFonts w:ascii="Arial" w:cs="Arial" w:eastAsia="Arial" w:hAnsi="Arial"/>
          <w:color w:val="1A1A2E"/>
          <w:sz w:val="22"/>
          <w:szCs w:val="22"/>
        </w:rPr>
        <w:t xml:space="preserve">Employees may apply for unpaid leave for personal reasons. Unpaid leave is not a contractual entitlement and is granted entirely at the Company's discretion, subject to business needs. Requests must be submitted in writing to HR with at least four (4) weeks' notice and require approval from both the line manager and the HR Director.</w:t>
      </w:r>
    </w:p>
    <w:p>
      <w:pPr>
        <w:pBdr>
          <w:left w:val="single" w:color="C2933A" w:sz="12" w:space="8"/>
        </w:pBdr>
        <w:spacing w:after="80" w:before="80"/>
        <w:ind w:left="360"/>
      </w:pPr>
      <w:r>
        <w:rPr>
          <w:rFonts w:ascii="Arial" w:cs="Arial" w:eastAsia="Arial" w:hAnsi="Arial"/>
          <w:i/>
          <w:iCs/>
          <w:color w:val="5A5A5A"/>
          <w:sz w:val="20"/>
          <w:szCs w:val="20"/>
        </w:rPr>
        <w:t xml:space="preserve">Periods of unpaid leave do not count toward service for the purposes of EOSG or annual leave accrual.</w:t>
      </w:r>
    </w:p>
    <w:p>
      <w:pPr>
        <w:spacing w:after="120" w:before="0"/>
      </w:pPr>
      <w:r>
        <w:t xml:space="preserve"/>
      </w:r>
    </w:p>
    <w:p>
      <w:pPr>
        <w:pStyle w:val="Heading1"/>
        <w:pBdr>
          <w:bottom w:val="single" w:color="C2933A" w:sz="8" w:space="4"/>
        </w:pBdr>
        <w:spacing w:after="120" w:before="360"/>
      </w:pPr>
      <w:r>
        <w:rPr>
          <w:rFonts w:ascii="Arial" w:cs="Arial" w:eastAsia="Arial" w:hAnsi="Arial"/>
          <w:b/>
          <w:bCs/>
          <w:color w:val="0D1F35"/>
          <w:sz w:val="32"/>
          <w:szCs w:val="32"/>
        </w:rPr>
        <w:t xml:space="preserve">8. Attendance and Punctuality</w:t>
      </w:r>
    </w:p>
    <w:p>
      <w:pPr>
        <w:pStyle w:val="Heading2"/>
        <w:spacing w:after="80" w:before="280"/>
      </w:pPr>
      <w:r>
        <w:rPr>
          <w:rFonts w:ascii="Arial" w:cs="Arial" w:eastAsia="Arial" w:hAnsi="Arial"/>
          <w:b/>
          <w:bCs/>
          <w:color w:val="0D1F35"/>
          <w:sz w:val="26"/>
          <w:szCs w:val="26"/>
        </w:rPr>
        <w:t xml:space="preserve">8.1 Attendance Expectations</w:t>
      </w:r>
    </w:p>
    <w:p>
      <w:pPr>
        <w:spacing w:after="100" w:before="60"/>
      </w:pPr>
      <w:r>
        <w:rPr>
          <w:rFonts w:ascii="Arial" w:cs="Arial" w:eastAsia="Arial" w:hAnsi="Arial"/>
          <w:color w:val="1A1A2E"/>
          <w:sz w:val="22"/>
          <w:szCs w:val="22"/>
        </w:rPr>
        <w:t xml:space="preserve">Employees are expected to be at their place of work — whether the office, a client site, or a defined remote location — and fully available during core working hours of 10:00 AM to 4:00 PM, Monday to Friday.</w:t>
      </w:r>
    </w:p>
    <w:p>
      <w:pPr>
        <w:spacing w:after="100" w:before="60"/>
      </w:pPr>
      <w:r>
        <w:rPr>
          <w:rFonts w:ascii="Arial" w:cs="Arial" w:eastAsia="Arial" w:hAnsi="Arial"/>
          <w:color w:val="1A1A2E"/>
          <w:sz w:val="22"/>
          <w:szCs w:val="22"/>
        </w:rPr>
        <w:t xml:space="preserve">Consistent attendance and punctuality are essential to delivering the standards Novaris Solutions and its clients expect. Where personal circumstances affect an employee's ability to attend regularly, the employee should speak with their line manager or HR at the earliest opportunity.</w:t>
      </w:r>
    </w:p>
    <w:p>
      <w:pPr>
        <w:pStyle w:val="Heading2"/>
        <w:spacing w:after="80" w:before="280"/>
      </w:pPr>
      <w:r>
        <w:rPr>
          <w:rFonts w:ascii="Arial" w:cs="Arial" w:eastAsia="Arial" w:hAnsi="Arial"/>
          <w:b/>
          <w:bCs/>
          <w:color w:val="0D1F35"/>
          <w:sz w:val="26"/>
          <w:szCs w:val="26"/>
        </w:rPr>
        <w:t xml:space="preserve">8.2 Unauthorised Absence</w:t>
      </w:r>
    </w:p>
    <w:p>
      <w:pPr>
        <w:spacing w:after="100" w:before="60"/>
      </w:pPr>
      <w:r>
        <w:rPr>
          <w:rFonts w:ascii="Arial" w:cs="Arial" w:eastAsia="Arial" w:hAnsi="Arial"/>
          <w:color w:val="1A1A2E"/>
          <w:sz w:val="22"/>
          <w:szCs w:val="22"/>
        </w:rPr>
        <w:t xml:space="preserve">Absence without prior approval or without following the notification procedure in this policy is considered unauthorised. Unauthorised absence is unpaid and may be subject to disciplinary action under the Novaris Solutions Grievance and Disciplinary Policy.</w:t>
      </w:r>
    </w:p>
    <w:p>
      <w:pPr>
        <w:spacing w:after="100" w:before="60"/>
      </w:pPr>
      <w:r>
        <w:rPr>
          <w:rFonts w:ascii="Arial" w:cs="Arial" w:eastAsia="Arial" w:hAnsi="Arial"/>
          <w:color w:val="1A1A2E"/>
          <w:sz w:val="22"/>
          <w:szCs w:val="22"/>
        </w:rPr>
        <w:t xml:space="preserve">If an employee fails to report to work and cannot be contacted for three (3) or more consecutive working days without explanation, the Company may treat this as a resignation or initiate separation proceedings in accordance with UAE Labour Law.</w:t>
      </w:r>
    </w:p>
    <w:p>
      <w:pPr>
        <w:pStyle w:val="Heading2"/>
        <w:spacing w:after="80" w:before="280"/>
      </w:pPr>
      <w:r>
        <w:rPr>
          <w:rFonts w:ascii="Arial" w:cs="Arial" w:eastAsia="Arial" w:hAnsi="Arial"/>
          <w:b/>
          <w:bCs/>
          <w:color w:val="0D1F35"/>
          <w:sz w:val="26"/>
          <w:szCs w:val="26"/>
        </w:rPr>
        <w:t xml:space="preserve">8.3 Lateness and Early Departure</w:t>
      </w:r>
    </w:p>
    <w:p>
      <w:pPr>
        <w:spacing w:after="100" w:before="60"/>
      </w:pPr>
      <w:r>
        <w:rPr>
          <w:rFonts w:ascii="Arial" w:cs="Arial" w:eastAsia="Arial" w:hAnsi="Arial"/>
          <w:color w:val="1A1A2E"/>
          <w:sz w:val="22"/>
          <w:szCs w:val="22"/>
        </w:rPr>
        <w:t xml:space="preserve">Given the flexitime arrangement at Novaris Solutions, employees have significant flexibility in their start and finish times outside of core hours. Repeated failure to be available during core hours, however, will be treated as a conduct matter and managed accordingly.</w:t>
      </w:r>
    </w:p>
    <w:p>
      <w:pPr>
        <w:spacing w:after="120" w:before="0"/>
      </w:pPr>
      <w:r>
        <w:t xml:space="preserve"/>
      </w:r>
    </w:p>
    <w:p>
      <w:pPr>
        <w:pStyle w:val="Heading1"/>
        <w:pBdr>
          <w:bottom w:val="single" w:color="C2933A" w:sz="8" w:space="4"/>
        </w:pBdr>
        <w:spacing w:after="120" w:before="360"/>
      </w:pPr>
      <w:r>
        <w:rPr>
          <w:rFonts w:ascii="Arial" w:cs="Arial" w:eastAsia="Arial" w:hAnsi="Arial"/>
          <w:b/>
          <w:bCs/>
          <w:color w:val="0D1F35"/>
          <w:sz w:val="32"/>
          <w:szCs w:val="32"/>
        </w:rPr>
        <w:t xml:space="preserve">9. Ramadan Working Arrangements</w:t>
      </w:r>
    </w:p>
    <w:p>
      <w:pPr>
        <w:spacing w:after="100" w:before="60"/>
      </w:pPr>
      <w:r>
        <w:rPr>
          <w:rFonts w:ascii="Arial" w:cs="Arial" w:eastAsia="Arial" w:hAnsi="Arial"/>
          <w:color w:val="1A1A2E"/>
          <w:sz w:val="22"/>
          <w:szCs w:val="22"/>
        </w:rPr>
        <w:t xml:space="preserve">During the Holy Month of Ramadan, working hours are adjusted in accordance with UAE Labour Law as follows:</w:t>
      </w:r>
    </w:p>
    <w:p>
      <w:pPr>
        <w:pStyle w:val="ListParagraph"/>
        <w:numPr>
          <w:ilvl w:val="0"/>
          <w:numId w:val="2"/>
        </w:numPr>
        <w:spacing w:after="40" w:before="40"/>
      </w:pPr>
      <w:r>
        <w:rPr>
          <w:rFonts w:ascii="Arial" w:cs="Arial" w:eastAsia="Arial" w:hAnsi="Arial"/>
          <w:b w:val="false"/>
          <w:bCs w:val="false"/>
          <w:color w:val="1A1A2E"/>
          <w:sz w:val="22"/>
          <w:szCs w:val="22"/>
        </w:rPr>
        <w:t xml:space="preserve">All employees: working hours are reduced to six (6) working hours per day during Ramadan</w:t>
      </w:r>
    </w:p>
    <w:p>
      <w:pPr>
        <w:spacing w:after="100" w:before="60"/>
      </w:pPr>
      <w:r>
        <w:rPr>
          <w:rFonts w:ascii="Arial" w:cs="Arial" w:eastAsia="Arial" w:hAnsi="Arial"/>
          <w:color w:val="1A1A2E"/>
          <w:sz w:val="22"/>
          <w:szCs w:val="22"/>
        </w:rPr>
        <w:t xml:space="preserve">Core hours during Ramadan will be communicated by HR at the start of each Ramadan period. The flexitime window remains in effect during Ramadan. Employees are expected to maintain professionalism and sensitivity to the spirit of Ramadan throughout the month, regardless of their own religious observance.</w:t>
      </w:r>
    </w:p>
    <w:p>
      <w:pPr>
        <w:spacing w:after="120" w:before="0"/>
      </w:pPr>
      <w:r>
        <w:t xml:space="preserve"/>
      </w:r>
    </w:p>
    <w:p>
      <w:pPr>
        <w:pStyle w:val="Heading1"/>
        <w:pBdr>
          <w:bottom w:val="single" w:color="C2933A" w:sz="8" w:space="4"/>
        </w:pBdr>
        <w:spacing w:after="120" w:before="360"/>
      </w:pPr>
      <w:r>
        <w:rPr>
          <w:rFonts w:ascii="Arial" w:cs="Arial" w:eastAsia="Arial" w:hAnsi="Arial"/>
          <w:b/>
          <w:bCs/>
          <w:color w:val="0D1F35"/>
          <w:sz w:val="32"/>
          <w:szCs w:val="32"/>
        </w:rPr>
        <w:t xml:space="preserve">10. Leave Administration</w:t>
      </w:r>
    </w:p>
    <w:p>
      <w:pPr>
        <w:pStyle w:val="Heading2"/>
        <w:spacing w:after="80" w:before="280"/>
      </w:pPr>
      <w:r>
        <w:rPr>
          <w:rFonts w:ascii="Arial" w:cs="Arial" w:eastAsia="Arial" w:hAnsi="Arial"/>
          <w:b/>
          <w:bCs/>
          <w:color w:val="0D1F35"/>
          <w:sz w:val="26"/>
          <w:szCs w:val="26"/>
        </w:rPr>
        <w:t xml:space="preserve">10.1 Leave Requests</w:t>
      </w:r>
    </w:p>
    <w:p>
      <w:pPr>
        <w:spacing w:after="100" w:before="60"/>
      </w:pPr>
      <w:r>
        <w:rPr>
          <w:rFonts w:ascii="Arial" w:cs="Arial" w:eastAsia="Arial" w:hAnsi="Arial"/>
          <w:color w:val="1A1A2E"/>
          <w:sz w:val="22"/>
          <w:szCs w:val="22"/>
        </w:rPr>
        <w:t xml:space="preserve">All leave requests — with the exception of emergency sick leave — must be submitted in advance through the HR system and approved by the employee's line manager before the leave commences. Leave taken without prior approval will be treated as unauthorised absence.</w:t>
      </w:r>
    </w:p>
    <w:p>
      <w:pPr>
        <w:pStyle w:val="Heading2"/>
        <w:spacing w:after="80" w:before="280"/>
      </w:pPr>
      <w:r>
        <w:rPr>
          <w:rFonts w:ascii="Arial" w:cs="Arial" w:eastAsia="Arial" w:hAnsi="Arial"/>
          <w:b/>
          <w:bCs/>
          <w:color w:val="0D1F35"/>
          <w:sz w:val="26"/>
          <w:szCs w:val="26"/>
        </w:rPr>
        <w:t xml:space="preserve">10.2 HR Records</w:t>
      </w:r>
    </w:p>
    <w:p>
      <w:pPr>
        <w:spacing w:after="100" w:before="60"/>
      </w:pPr>
      <w:r>
        <w:rPr>
          <w:rFonts w:ascii="Arial" w:cs="Arial" w:eastAsia="Arial" w:hAnsi="Arial"/>
          <w:color w:val="1A1A2E"/>
          <w:sz w:val="22"/>
          <w:szCs w:val="22"/>
        </w:rPr>
        <w:t xml:space="preserve">HR maintains the official record of all leave balances and transactions. In the event of any discrepancy between an employee's records and the HR system, the HR system record shall be treated as definitive unless an error can be demonstrated with supporting documentation.</w:t>
      </w:r>
    </w:p>
    <w:p>
      <w:pPr>
        <w:pStyle w:val="Heading2"/>
        <w:spacing w:after="80" w:before="280"/>
      </w:pPr>
      <w:r>
        <w:rPr>
          <w:rFonts w:ascii="Arial" w:cs="Arial" w:eastAsia="Arial" w:hAnsi="Arial"/>
          <w:b/>
          <w:bCs/>
          <w:color w:val="0D1F35"/>
          <w:sz w:val="26"/>
          <w:szCs w:val="26"/>
        </w:rPr>
        <w:t xml:space="preserve">10.3 Policy Review</w:t>
      </w:r>
    </w:p>
    <w:p>
      <w:pPr>
        <w:spacing w:after="100" w:before="60"/>
      </w:pPr>
      <w:r>
        <w:rPr>
          <w:rFonts w:ascii="Arial" w:cs="Arial" w:eastAsia="Arial" w:hAnsi="Arial"/>
          <w:color w:val="1A1A2E"/>
          <w:sz w:val="22"/>
          <w:szCs w:val="22"/>
        </w:rPr>
        <w:t xml:space="preserve">This policy will be reviewed annually by the Human Resources department. Amendments will be communicated to all employees in writing.</w:t>
      </w:r>
    </w:p>
    <w:p>
      <w:pPr>
        <w:spacing w:after="240" w:before="0"/>
      </w:pPr>
      <w:r>
        <w:t xml:space="preserve"/>
      </w:r>
    </w:p>
    <w:p>
      <w:pPr>
        <w:pBdr>
          <w:top w:val="single" w:color="CCCCCC" w:sz="4" w:space="6"/>
        </w:pBdr>
        <w:spacing w:after="60" w:before="200"/>
        <w:jc w:val="center"/>
      </w:pPr>
      <w:r>
        <w:rPr>
          <w:rFonts w:ascii="Arial" w:cs="Arial" w:eastAsia="Arial" w:hAnsi="Arial"/>
          <w:color w:val="AAAAAA"/>
          <w:sz w:val="18"/>
          <w:szCs w:val="18"/>
        </w:rPr>
        <w:t xml:space="preserve">Novaris Solutions  |  Human Resources Department  |  hr@novarissolutions.ae</w:t>
      </w:r>
    </w:p>
    <w:p>
      <w:pPr>
        <w:spacing w:after="60"/>
        <w:jc w:val="center"/>
      </w:pPr>
      <w:r>
        <w:rPr>
          <w:rFonts w:ascii="Arial" w:cs="Arial" w:eastAsia="Arial" w:hAnsi="Arial"/>
          <w:color w:val="AAAAAA"/>
          <w:sz w:val="18"/>
          <w:szCs w:val="18"/>
        </w:rPr>
        <w:t xml:space="preserve">Version 1.0  |  January 2025  |  Confidential — For Internal Use Only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spacing w:before="60"/>
    </w:pPr>
    <w:r>
      <w:rPr>
        <w:rFonts w:ascii="Arial" w:cs="Arial" w:eastAsia="Arial" w:hAnsi="Arial"/>
        <w:color w:val="AAAAAA"/>
        <w:sz w:val="16"/>
        <w:szCs w:val="16"/>
      </w:rPr>
      <w:t xml:space="preserve">Confidential — For Internal Use Only</w:t>
    </w:r>
    <w:r>
      <w:rPr>
        <w:rFonts w:ascii="Arial" w:cs="Arial" w:eastAsia="Arial" w:hAnsi="Arial"/>
        <w:color w:val="AAAAAA"/>
        <w:sz w:val="16"/>
        <w:szCs w:val="16"/>
      </w:rPr>
      <w:t xml:space="preserve">	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2933A" w:sz="6" w:space="4"/>
      </w:pBdr>
      <w:tabs>
        <w:tab w:val="right" w:pos="9360"/>
      </w:tabs>
      <w:spacing w:after="0"/>
    </w:pPr>
    <w:r>
      <w:rPr>
        <w:rFonts w:ascii="Arial" w:cs="Arial" w:eastAsia="Arial" w:hAnsi="Arial"/>
        <w:b/>
        <w:bCs/>
        <w:color w:val="0D1F35"/>
        <w:sz w:val="18"/>
        <w:szCs w:val="18"/>
      </w:rPr>
      <w:t xml:space="preserve">NOVARIS SOLUTIONS</w:t>
    </w:r>
    <w:r>
      <w:rPr>
        <w:rFonts w:ascii="Arial" w:cs="Arial" w:eastAsia="Arial" w:hAnsi="Arial"/>
        <w:color w:val="888888"/>
        <w:sz w:val="18"/>
        <w:szCs w:val="18"/>
      </w:rPr>
      <w:t xml:space="preserve">	Leave &amp; Attendance Policy</w:t>
    </w:r>
  </w:p>
  <w:p>
    <w:pPr>
      <w:spacing w:after="36" w:before="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F35"/>
      <w:sz w:val="32"/>
      <w:szCs w:val="32"/>
    </w:rPr>
  </w:style>
  <w:style w:type="paragraph" w:styleId="Heading2">
    <w:name w:val="Heading 2"/>
    <w:basedOn w:val="Normal"/>
    <w:next w:val="Normal"/>
    <w:qFormat/>
    <w:pPr>
      <w:spacing w:after="80" w:before="280"/>
      <w:outlineLvl w:val="1"/>
    </w:pPr>
    <w:rPr>
      <w:rFonts w:ascii="Arial" w:cs="Arial" w:eastAsia="Arial" w:hAnsi="Arial"/>
      <w:b/>
      <w:bCs/>
      <w:color w:val="0D1F35"/>
      <w:sz w:val="26"/>
      <w:szCs w:val="26"/>
    </w:rPr>
  </w:style>
  <w:style w:type="paragraph" w:styleId="Heading3">
    <w:name w:val="Heading 3"/>
    <w:basedOn w:val="Normal"/>
    <w:next w:val="Normal"/>
    <w:qFormat/>
    <w:pPr>
      <w:spacing w:after="60" w:before="200"/>
      <w:outlineLvl w:val="2"/>
    </w:pPr>
    <w:rPr>
      <w:rFonts w:ascii="Arial" w:cs="Arial" w:eastAsia="Arial" w:hAnsi="Arial"/>
      <w:b/>
      <w:bCs/>
      <w:color w:val="C293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2026-04-24T06:58:49.884Z</dcterms:created>
  <dcterms:modified xsi:type="dcterms:W3CDTF">2026-04-24T06:58:49.884Z</dcterms:modified>
</cp:coreProperties>
</file>

<file path=docProps/custom.xml><?xml version="1.0" encoding="utf-8"?>
<Properties xmlns="http://schemas.openxmlformats.org/officeDocument/2006/custom-properties" xmlns:vt="http://schemas.openxmlformats.org/officeDocument/2006/docPropsVTypes"/>
</file>