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jc w:val="center"/>
      </w:pPr>
      <w:r>
        <w:rPr>
          <w:rFonts w:ascii="Arial" w:cs="Arial" w:eastAsia="Arial" w:hAnsi="Arial"/>
          <w:b/>
          <w:bCs/>
          <w:color w:val="0D1F35"/>
          <w:sz w:val="52"/>
          <w:szCs w:val="52"/>
        </w:rPr>
        <w:t xml:space="preserve">NOVARIS SOLUTIONS</w:t>
      </w:r>
    </w:p>
    <w:p>
      <w:pPr>
        <w:spacing w:after="60"/>
        <w:jc w:val="center"/>
      </w:pPr>
      <w:r>
        <w:rPr>
          <w:rFonts w:ascii="Arial" w:cs="Arial" w:eastAsia="Arial" w:hAnsi="Arial"/>
          <w:color w:val="C2933A"/>
          <w:sz w:val="36"/>
          <w:szCs w:val="36"/>
        </w:rPr>
        <w:t xml:space="preserve">Employee HR Handbook</w:t>
      </w:r>
    </w:p>
    <w:p>
      <w:pPr>
        <w:spacing w:after="400"/>
        <w:jc w:val="center"/>
      </w:pPr>
      <w:r>
        <w:rPr>
          <w:rFonts w:ascii="Arial" w:cs="Arial" w:eastAsia="Arial" w:hAnsi="Arial"/>
          <w:color w:val="888888"/>
          <w:sz w:val="24"/>
          <w:szCs w:val="24"/>
        </w:rPr>
        <w:t xml:space="preserve">Dubai, United Arab Emirates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none" w:color="FFFFFF" w:sz="0"/>
              <w:left w:val="none" w:color="FFFFFF" w:sz="0"/>
              <w:bottom w:val="single" w:color="C2933A" w:sz="8"/>
              <w:right w:val="none" w:color="FFFFFF" w:sz="0"/>
            </w:tcBorders>
            <w:tcMar>
              <w:top w:type="dxa" w:w="0"/>
              <w:left w:type="dxa" w:w="0"/>
              <w:bottom w:type="dxa" w:w="160"/>
              <w:right w:type="dxa" w:w="0"/>
            </w:tcMar>
          </w:tcPr>
          <w:p>
            <w:pPr>
              <w:jc w:val="center"/>
            </w:pPr>
            <w:r>
              <w:t xml:space="preserve"/>
            </w:r>
          </w:p>
        </w:tc>
      </w:tr>
    </w:tbl>
    <w:p>
      <w:pPr>
        <w:spacing w:after="240" w:before="0"/>
      </w:pPr>
      <w:r>
        <w:t xml:space="preserve"/>
      </w:r>
    </w:p>
    <w:p>
      <w:pPr>
        <w:spacing w:after="60"/>
        <w:jc w:val="center"/>
      </w:pPr>
      <w:r>
        <w:rPr>
          <w:rFonts w:ascii="Arial" w:cs="Arial" w:eastAsia="Arial" w:hAnsi="Arial"/>
          <w:color w:val="888888"/>
          <w:sz w:val="20"/>
          <w:szCs w:val="20"/>
        </w:rPr>
        <w:t xml:space="preserve">Version 1.0  |  Effective Date: January 2025</w:t>
      </w:r>
    </w:p>
    <w:p>
      <w:pPr>
        <w:jc w:val="center"/>
      </w:pPr>
      <w:r>
        <w:rPr>
          <w:rFonts w:ascii="Arial" w:cs="Arial" w:eastAsia="Arial" w:hAnsi="Arial"/>
          <w:color w:val="888888"/>
          <w:sz w:val="20"/>
          <w:szCs w:val="20"/>
        </w:rPr>
        <w:t xml:space="preserve">Human Resources Department</w:t>
      </w:r>
    </w:p>
    <w:p>
      <w:r>
        <w:br w:type="page"/>
      </w:r>
    </w:p>
    <w:p>
      <w:pPr>
        <w:pStyle w:val="Heading1"/>
        <w:pBdr>
          <w:bottom w:val="single" w:color="C2933A" w:sz="8" w:space="4"/>
        </w:pBdr>
        <w:spacing w:after="120" w:before="360"/>
      </w:pPr>
      <w:r>
        <w:rPr>
          <w:rFonts w:ascii="Arial" w:cs="Arial" w:eastAsia="Arial" w:hAnsi="Arial"/>
          <w:b/>
          <w:bCs/>
          <w:color w:val="0D1F35"/>
          <w:sz w:val="32"/>
          <w:szCs w:val="32"/>
        </w:rPr>
        <w:t xml:space="preserve">1. About This Handbook</w:t>
      </w:r>
    </w:p>
    <w:p>
      <w:pPr>
        <w:spacing w:after="100" w:before="60"/>
      </w:pPr>
      <w:r>
        <w:rPr>
          <w:rFonts w:ascii="Arial" w:cs="Arial" w:eastAsia="Arial" w:hAnsi="Arial"/>
          <w:color w:val="1A1A2E"/>
          <w:sz w:val="22"/>
          <w:szCs w:val="22"/>
        </w:rPr>
        <w:t xml:space="preserve">This Employee HR Handbook sets out the policies, procedures, and expectations that govern employment at Novaris Solutions. It applies to all employees working at Novaris Solutions in the United Arab Emirates and should be read alongside any offer letter or employment contract issued to you.</w:t>
      </w:r>
    </w:p>
    <w:p>
      <w:pPr>
        <w:spacing w:after="100" w:before="60"/>
      </w:pPr>
      <w:r>
        <w:rPr>
          <w:rFonts w:ascii="Arial" w:cs="Arial" w:eastAsia="Arial" w:hAnsi="Arial"/>
          <w:color w:val="1A1A2E"/>
          <w:sz w:val="22"/>
          <w:szCs w:val="22"/>
        </w:rPr>
        <w:t xml:space="preserve">This Handbook is not a contract of employment. Novaris Solutions reserves the right to amend, update, or withdraw any policy contained herein at its sole discretion. Employees will be notified of material changes via official communication from the Human Resources department.</w:t>
      </w:r>
    </w:p>
    <w:p>
      <w:pPr>
        <w:spacing w:after="100" w:before="60"/>
      </w:pPr>
      <w:r>
        <w:rPr>
          <w:rFonts w:ascii="Arial" w:cs="Arial" w:eastAsia="Arial" w:hAnsi="Arial"/>
          <w:color w:val="1A1A2E"/>
          <w:sz w:val="22"/>
          <w:szCs w:val="22"/>
        </w:rPr>
        <w:t xml:space="preserve">If you have any questions about the contents of this Handbook, please contact the Human Resources team at hr@novarissolutions.ae.</w:t>
      </w:r>
    </w:p>
    <w:p>
      <w:pPr>
        <w:pBdr>
          <w:left w:val="single" w:color="C2933A" w:sz="12" w:space="8"/>
        </w:pBdr>
        <w:spacing w:after="80" w:before="80"/>
        <w:ind w:left="360"/>
      </w:pPr>
      <w:r>
        <w:rPr>
          <w:rFonts w:ascii="Arial" w:cs="Arial" w:eastAsia="Arial" w:hAnsi="Arial"/>
          <w:i/>
          <w:iCs/>
          <w:color w:val="5A5A5A"/>
          <w:sz w:val="20"/>
          <w:szCs w:val="20"/>
        </w:rPr>
        <w:t xml:space="preserve">Where any provision of this Handbook conflicts with UAE Federal Decree-Law No. 33 of 2021 on the Regulation of Labour Relations, the provisions of UAE law shall prevail.</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2. About Novaris Solutions</w:t>
      </w:r>
    </w:p>
    <w:p>
      <w:pPr>
        <w:pStyle w:val="Heading2"/>
        <w:spacing w:after="80" w:before="280"/>
      </w:pPr>
      <w:r>
        <w:rPr>
          <w:rFonts w:ascii="Arial" w:cs="Arial" w:eastAsia="Arial" w:hAnsi="Arial"/>
          <w:b/>
          <w:bCs/>
          <w:color w:val="0D1F35"/>
          <w:sz w:val="26"/>
          <w:szCs w:val="26"/>
        </w:rPr>
        <w:t xml:space="preserve">2.1 Company Overview</w:t>
      </w:r>
    </w:p>
    <w:p>
      <w:pPr>
        <w:spacing w:after="100" w:before="60"/>
      </w:pPr>
      <w:r>
        <w:rPr>
          <w:rFonts w:ascii="Arial" w:cs="Arial" w:eastAsia="Arial" w:hAnsi="Arial"/>
          <w:color w:val="1A1A2E"/>
          <w:sz w:val="22"/>
          <w:szCs w:val="22"/>
        </w:rPr>
        <w:t xml:space="preserve">Novaris Solutions is a fast-growing HR technology software and consulting company headquartered in Dubai, United Arab Emirates. We help organisations across the region design, implement, and optimise their human resources functions through innovative software platforms and expert consulting services.</w:t>
      </w:r>
    </w:p>
    <w:p>
      <w:pPr>
        <w:spacing w:after="100" w:before="60"/>
      </w:pPr>
      <w:r>
        <w:rPr>
          <w:rFonts w:ascii="Arial" w:cs="Arial" w:eastAsia="Arial" w:hAnsi="Arial"/>
          <w:color w:val="1A1A2E"/>
          <w:sz w:val="22"/>
          <w:szCs w:val="22"/>
        </w:rPr>
        <w:t xml:space="preserve">With a team of approximately 150 professionals, we work with clients ranging from high-growth startups to established enterprises, delivering solutions that transform the way people and organisations work.</w:t>
      </w:r>
    </w:p>
    <w:p>
      <w:pPr>
        <w:pStyle w:val="Heading2"/>
        <w:spacing w:after="80" w:before="280"/>
      </w:pPr>
      <w:r>
        <w:rPr>
          <w:rFonts w:ascii="Arial" w:cs="Arial" w:eastAsia="Arial" w:hAnsi="Arial"/>
          <w:b/>
          <w:bCs/>
          <w:color w:val="0D1F35"/>
          <w:sz w:val="26"/>
          <w:szCs w:val="26"/>
        </w:rPr>
        <w:t xml:space="preserve">2.2 Our Values</w:t>
      </w:r>
    </w:p>
    <w:p>
      <w:pPr>
        <w:pStyle w:val="ListParagraph"/>
        <w:numPr>
          <w:ilvl w:val="0"/>
          <w:numId w:val="2"/>
        </w:numPr>
        <w:spacing w:after="40" w:before="40"/>
      </w:pPr>
      <w:r>
        <w:rPr>
          <w:rFonts w:ascii="Arial" w:cs="Arial" w:eastAsia="Arial" w:hAnsi="Arial"/>
          <w:b w:val="false"/>
          <w:bCs w:val="false"/>
          <w:color w:val="1A1A2E"/>
          <w:sz w:val="22"/>
          <w:szCs w:val="22"/>
        </w:rPr>
        <w:t xml:space="preserve">Innovation — We challenge conventional thinking and build solutions that are ahead of the curve.</w:t>
      </w:r>
    </w:p>
    <w:p>
      <w:pPr>
        <w:pStyle w:val="ListParagraph"/>
        <w:numPr>
          <w:ilvl w:val="0"/>
          <w:numId w:val="2"/>
        </w:numPr>
        <w:spacing w:after="40" w:before="40"/>
      </w:pPr>
      <w:r>
        <w:rPr>
          <w:rFonts w:ascii="Arial" w:cs="Arial" w:eastAsia="Arial" w:hAnsi="Arial"/>
          <w:b w:val="false"/>
          <w:bCs w:val="false"/>
          <w:color w:val="1A1A2E"/>
          <w:sz w:val="22"/>
          <w:szCs w:val="22"/>
        </w:rPr>
        <w:t xml:space="preserve">Integrity — We act with honesty and transparency in everything we do.</w:t>
      </w:r>
    </w:p>
    <w:p>
      <w:pPr>
        <w:pStyle w:val="ListParagraph"/>
        <w:numPr>
          <w:ilvl w:val="0"/>
          <w:numId w:val="2"/>
        </w:numPr>
        <w:spacing w:after="40" w:before="40"/>
      </w:pPr>
      <w:r>
        <w:rPr>
          <w:rFonts w:ascii="Arial" w:cs="Arial" w:eastAsia="Arial" w:hAnsi="Arial"/>
          <w:b w:val="false"/>
          <w:bCs w:val="false"/>
          <w:color w:val="1A1A2E"/>
          <w:sz w:val="22"/>
          <w:szCs w:val="22"/>
        </w:rPr>
        <w:t xml:space="preserve">Impact — We measure our success by the tangible difference we create for clients and employees.</w:t>
      </w:r>
    </w:p>
    <w:p>
      <w:pPr>
        <w:pStyle w:val="ListParagraph"/>
        <w:numPr>
          <w:ilvl w:val="0"/>
          <w:numId w:val="2"/>
        </w:numPr>
        <w:spacing w:after="40" w:before="40"/>
      </w:pPr>
      <w:r>
        <w:rPr>
          <w:rFonts w:ascii="Arial" w:cs="Arial" w:eastAsia="Arial" w:hAnsi="Arial"/>
          <w:b w:val="false"/>
          <w:bCs w:val="false"/>
          <w:color w:val="1A1A2E"/>
          <w:sz w:val="22"/>
          <w:szCs w:val="22"/>
        </w:rPr>
        <w:t xml:space="preserve">Inclusion — We celebrate diversity and create an environment where everyone can thrive.</w:t>
      </w:r>
    </w:p>
    <w:p>
      <w:pPr>
        <w:pStyle w:val="ListParagraph"/>
        <w:numPr>
          <w:ilvl w:val="0"/>
          <w:numId w:val="2"/>
        </w:numPr>
        <w:spacing w:after="40" w:before="40"/>
      </w:pPr>
      <w:r>
        <w:rPr>
          <w:rFonts w:ascii="Arial" w:cs="Arial" w:eastAsia="Arial" w:hAnsi="Arial"/>
          <w:b w:val="false"/>
          <w:bCs w:val="false"/>
          <w:color w:val="1A1A2E"/>
          <w:sz w:val="22"/>
          <w:szCs w:val="22"/>
        </w:rPr>
        <w:t xml:space="preserve">Excellence — We hold ourselves to the highest standards of quality and professionalism.</w:t>
      </w:r>
    </w:p>
    <w:p>
      <w:pPr>
        <w:pStyle w:val="Heading2"/>
        <w:spacing w:after="80" w:before="280"/>
      </w:pPr>
      <w:r>
        <w:rPr>
          <w:rFonts w:ascii="Arial" w:cs="Arial" w:eastAsia="Arial" w:hAnsi="Arial"/>
          <w:b/>
          <w:bCs/>
          <w:color w:val="0D1F35"/>
          <w:sz w:val="26"/>
          <w:szCs w:val="26"/>
        </w:rPr>
        <w:t xml:space="preserve">2.3 Legal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Registered Name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Novaris Solutions LLC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Jurisdiction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Mainland UAE — Dubai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Regulatory Authority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Ministry of Human Resources and Emiratisation (MOHRE)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HR Contact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hr@novarissolutions.ae</w:t>
            </w:r>
          </w:p>
        </w:tc>
      </w:tr>
    </w:tbl>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3. Employment Bands and Notice Periods</w:t>
      </w:r>
    </w:p>
    <w:p>
      <w:pPr>
        <w:spacing w:after="100" w:before="60"/>
      </w:pPr>
      <w:r>
        <w:rPr>
          <w:rFonts w:ascii="Arial" w:cs="Arial" w:eastAsia="Arial" w:hAnsi="Arial"/>
          <w:color w:val="1A1A2E"/>
          <w:sz w:val="22"/>
          <w:szCs w:val="22"/>
        </w:rPr>
        <w:t xml:space="preserve">Novaris Solutions operates a four-band grading structure that defines career levels, notice periods, and associated policies. All roles are mapped to one of the following bands at the time of hiring or promotion.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c>
          <w:tcPr>
            <w:tcW w:type="dxa" w:w="1200"/>
            <w:tcBorders>
              <w:top w:val="single" w:color="CCCCCC" w:sz="1"/>
              <w:left w:val="single" w:color="CCCCCC" w:sz="1"/>
              <w:bottom w:val="single" w:color="CCCCCC" w:sz="1"/>
              <w:right w:val="single" w:color="CCCCCC" w:sz="1"/>
            </w:tcBorders>
            <w:shd w:fill="0D1F35" w:val="clear"/>
            <w:tcMar>
              <w:top w:type="dxa" w:w="80"/>
              <w:left w:type="dxa" w:w="160"/>
              <w:bottom w:type="dxa" w:w="80"/>
              <w:right w:type="dxa" w:w="160"/>
            </w:tcMar>
          </w:tcPr>
          <w:p>
            <w:r>
              <w:rPr>
                <w:rFonts w:ascii="Arial" w:cs="Arial" w:eastAsia="Arial" w:hAnsi="Arial"/>
                <w:b/>
                <w:bCs/>
                <w:color w:val="FFFFFF"/>
                <w:sz w:val="20"/>
                <w:szCs w:val="20"/>
              </w:rPr>
              <w:t xml:space="preserve">Band</w:t>
            </w:r>
          </w:p>
        </w:tc>
        <w:tc>
          <w:tcPr>
            <w:tcW w:type="dxa" w:w="4560"/>
            <w:tcBorders>
              <w:top w:val="single" w:color="CCCCCC" w:sz="1"/>
              <w:left w:val="single" w:color="CCCCCC" w:sz="1"/>
              <w:bottom w:val="single" w:color="CCCCCC" w:sz="1"/>
              <w:right w:val="single" w:color="CCCCCC" w:sz="1"/>
            </w:tcBorders>
            <w:shd w:fill="0D1F35" w:val="clear"/>
            <w:tcMar>
              <w:top w:type="dxa" w:w="80"/>
              <w:left w:type="dxa" w:w="160"/>
              <w:bottom w:type="dxa" w:w="80"/>
              <w:right w:type="dxa" w:w="160"/>
            </w:tcMar>
          </w:tcPr>
          <w:p>
            <w:r>
              <w:rPr>
                <w:rFonts w:ascii="Arial" w:cs="Arial" w:eastAsia="Arial" w:hAnsi="Arial"/>
                <w:b/>
                <w:bCs/>
                <w:color w:val="FFFFFF"/>
                <w:sz w:val="20"/>
                <w:szCs w:val="20"/>
              </w:rPr>
              <w:t xml:space="preserve">Title(s)</w:t>
            </w:r>
          </w:p>
        </w:tc>
        <w:tc>
          <w:tcPr>
            <w:tcW w:type="dxa" w:w="1800"/>
            <w:tcBorders>
              <w:top w:val="single" w:color="CCCCCC" w:sz="1"/>
              <w:left w:val="single" w:color="CCCCCC" w:sz="1"/>
              <w:bottom w:val="single" w:color="CCCCCC" w:sz="1"/>
              <w:right w:val="single" w:color="CCCCCC" w:sz="1"/>
            </w:tcBorders>
            <w:shd w:fill="0D1F35" w:val="clear"/>
            <w:tcMar>
              <w:top w:type="dxa" w:w="80"/>
              <w:left w:type="dxa" w:w="160"/>
              <w:bottom w:type="dxa" w:w="80"/>
              <w:right w:type="dxa" w:w="160"/>
            </w:tcMar>
          </w:tcPr>
          <w:p>
            <w:r>
              <w:rPr>
                <w:rFonts w:ascii="Arial" w:cs="Arial" w:eastAsia="Arial" w:hAnsi="Arial"/>
                <w:b/>
                <w:bCs/>
                <w:color w:val="FFFFFF"/>
                <w:sz w:val="20"/>
                <w:szCs w:val="20"/>
              </w:rPr>
              <w:t xml:space="preserve">Notice Period</w:t>
            </w:r>
          </w:p>
        </w:tc>
        <w:tc>
          <w:tcPr>
            <w:tcW w:type="dxa" w:w="1800"/>
            <w:tcBorders>
              <w:top w:val="single" w:color="CCCCCC" w:sz="1"/>
              <w:left w:val="single" w:color="CCCCCC" w:sz="1"/>
              <w:bottom w:val="single" w:color="CCCCCC" w:sz="1"/>
              <w:right w:val="single" w:color="CCCCCC" w:sz="1"/>
            </w:tcBorders>
            <w:shd w:fill="0D1F35" w:val="clear"/>
            <w:tcMar>
              <w:top w:type="dxa" w:w="80"/>
              <w:left w:type="dxa" w:w="160"/>
              <w:bottom w:type="dxa" w:w="80"/>
              <w:right w:type="dxa" w:w="160"/>
            </w:tcMar>
          </w:tcPr>
          <w:p>
            <w:r>
              <w:rPr>
                <w:rFonts w:ascii="Arial" w:cs="Arial" w:eastAsia="Arial" w:hAnsi="Arial"/>
                <w:b/>
                <w:bCs/>
                <w:color w:val="FFFFFF"/>
                <w:sz w:val="20"/>
                <w:szCs w:val="20"/>
              </w:rPr>
              <w:t xml:space="preserve">Overtime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Band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Analyst / Associate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 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Not applicable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Band 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Consultant / Senior Consultant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1 month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Not applicable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Band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Manager / Senior 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3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Not applicable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Band 4</w:t>
            </w:r>
          </w:p>
        </w:tc>
        <w:tc>
          <w:tcPr>
            <w:tcW w:type="dxa" w:w="4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Director and above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3 months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Not applicable</w:t>
            </w:r>
          </w:p>
        </w:tc>
      </w:tr>
    </w:tbl>
    <w:p>
      <w:pPr>
        <w:spacing w:after="60" w:before="0"/>
      </w:pPr>
      <w:r>
        <w:t xml:space="preserve"/>
      </w:r>
    </w:p>
    <w:p>
      <w:pPr>
        <w:pBdr>
          <w:left w:val="single" w:color="C2933A" w:sz="12" w:space="8"/>
        </w:pBdr>
        <w:spacing w:after="80" w:before="80"/>
        <w:ind w:left="360"/>
      </w:pPr>
      <w:r>
        <w:rPr>
          <w:rFonts w:ascii="Arial" w:cs="Arial" w:eastAsia="Arial" w:hAnsi="Arial"/>
          <w:i/>
          <w:iCs/>
          <w:color w:val="5A5A5A"/>
          <w:sz w:val="20"/>
          <w:szCs w:val="20"/>
        </w:rPr>
        <w:t xml:space="preserve">All employees at Novaris Solutions are classified as salaried exempt. Compensation is structured to reflect the full scope of responsibilities, including periods of high demand on project or client engagements. Overtime payments do not apply to any band.</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4. Probation Policy</w:t>
      </w:r>
    </w:p>
    <w:p>
      <w:pPr>
        <w:pStyle w:val="Heading2"/>
        <w:spacing w:after="80" w:before="280"/>
      </w:pPr>
      <w:r>
        <w:rPr>
          <w:rFonts w:ascii="Arial" w:cs="Arial" w:eastAsia="Arial" w:hAnsi="Arial"/>
          <w:b/>
          <w:bCs/>
          <w:color w:val="0D1F35"/>
          <w:sz w:val="26"/>
          <w:szCs w:val="26"/>
        </w:rPr>
        <w:t xml:space="preserve">4.1 Probation Period</w:t>
      </w:r>
    </w:p>
    <w:p>
      <w:pPr>
        <w:spacing w:after="100" w:before="60"/>
      </w:pPr>
      <w:r>
        <w:rPr>
          <w:rFonts w:ascii="Arial" w:cs="Arial" w:eastAsia="Arial" w:hAnsi="Arial"/>
          <w:color w:val="1A1A2E"/>
          <w:sz w:val="22"/>
          <w:szCs w:val="22"/>
        </w:rPr>
        <w:t xml:space="preserve">All new employees join Novaris Solutions on a probationary period of six (6) months from their date of joining. The probation period is a mutual assessment period during which the employee and the Company evaluate fit, performance, and alignment with company values.</w:t>
      </w:r>
    </w:p>
    <w:p>
      <w:pPr>
        <w:pStyle w:val="Heading2"/>
        <w:spacing w:after="80" w:before="280"/>
      </w:pPr>
      <w:r>
        <w:rPr>
          <w:rFonts w:ascii="Arial" w:cs="Arial" w:eastAsia="Arial" w:hAnsi="Arial"/>
          <w:b/>
          <w:bCs/>
          <w:color w:val="0D1F35"/>
          <w:sz w:val="26"/>
          <w:szCs w:val="26"/>
        </w:rPr>
        <w:t xml:space="preserve">4.2 Benefits During Probation</w:t>
      </w:r>
    </w:p>
    <w:p>
      <w:pPr>
        <w:spacing w:after="100" w:before="60"/>
      </w:pPr>
      <w:r>
        <w:rPr>
          <w:rFonts w:ascii="Arial" w:cs="Arial" w:eastAsia="Arial" w:hAnsi="Arial"/>
          <w:color w:val="1A1A2E"/>
          <w:sz w:val="22"/>
          <w:szCs w:val="22"/>
        </w:rPr>
        <w:t xml:space="preserve">Employees on probation are entitled to the following from their first day of employment:</w:t>
      </w:r>
    </w:p>
    <w:p>
      <w:pPr>
        <w:pStyle w:val="ListParagraph"/>
        <w:numPr>
          <w:ilvl w:val="0"/>
          <w:numId w:val="2"/>
        </w:numPr>
        <w:spacing w:after="40" w:before="40"/>
      </w:pPr>
      <w:r>
        <w:rPr>
          <w:rFonts w:ascii="Arial" w:cs="Arial" w:eastAsia="Arial" w:hAnsi="Arial"/>
          <w:b w:val="false"/>
          <w:bCs w:val="false"/>
          <w:color w:val="1A1A2E"/>
          <w:sz w:val="22"/>
          <w:szCs w:val="22"/>
        </w:rPr>
        <w:t xml:space="preserve">Salary as per the employment contract</w:t>
      </w:r>
    </w:p>
    <w:p>
      <w:pPr>
        <w:pStyle w:val="ListParagraph"/>
        <w:numPr>
          <w:ilvl w:val="0"/>
          <w:numId w:val="2"/>
        </w:numPr>
        <w:spacing w:after="40" w:before="40"/>
      </w:pPr>
      <w:r>
        <w:rPr>
          <w:rFonts w:ascii="Arial" w:cs="Arial" w:eastAsia="Arial" w:hAnsi="Arial"/>
          <w:b w:val="false"/>
          <w:bCs w:val="false"/>
          <w:color w:val="1A1A2E"/>
          <w:sz w:val="22"/>
          <w:szCs w:val="22"/>
        </w:rPr>
        <w:t xml:space="preserve">DHA health insurance coverage</w:t>
      </w:r>
    </w:p>
    <w:p>
      <w:pPr>
        <w:pStyle w:val="ListParagraph"/>
        <w:numPr>
          <w:ilvl w:val="0"/>
          <w:numId w:val="2"/>
        </w:numPr>
        <w:spacing w:after="40" w:before="40"/>
      </w:pPr>
      <w:r>
        <w:rPr>
          <w:rFonts w:ascii="Arial" w:cs="Arial" w:eastAsia="Arial" w:hAnsi="Arial"/>
          <w:b w:val="false"/>
          <w:bCs w:val="false"/>
          <w:color w:val="1A1A2E"/>
          <w:sz w:val="22"/>
          <w:szCs w:val="22"/>
        </w:rPr>
        <w:t xml:space="preserve">Public holidays as gazetted by the UAE Cabinet</w:t>
      </w:r>
    </w:p>
    <w:p>
      <w:pPr>
        <w:pStyle w:val="ListParagraph"/>
        <w:numPr>
          <w:ilvl w:val="0"/>
          <w:numId w:val="2"/>
        </w:numPr>
        <w:spacing w:after="40" w:before="40"/>
      </w:pPr>
      <w:r>
        <w:rPr>
          <w:rFonts w:ascii="Arial" w:cs="Arial" w:eastAsia="Arial" w:hAnsi="Arial"/>
          <w:b w:val="false"/>
          <w:bCs w:val="false"/>
          <w:color w:val="1A1A2E"/>
          <w:sz w:val="22"/>
          <w:szCs w:val="22"/>
        </w:rPr>
        <w:t xml:space="preserve">Sick leave in accordance with UAE Labour Law</w:t>
      </w:r>
    </w:p>
    <w:p>
      <w:pPr>
        <w:spacing w:after="100" w:before="60"/>
      </w:pPr>
      <w:r>
        <w:rPr>
          <w:rFonts w:ascii="Arial" w:cs="Arial" w:eastAsia="Arial" w:hAnsi="Arial"/>
          <w:color w:val="1A1A2E"/>
          <w:sz w:val="22"/>
          <w:szCs w:val="22"/>
        </w:rPr>
        <w:t xml:space="preserve">Annual leave accrues during the probation period but may not be taken until probation is successfully completed, except in exceptional circumstances approved by HR.</w:t>
      </w:r>
    </w:p>
    <w:p>
      <w:pPr>
        <w:pStyle w:val="Heading2"/>
        <w:spacing w:after="80" w:before="280"/>
      </w:pPr>
      <w:r>
        <w:rPr>
          <w:rFonts w:ascii="Arial" w:cs="Arial" w:eastAsia="Arial" w:hAnsi="Arial"/>
          <w:b/>
          <w:bCs/>
          <w:color w:val="0D1F35"/>
          <w:sz w:val="26"/>
          <w:szCs w:val="26"/>
        </w:rPr>
        <w:t xml:space="preserve">4.3 Notice During Probation</w:t>
      </w:r>
    </w:p>
    <w:p>
      <w:pPr>
        <w:spacing w:after="100" w:before="60"/>
      </w:pPr>
      <w:r>
        <w:rPr>
          <w:rFonts w:ascii="Arial" w:cs="Arial" w:eastAsia="Arial" w:hAnsi="Arial"/>
          <w:color w:val="1A1A2E"/>
          <w:sz w:val="22"/>
          <w:szCs w:val="22"/>
        </w:rPr>
        <w:t xml:space="preserve">During the probation period, either party may terminate the employment relationship by providing a minimum of fourteen (14) calendar days written notice, in accordance with UAE Federal Decree-Law No. 33 of 2021.</w:t>
      </w:r>
    </w:p>
    <w:p>
      <w:pPr>
        <w:pStyle w:val="Heading2"/>
        <w:spacing w:after="80" w:before="280"/>
      </w:pPr>
      <w:r>
        <w:rPr>
          <w:rFonts w:ascii="Arial" w:cs="Arial" w:eastAsia="Arial" w:hAnsi="Arial"/>
          <w:b/>
          <w:bCs/>
          <w:color w:val="0D1F35"/>
          <w:sz w:val="26"/>
          <w:szCs w:val="26"/>
        </w:rPr>
        <w:t xml:space="preserve">4.4 Probation Review and Confirmation</w:t>
      </w:r>
    </w:p>
    <w:p>
      <w:pPr>
        <w:spacing w:after="100" w:before="60"/>
      </w:pPr>
      <w:r>
        <w:rPr>
          <w:rFonts w:ascii="Arial" w:cs="Arial" w:eastAsia="Arial" w:hAnsi="Arial"/>
          <w:color w:val="1A1A2E"/>
          <w:sz w:val="22"/>
          <w:szCs w:val="22"/>
        </w:rPr>
        <w:t xml:space="preserve">Approximately two (2) weeks before the end of the probation period, the direct line manager will initiate a formal probation review. The process is as follows:</w:t>
      </w:r>
    </w:p>
    <w:p>
      <w:pPr>
        <w:pStyle w:val="ListParagraph"/>
        <w:numPr>
          <w:ilvl w:val="0"/>
          <w:numId w:val="2"/>
        </w:numPr>
        <w:spacing w:after="40" w:before="40"/>
      </w:pPr>
      <w:r>
        <w:rPr>
          <w:rFonts w:ascii="Arial" w:cs="Arial" w:eastAsia="Arial" w:hAnsi="Arial"/>
          <w:b w:val="false"/>
          <w:bCs w:val="false"/>
          <w:color w:val="1A1A2E"/>
          <w:sz w:val="22"/>
          <w:szCs w:val="22"/>
        </w:rPr>
        <w:t xml:space="preserve">Line manager completes a Probation Review Form and submits it to HR</w:t>
      </w:r>
    </w:p>
    <w:p>
      <w:pPr>
        <w:pStyle w:val="ListParagraph"/>
        <w:numPr>
          <w:ilvl w:val="0"/>
          <w:numId w:val="2"/>
        </w:numPr>
        <w:spacing w:after="40" w:before="40"/>
      </w:pPr>
      <w:r>
        <w:rPr>
          <w:rFonts w:ascii="Arial" w:cs="Arial" w:eastAsia="Arial" w:hAnsi="Arial"/>
          <w:b w:val="false"/>
          <w:bCs w:val="false"/>
          <w:color w:val="1A1A2E"/>
          <w:sz w:val="22"/>
          <w:szCs w:val="22"/>
        </w:rPr>
        <w:t xml:space="preserve">HR reviews the submission and confirms eligibility for confirmation</w:t>
      </w:r>
    </w:p>
    <w:p>
      <w:pPr>
        <w:pStyle w:val="ListParagraph"/>
        <w:numPr>
          <w:ilvl w:val="0"/>
          <w:numId w:val="2"/>
        </w:numPr>
        <w:spacing w:after="40" w:before="40"/>
      </w:pPr>
      <w:r>
        <w:rPr>
          <w:rFonts w:ascii="Arial" w:cs="Arial" w:eastAsia="Arial" w:hAnsi="Arial"/>
          <w:b w:val="false"/>
          <w:bCs w:val="false"/>
          <w:color w:val="1A1A2E"/>
          <w:sz w:val="22"/>
          <w:szCs w:val="22"/>
        </w:rPr>
        <w:t xml:space="preserve">HR issues a formal Confirmation Letter to the employee</w:t>
      </w:r>
    </w:p>
    <w:p>
      <w:pPr>
        <w:pStyle w:val="ListParagraph"/>
        <w:numPr>
          <w:ilvl w:val="0"/>
          <w:numId w:val="2"/>
        </w:numPr>
        <w:spacing w:after="40" w:before="40"/>
      </w:pPr>
      <w:r>
        <w:rPr>
          <w:rFonts w:ascii="Arial" w:cs="Arial" w:eastAsia="Arial" w:hAnsi="Arial"/>
          <w:b w:val="false"/>
          <w:bCs w:val="false"/>
          <w:color w:val="1A1A2E"/>
          <w:sz w:val="22"/>
          <w:szCs w:val="22"/>
        </w:rPr>
        <w:t xml:space="preserve">Employee signs and returns the acknowledgement copy to HR</w:t>
      </w:r>
    </w:p>
    <w:p>
      <w:pPr>
        <w:spacing w:after="100" w:before="60"/>
      </w:pPr>
      <w:r>
        <w:rPr>
          <w:rFonts w:ascii="Arial" w:cs="Arial" w:eastAsia="Arial" w:hAnsi="Arial"/>
          <w:color w:val="1A1A2E"/>
          <w:sz w:val="22"/>
          <w:szCs w:val="22"/>
        </w:rPr>
        <w:t xml:space="preserve">Confirmation is not automatic. Employment during the probation period does not guarantee confirmation or continued employment.</w:t>
      </w:r>
    </w:p>
    <w:p>
      <w:pPr>
        <w:pBdr>
          <w:left w:val="single" w:color="C2933A" w:sz="12" w:space="8"/>
        </w:pBdr>
        <w:spacing w:after="80" w:before="80"/>
        <w:ind w:left="360"/>
      </w:pPr>
      <w:r>
        <w:rPr>
          <w:rFonts w:ascii="Arial" w:cs="Arial" w:eastAsia="Arial" w:hAnsi="Arial"/>
          <w:i/>
          <w:iCs/>
          <w:color w:val="5A5A5A"/>
          <w:sz w:val="20"/>
          <w:szCs w:val="20"/>
        </w:rPr>
        <w:t xml:space="preserve">If the line manager requires additional time to assess performance, the probation period may be extended by up to a further three (3) months, subject to written notification to the employee before the original probation end date.</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5. Working Arrangements</w:t>
      </w:r>
    </w:p>
    <w:p>
      <w:pPr>
        <w:pStyle w:val="Heading2"/>
        <w:spacing w:after="80" w:before="280"/>
      </w:pPr>
      <w:r>
        <w:rPr>
          <w:rFonts w:ascii="Arial" w:cs="Arial" w:eastAsia="Arial" w:hAnsi="Arial"/>
          <w:b/>
          <w:bCs/>
          <w:color w:val="0D1F35"/>
          <w:sz w:val="26"/>
          <w:szCs w:val="26"/>
        </w:rPr>
        <w:t xml:space="preserve">5.1 Standard Working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Working days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Monday to Friday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Hours per day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8 hours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Core hours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10:00 AM to 4:00 PM (mandatory attendance)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Flexitime window</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7:00 AM to 9:00 PM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Lunch break</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Minimum 30 minutes, not counted in the 8-hour working day</w:t>
            </w:r>
          </w:p>
        </w:tc>
      </w:tr>
    </w:tbl>
    <w:p>
      <w:pPr>
        <w:spacing w:after="100" w:before="60"/>
      </w:pPr>
      <w:r>
        <w:rPr>
          <w:rFonts w:ascii="Arial" w:cs="Arial" w:eastAsia="Arial" w:hAnsi="Arial"/>
          <w:color w:val="1A1A2E"/>
          <w:sz w:val="22"/>
          <w:szCs w:val="22"/>
        </w:rPr>
        <w:t xml:space="preserve">Employees have the flexibility to start and finish work at any time within the flexitime window provided they complete eight (8) working hours each day and are available during core hours.</w:t>
      </w:r>
    </w:p>
    <w:p>
      <w:pPr>
        <w:pStyle w:val="Heading2"/>
        <w:spacing w:after="80" w:before="280"/>
      </w:pPr>
      <w:r>
        <w:rPr>
          <w:rFonts w:ascii="Arial" w:cs="Arial" w:eastAsia="Arial" w:hAnsi="Arial"/>
          <w:b/>
          <w:bCs/>
          <w:color w:val="0D1F35"/>
          <w:sz w:val="26"/>
          <w:szCs w:val="26"/>
        </w:rPr>
        <w:t xml:space="preserve">5.2 Remote and Hybrid Work</w:t>
      </w:r>
    </w:p>
    <w:p>
      <w:pPr>
        <w:spacing w:after="100" w:before="60"/>
      </w:pPr>
      <w:r>
        <w:rPr>
          <w:rFonts w:ascii="Arial" w:cs="Arial" w:eastAsia="Arial" w:hAnsi="Arial"/>
          <w:color w:val="1A1A2E"/>
          <w:sz w:val="22"/>
          <w:szCs w:val="22"/>
        </w:rPr>
        <w:t xml:space="preserve">Novaris Solutions supports flexible and results-oriented ways of working. Employees may work remotely, from a client site, or from the office depending on business and project requirements. The following principles apply:</w:t>
      </w:r>
    </w:p>
    <w:p>
      <w:pPr>
        <w:pStyle w:val="ListParagraph"/>
        <w:numPr>
          <w:ilvl w:val="0"/>
          <w:numId w:val="2"/>
        </w:numPr>
        <w:spacing w:after="40" w:before="40"/>
      </w:pPr>
      <w:r>
        <w:rPr>
          <w:rFonts w:ascii="Arial" w:cs="Arial" w:eastAsia="Arial" w:hAnsi="Arial"/>
          <w:b w:val="false"/>
          <w:bCs w:val="false"/>
          <w:color w:val="1A1A2E"/>
          <w:sz w:val="22"/>
          <w:szCs w:val="22"/>
        </w:rPr>
        <w:t xml:space="preserve">Employees are expected to be available and responsive during core hours regardless of their working location</w:t>
      </w:r>
    </w:p>
    <w:p>
      <w:pPr>
        <w:pStyle w:val="ListParagraph"/>
        <w:numPr>
          <w:ilvl w:val="0"/>
          <w:numId w:val="2"/>
        </w:numPr>
        <w:spacing w:after="40" w:before="40"/>
      </w:pPr>
      <w:r>
        <w:rPr>
          <w:rFonts w:ascii="Arial" w:cs="Arial" w:eastAsia="Arial" w:hAnsi="Arial"/>
          <w:b w:val="false"/>
          <w:bCs w:val="false"/>
          <w:color w:val="1A1A2E"/>
          <w:sz w:val="22"/>
          <w:szCs w:val="22"/>
        </w:rPr>
        <w:t xml:space="preserve">Client-facing engagements take priority and may require on-site presence as directed by the project lead or manager</w:t>
      </w:r>
    </w:p>
    <w:p>
      <w:pPr>
        <w:pStyle w:val="ListParagraph"/>
        <w:numPr>
          <w:ilvl w:val="0"/>
          <w:numId w:val="2"/>
        </w:numPr>
        <w:spacing w:after="40" w:before="40"/>
      </w:pPr>
      <w:r>
        <w:rPr>
          <w:rFonts w:ascii="Arial" w:cs="Arial" w:eastAsia="Arial" w:hAnsi="Arial"/>
          <w:b w:val="false"/>
          <w:bCs w:val="false"/>
          <w:color w:val="1A1A2E"/>
          <w:sz w:val="22"/>
          <w:szCs w:val="22"/>
        </w:rPr>
        <w:t xml:space="preserve">Remote work arrangements must not compromise the quality of client deliverables or team collaboration</w:t>
      </w:r>
    </w:p>
    <w:p>
      <w:pPr>
        <w:pStyle w:val="ListParagraph"/>
        <w:numPr>
          <w:ilvl w:val="0"/>
          <w:numId w:val="2"/>
        </w:numPr>
        <w:spacing w:after="40" w:before="40"/>
      </w:pPr>
      <w:r>
        <w:rPr>
          <w:rFonts w:ascii="Arial" w:cs="Arial" w:eastAsia="Arial" w:hAnsi="Arial"/>
          <w:b w:val="false"/>
          <w:bCs w:val="false"/>
          <w:color w:val="1A1A2E"/>
          <w:sz w:val="22"/>
          <w:szCs w:val="22"/>
        </w:rPr>
        <w:t xml:space="preserve">Employees working remotely are responsible for maintaining a professional working environment</w:t>
      </w:r>
    </w:p>
    <w:p>
      <w:pPr>
        <w:spacing w:after="100" w:before="60"/>
      </w:pPr>
      <w:r>
        <w:rPr>
          <w:rFonts w:ascii="Arial" w:cs="Arial" w:eastAsia="Arial" w:hAnsi="Arial"/>
          <w:color w:val="1A1A2E"/>
          <w:sz w:val="22"/>
          <w:szCs w:val="22"/>
        </w:rPr>
        <w:t xml:space="preserve">Formal remote work arrangements beyond standard flexibility must be agreed with the line manager and approved by HR in writing.</w:t>
      </w:r>
    </w:p>
    <w:p>
      <w:pPr>
        <w:pStyle w:val="Heading2"/>
        <w:spacing w:after="80" w:before="280"/>
      </w:pPr>
      <w:r>
        <w:rPr>
          <w:rFonts w:ascii="Arial" w:cs="Arial" w:eastAsia="Arial" w:hAnsi="Arial"/>
          <w:b/>
          <w:bCs/>
          <w:color w:val="0D1F35"/>
          <w:sz w:val="26"/>
          <w:szCs w:val="26"/>
        </w:rPr>
        <w:t xml:space="preserve">5.3 Ramadan Working Hours</w:t>
      </w:r>
    </w:p>
    <w:p>
      <w:pPr>
        <w:spacing w:after="100" w:before="60"/>
      </w:pPr>
      <w:r>
        <w:rPr>
          <w:rFonts w:ascii="Arial" w:cs="Arial" w:eastAsia="Arial" w:hAnsi="Arial"/>
          <w:color w:val="1A1A2E"/>
          <w:sz w:val="22"/>
          <w:szCs w:val="22"/>
        </w:rPr>
        <w:t xml:space="preserve">During the Holy Month of Ramadan, working hours for Muslim employees are reduced to six (6) hours per day in accordance with UAE law. Non-Muslim employees maintain standard working hours during Ramadan. Specific Ramadan hours will be communicated by HR at the start of each Ramadan period.</w:t>
      </w:r>
    </w:p>
    <w:p>
      <w:pPr>
        <w:pStyle w:val="Heading2"/>
        <w:spacing w:after="80" w:before="280"/>
      </w:pPr>
      <w:r>
        <w:rPr>
          <w:rFonts w:ascii="Arial" w:cs="Arial" w:eastAsia="Arial" w:hAnsi="Arial"/>
          <w:b/>
          <w:bCs/>
          <w:color w:val="0D1F35"/>
          <w:sz w:val="26"/>
          <w:szCs w:val="26"/>
        </w:rPr>
        <w:t xml:space="preserve">5.4 Overtime</w:t>
      </w:r>
    </w:p>
    <w:p>
      <w:pPr>
        <w:spacing w:after="100" w:before="60"/>
      </w:pPr>
      <w:r>
        <w:rPr>
          <w:rFonts w:ascii="Arial" w:cs="Arial" w:eastAsia="Arial" w:hAnsi="Arial"/>
          <w:color w:val="1A1A2E"/>
          <w:sz w:val="22"/>
          <w:szCs w:val="22"/>
        </w:rPr>
        <w:t xml:space="preserve">All employees at Novaris Solutions are salaried exempt professionals. Compensation packages are set to reflect the full scope of each role, including periods requiring additional effort or extended hours on client engagements or project deliveries. Overtime payments are not applicable to any employee band.</w:t>
      </w:r>
    </w:p>
    <w:p>
      <w:pPr>
        <w:spacing w:after="100" w:before="60"/>
      </w:pPr>
      <w:r>
        <w:rPr>
          <w:rFonts w:ascii="Arial" w:cs="Arial" w:eastAsia="Arial" w:hAnsi="Arial"/>
          <w:color w:val="1A1A2E"/>
          <w:sz w:val="22"/>
          <w:szCs w:val="22"/>
        </w:rPr>
        <w:t xml:space="preserve">Employees who consistently work excessive hours should raise this with their line manager to ensure workload is being managed appropriately.</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6. Leave Entitlements — Summary</w:t>
      </w:r>
    </w:p>
    <w:p>
      <w:pPr>
        <w:spacing w:after="100" w:before="60"/>
      </w:pPr>
      <w:r>
        <w:rPr>
          <w:rFonts w:ascii="Arial" w:cs="Arial" w:eastAsia="Arial" w:hAnsi="Arial"/>
          <w:color w:val="1A1A2E"/>
          <w:sz w:val="22"/>
          <w:szCs w:val="22"/>
        </w:rPr>
        <w:t xml:space="preserve">Full details of all leave types, procedures, and conditions are set out in the Novaris Solutions Leave and Attendance Policy. The following is a summary for reference.</w:t>
      </w:r>
    </w:p>
    <w:p>
      <w:pPr>
        <w:pStyle w:val="Heading2"/>
        <w:spacing w:after="80" w:before="280"/>
      </w:pPr>
      <w:r>
        <w:rPr>
          <w:rFonts w:ascii="Arial" w:cs="Arial" w:eastAsia="Arial" w:hAnsi="Arial"/>
          <w:b/>
          <w:bCs/>
          <w:color w:val="0D1F35"/>
          <w:sz w:val="26"/>
          <w:szCs w:val="26"/>
        </w:rPr>
        <w:t xml:space="preserve">6.1 Annual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Entitlement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24 working days per calendar year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Accrual</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Accrues from date of joining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Eligibility to take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After successful completion of probation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Carry forward</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Up to 10 working days, to be used by 31 March of the following year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Encashment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Carried forward leave may not be encashed. Accrued leave is paid out on exit.</w:t>
            </w:r>
          </w:p>
        </w:tc>
      </w:tr>
    </w:tbl>
    <w:p>
      <w:pPr>
        <w:pStyle w:val="Heading2"/>
        <w:spacing w:after="80" w:before="280"/>
      </w:pPr>
      <w:r>
        <w:rPr>
          <w:rFonts w:ascii="Arial" w:cs="Arial" w:eastAsia="Arial" w:hAnsi="Arial"/>
          <w:b/>
          <w:bCs/>
          <w:color w:val="0D1F35"/>
          <w:sz w:val="26"/>
          <w:szCs w:val="26"/>
        </w:rPr>
        <w:t xml:space="preserve">6.2 Sick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Total entitlement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90 days per year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First 15 days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Full pay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Days 16 to 45</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Half pay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Days 46 to 90</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Unpaid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Documentation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Medical certificate required from a DHA-licensed facility</w:t>
            </w:r>
          </w:p>
        </w:tc>
      </w:tr>
    </w:tbl>
    <w:p>
      <w:pPr>
        <w:pStyle w:val="Heading2"/>
        <w:spacing w:after="80" w:before="280"/>
      </w:pPr>
      <w:r>
        <w:rPr>
          <w:rFonts w:ascii="Arial" w:cs="Arial" w:eastAsia="Arial" w:hAnsi="Arial"/>
          <w:b/>
          <w:bCs/>
          <w:color w:val="0D1F35"/>
          <w:sz w:val="26"/>
          <w:szCs w:val="26"/>
        </w:rPr>
        <w:t xml:space="preserve">6.3 Maternity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Total entitlement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60 calendar days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First 45 days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Full pay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Days 46 to 60</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Half pay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Additional</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Up to 45 days unpaid leave may be requested post-maternity for health reasons, with medical evidence</w:t>
            </w:r>
          </w:p>
        </w:tc>
      </w:tr>
    </w:tbl>
    <w:p>
      <w:pPr>
        <w:pStyle w:val="Heading2"/>
        <w:spacing w:after="80" w:before="280"/>
      </w:pPr>
      <w:r>
        <w:rPr>
          <w:rFonts w:ascii="Arial" w:cs="Arial" w:eastAsia="Arial" w:hAnsi="Arial"/>
          <w:b/>
          <w:bCs/>
          <w:color w:val="0D1F35"/>
          <w:sz w:val="26"/>
          <w:szCs w:val="26"/>
        </w:rPr>
        <w:t xml:space="preserve">6.4 Paternity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Entitlement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5 working days at full pay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Eligibility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Must be taken within 1 month of the child's date of birth</w:t>
            </w:r>
          </w:p>
        </w:tc>
      </w:tr>
    </w:tbl>
    <w:p>
      <w:pPr>
        <w:pStyle w:val="Heading2"/>
        <w:spacing w:after="80" w:before="280"/>
      </w:pPr>
      <w:r>
        <w:rPr>
          <w:rFonts w:ascii="Arial" w:cs="Arial" w:eastAsia="Arial" w:hAnsi="Arial"/>
          <w:b/>
          <w:bCs/>
          <w:color w:val="0D1F35"/>
          <w:sz w:val="26"/>
          <w:szCs w:val="26"/>
        </w:rPr>
        <w:t xml:space="preserve">6.5 Public Holidays</w:t>
      </w:r>
    </w:p>
    <w:p>
      <w:pPr>
        <w:spacing w:after="100" w:before="60"/>
      </w:pPr>
      <w:r>
        <w:rPr>
          <w:rFonts w:ascii="Arial" w:cs="Arial" w:eastAsia="Arial" w:hAnsi="Arial"/>
          <w:color w:val="1A1A2E"/>
          <w:sz w:val="22"/>
          <w:szCs w:val="22"/>
        </w:rPr>
        <w:t xml:space="preserve">Employees are entitled to all UAE public holidays as officially gazetted by the UAE Cabinet each year. In addition, Novaris Solutions grants the following discretionary holidays:</w:t>
      </w:r>
    </w:p>
    <w:p>
      <w:pPr>
        <w:pStyle w:val="ListParagraph"/>
        <w:numPr>
          <w:ilvl w:val="0"/>
          <w:numId w:val="2"/>
        </w:numPr>
        <w:spacing w:after="40" w:before="40"/>
      </w:pPr>
      <w:r>
        <w:rPr>
          <w:rFonts w:ascii="Arial" w:cs="Arial" w:eastAsia="Arial" w:hAnsi="Arial"/>
          <w:b w:val="false"/>
          <w:bCs w:val="false"/>
          <w:color w:val="1A1A2E"/>
          <w:sz w:val="22"/>
          <w:szCs w:val="22"/>
        </w:rPr>
        <w:t xml:space="preserve">Christmas Day — 25 December</w:t>
      </w:r>
    </w:p>
    <w:p>
      <w:pPr>
        <w:pStyle w:val="ListParagraph"/>
        <w:numPr>
          <w:ilvl w:val="0"/>
          <w:numId w:val="2"/>
        </w:numPr>
        <w:spacing w:after="40" w:before="40"/>
      </w:pPr>
      <w:r>
        <w:rPr>
          <w:rFonts w:ascii="Arial" w:cs="Arial" w:eastAsia="Arial" w:hAnsi="Arial"/>
          <w:b w:val="false"/>
          <w:bCs w:val="false"/>
          <w:color w:val="1A1A2E"/>
          <w:sz w:val="22"/>
          <w:szCs w:val="22"/>
        </w:rPr>
        <w:t xml:space="preserve">Diwali — as per the official date each year</w:t>
      </w:r>
    </w:p>
    <w:p>
      <w:pPr>
        <w:spacing w:after="100" w:before="60"/>
      </w:pPr>
      <w:r>
        <w:rPr>
          <w:rFonts w:ascii="Arial" w:cs="Arial" w:eastAsia="Arial" w:hAnsi="Arial"/>
          <w:color w:val="1A1A2E"/>
          <w:sz w:val="22"/>
          <w:szCs w:val="22"/>
        </w:rPr>
        <w:t xml:space="preserve">Where either discretionary holiday falls on a weekend (Friday or Saturday), a substitute working day will be granted in lieu, to be taken within the same month.</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7. Compensation and Benefits — Summary</w:t>
      </w:r>
    </w:p>
    <w:p>
      <w:pPr>
        <w:spacing w:after="100" w:before="60"/>
      </w:pPr>
      <w:r>
        <w:rPr>
          <w:rFonts w:ascii="Arial" w:cs="Arial" w:eastAsia="Arial" w:hAnsi="Arial"/>
          <w:color w:val="1A1A2E"/>
          <w:sz w:val="22"/>
          <w:szCs w:val="22"/>
        </w:rPr>
        <w:t xml:space="preserve">Full details are set out in the Novaris Solutions Benefits and Compensation Policy. The following is a summary for reference.</w:t>
      </w:r>
    </w:p>
    <w:p>
      <w:pPr>
        <w:pStyle w:val="Heading2"/>
        <w:spacing w:after="80" w:before="280"/>
      </w:pPr>
      <w:r>
        <w:rPr>
          <w:rFonts w:ascii="Arial" w:cs="Arial" w:eastAsia="Arial" w:hAnsi="Arial"/>
          <w:b/>
          <w:bCs/>
          <w:color w:val="0D1F35"/>
          <w:sz w:val="26"/>
          <w:szCs w:val="26"/>
        </w:rPr>
        <w:t xml:space="preserve">7.1 Salary Structure</w:t>
      </w:r>
    </w:p>
    <w:p>
      <w:pPr>
        <w:spacing w:after="100" w:before="60"/>
      </w:pPr>
      <w:r>
        <w:rPr>
          <w:rFonts w:ascii="Arial" w:cs="Arial" w:eastAsia="Arial" w:hAnsi="Arial"/>
          <w:color w:val="1A1A2E"/>
          <w:sz w:val="22"/>
          <w:szCs w:val="22"/>
        </w:rPr>
        <w:t xml:space="preserve">Novaris Solutions pays a single consolidated monthly salary. There are no separate housing, transport, or other allowances. Your salary as stated in your employment contract is your total monthly base compensation.</w:t>
      </w:r>
    </w:p>
    <w:p>
      <w:pPr>
        <w:pStyle w:val="Heading2"/>
        <w:spacing w:after="80" w:before="280"/>
      </w:pPr>
      <w:r>
        <w:rPr>
          <w:rFonts w:ascii="Arial" w:cs="Arial" w:eastAsia="Arial" w:hAnsi="Arial"/>
          <w:b/>
          <w:bCs/>
          <w:color w:val="0D1F35"/>
          <w:sz w:val="26"/>
          <w:szCs w:val="26"/>
        </w:rPr>
        <w:t xml:space="preserve">7.2 Salary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Review cycle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Annual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Timing</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Linked to the annual performance rating cycle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Performance process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Goal setting at start of financial year · mid-year check-in · annual performance rating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Salary adjustments, if any, are effective from 1 January each year</w:t>
            </w:r>
          </w:p>
        </w:tc>
      </w:tr>
    </w:tbl>
    <w:p>
      <w:pPr>
        <w:pStyle w:val="Heading2"/>
        <w:spacing w:after="80" w:before="280"/>
      </w:pPr>
      <w:r>
        <w:rPr>
          <w:rFonts w:ascii="Arial" w:cs="Arial" w:eastAsia="Arial" w:hAnsi="Arial"/>
          <w:b/>
          <w:bCs/>
          <w:color w:val="0D1F35"/>
          <w:sz w:val="26"/>
          <w:szCs w:val="26"/>
        </w:rPr>
        <w:t xml:space="preserve">7.3 End of Service Gratuity</w:t>
      </w:r>
    </w:p>
    <w:p>
      <w:pPr>
        <w:spacing w:after="100" w:before="60"/>
      </w:pPr>
      <w:r>
        <w:rPr>
          <w:rFonts w:ascii="Arial" w:cs="Arial" w:eastAsia="Arial" w:hAnsi="Arial"/>
          <w:color w:val="1A1A2E"/>
          <w:sz w:val="22"/>
          <w:szCs w:val="22"/>
        </w:rPr>
        <w:t xml:space="preserve">Employees are entitled to End of Service Gratuity (EOSG) in accordance with UAE Federal Decree-Law No. 33 of 2021, calculated as follows:</w:t>
      </w:r>
    </w:p>
    <w:p>
      <w:pPr>
        <w:pStyle w:val="ListParagraph"/>
        <w:numPr>
          <w:ilvl w:val="0"/>
          <w:numId w:val="2"/>
        </w:numPr>
        <w:spacing w:after="40" w:before="40"/>
      </w:pPr>
      <w:r>
        <w:rPr>
          <w:rFonts w:ascii="Arial" w:cs="Arial" w:eastAsia="Arial" w:hAnsi="Arial"/>
          <w:b w:val="false"/>
          <w:bCs w:val="false"/>
          <w:color w:val="1A1A2E"/>
          <w:sz w:val="22"/>
          <w:szCs w:val="22"/>
        </w:rPr>
        <w:t xml:space="preserve">21 calendar days of basic salary for each year of service for the first five (5) years</w:t>
      </w:r>
    </w:p>
    <w:p>
      <w:pPr>
        <w:pStyle w:val="ListParagraph"/>
        <w:numPr>
          <w:ilvl w:val="0"/>
          <w:numId w:val="2"/>
        </w:numPr>
        <w:spacing w:after="40" w:before="40"/>
      </w:pPr>
      <w:r>
        <w:rPr>
          <w:rFonts w:ascii="Arial" w:cs="Arial" w:eastAsia="Arial" w:hAnsi="Arial"/>
          <w:b w:val="false"/>
          <w:bCs w:val="false"/>
          <w:color w:val="1A1A2E"/>
          <w:sz w:val="22"/>
          <w:szCs w:val="22"/>
        </w:rPr>
        <w:t xml:space="preserve">30 calendar days of basic salary for each year of service beyond five (5) years</w:t>
      </w:r>
    </w:p>
    <w:p>
      <w:pPr>
        <w:spacing w:after="100" w:before="60"/>
      </w:pPr>
      <w:r>
        <w:rPr>
          <w:rFonts w:ascii="Arial" w:cs="Arial" w:eastAsia="Arial" w:hAnsi="Arial"/>
          <w:color w:val="1A1A2E"/>
          <w:sz w:val="22"/>
          <w:szCs w:val="22"/>
        </w:rPr>
        <w:t xml:space="preserve">For the purposes of EOSG calculation at Novaris Solutions, the basic salary is the full consolidated monthly salary as stated in the employment contract.</w:t>
      </w:r>
    </w:p>
    <w:p>
      <w:pPr>
        <w:pBdr>
          <w:left w:val="single" w:color="C2933A" w:sz="12" w:space="8"/>
        </w:pBdr>
        <w:spacing w:after="80" w:before="80"/>
        <w:ind w:left="360"/>
      </w:pPr>
      <w:r>
        <w:rPr>
          <w:rFonts w:ascii="Arial" w:cs="Arial" w:eastAsia="Arial" w:hAnsi="Arial"/>
          <w:i/>
          <w:iCs/>
          <w:color w:val="5A5A5A"/>
          <w:sz w:val="20"/>
          <w:szCs w:val="20"/>
        </w:rPr>
        <w:t xml:space="preserve">EOSG is calculated on the last drawn salary at the time of exit and is subject to the provisions of UAE Labour Law in force at that time.</w:t>
      </w:r>
    </w:p>
    <w:p>
      <w:pPr>
        <w:pStyle w:val="Heading2"/>
        <w:spacing w:after="80" w:before="280"/>
      </w:pPr>
      <w:r>
        <w:rPr>
          <w:rFonts w:ascii="Arial" w:cs="Arial" w:eastAsia="Arial" w:hAnsi="Arial"/>
          <w:b/>
          <w:bCs/>
          <w:color w:val="0D1F35"/>
          <w:sz w:val="26"/>
          <w:szCs w:val="26"/>
        </w:rPr>
        <w:t xml:space="preserve">7.4 Air Ticket Allowance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Fixed annual cash allowance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Amount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As specified in individual employment contracts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Eligibility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Employees who have completed one (1) full year of continuous service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Payment date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Paid in June each year, with the monthly salary payroll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Proration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Prorated in the year of joining and the year of exit based on months of service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Receipts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No receipts required — the allowance is unconditional upon travel</w:t>
            </w:r>
          </w:p>
        </w:tc>
      </w:tr>
    </w:tbl>
    <w:p>
      <w:pPr>
        <w:pStyle w:val="Heading2"/>
        <w:spacing w:after="80" w:before="280"/>
      </w:pPr>
      <w:r>
        <w:rPr>
          <w:rFonts w:ascii="Arial" w:cs="Arial" w:eastAsia="Arial" w:hAnsi="Arial"/>
          <w:b/>
          <w:bCs/>
          <w:color w:val="0D1F35"/>
          <w:sz w:val="26"/>
          <w:szCs w:val="26"/>
        </w:rPr>
        <w:t xml:space="preserve">7.5 Health Insurance</w:t>
      </w:r>
    </w:p>
    <w:p>
      <w:pPr>
        <w:spacing w:after="100" w:before="60"/>
      </w:pPr>
      <w:r>
        <w:rPr>
          <w:rFonts w:ascii="Arial" w:cs="Arial" w:eastAsia="Arial" w:hAnsi="Arial"/>
          <w:color w:val="1A1A2E"/>
          <w:sz w:val="22"/>
          <w:szCs w:val="22"/>
        </w:rPr>
        <w:t xml:space="preserve">Novaris Solutions provides health insurance coverage to all employees under the Dubai Health Authority (DHA) framework from the first day of employment. Coverage details, including the network of approved providers, are provided by HR upon joining. Employees are responsible for any costs that fall outside the scope of the policy.</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8. Performance Management</w:t>
      </w:r>
    </w:p>
    <w:p>
      <w:pPr>
        <w:pStyle w:val="Heading2"/>
        <w:spacing w:after="80" w:before="280"/>
      </w:pPr>
      <w:r>
        <w:rPr>
          <w:rFonts w:ascii="Arial" w:cs="Arial" w:eastAsia="Arial" w:hAnsi="Arial"/>
          <w:b/>
          <w:bCs/>
          <w:color w:val="0D1F35"/>
          <w:sz w:val="26"/>
          <w:szCs w:val="26"/>
        </w:rPr>
        <w:t xml:space="preserve">8.1 Performance Cycle</w:t>
      </w:r>
    </w:p>
    <w:p>
      <w:pPr>
        <w:spacing w:after="100" w:before="60"/>
      </w:pPr>
      <w:r>
        <w:rPr>
          <w:rFonts w:ascii="Arial" w:cs="Arial" w:eastAsia="Arial" w:hAnsi="Arial"/>
          <w:color w:val="1A1A2E"/>
          <w:sz w:val="22"/>
          <w:szCs w:val="22"/>
        </w:rPr>
        <w:t xml:space="preserve">Novaris Solutions operates an annual performance cycle aligned to the financial year (January to December). The cycle consists of three stages:</w:t>
      </w:r>
    </w:p>
    <w:p>
      <w:pPr>
        <w:pStyle w:val="ListParagraph"/>
        <w:numPr>
          <w:ilvl w:val="0"/>
          <w:numId w:val="2"/>
        </w:numPr>
        <w:spacing w:after="40" w:before="40"/>
      </w:pPr>
      <w:r>
        <w:rPr>
          <w:rFonts w:ascii="Arial" w:cs="Arial" w:eastAsia="Arial" w:hAnsi="Arial"/>
          <w:b/>
          <w:bCs/>
          <w:color w:val="1A1A2E"/>
          <w:sz w:val="22"/>
          <w:szCs w:val="22"/>
        </w:rPr>
        <w:t xml:space="preserve">Goal Setting — at the start of the financial year (January), employees and managers agree on individual objectives aligned to team and company goals</w:t>
      </w:r>
    </w:p>
    <w:p>
      <w:pPr>
        <w:pStyle w:val="ListParagraph"/>
        <w:numPr>
          <w:ilvl w:val="0"/>
          <w:numId w:val="2"/>
        </w:numPr>
        <w:spacing w:after="40" w:before="40"/>
      </w:pPr>
      <w:r>
        <w:rPr>
          <w:rFonts w:ascii="Arial" w:cs="Arial" w:eastAsia="Arial" w:hAnsi="Arial"/>
          <w:b/>
          <w:bCs/>
          <w:color w:val="1A1A2E"/>
          <w:sz w:val="22"/>
          <w:szCs w:val="22"/>
        </w:rPr>
        <w:t xml:space="preserve">Mid-Year Check-In — in July, employees complete a structured self-assessment and meet with their manager to review progress, adjust goals if required, and address any development needs</w:t>
      </w:r>
    </w:p>
    <w:p>
      <w:pPr>
        <w:pStyle w:val="ListParagraph"/>
        <w:numPr>
          <w:ilvl w:val="0"/>
          <w:numId w:val="2"/>
        </w:numPr>
        <w:spacing w:after="40" w:before="40"/>
      </w:pPr>
      <w:r>
        <w:rPr>
          <w:rFonts w:ascii="Arial" w:cs="Arial" w:eastAsia="Arial" w:hAnsi="Arial"/>
          <w:b/>
          <w:bCs/>
          <w:color w:val="1A1A2E"/>
          <w:sz w:val="22"/>
          <w:szCs w:val="22"/>
        </w:rPr>
        <w:t xml:space="preserve">Annual Performance Rating — in December, managers complete a formal performance review resulting in an overall rating that informs compensation decisions for the following year</w:t>
      </w:r>
    </w:p>
    <w:p>
      <w:pPr>
        <w:pStyle w:val="Heading2"/>
        <w:spacing w:after="80" w:before="280"/>
      </w:pPr>
      <w:r>
        <w:rPr>
          <w:rFonts w:ascii="Arial" w:cs="Arial" w:eastAsia="Arial" w:hAnsi="Arial"/>
          <w:b/>
          <w:bCs/>
          <w:color w:val="0D1F35"/>
          <w:sz w:val="26"/>
          <w:szCs w:val="26"/>
        </w:rPr>
        <w:t xml:space="preserve">8.2 Performance Improvement</w:t>
      </w:r>
    </w:p>
    <w:p>
      <w:pPr>
        <w:spacing w:after="100" w:before="60"/>
      </w:pPr>
      <w:r>
        <w:rPr>
          <w:rFonts w:ascii="Arial" w:cs="Arial" w:eastAsia="Arial" w:hAnsi="Arial"/>
          <w:color w:val="1A1A2E"/>
          <w:sz w:val="22"/>
          <w:szCs w:val="22"/>
        </w:rPr>
        <w:t xml:space="preserve">Where an employee's performance falls below the required standard, the line manager will work with HR to initiate a structured Performance Improvement Plan (PIP). The PIP will define clear expectations, a support plan, and a review timeline. The Grievance and Disciplinary Policy provides further detail on the process.</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9. General Conduct</w:t>
      </w:r>
    </w:p>
    <w:p>
      <w:pPr>
        <w:spacing w:after="100" w:before="60"/>
      </w:pPr>
      <w:r>
        <w:rPr>
          <w:rFonts w:ascii="Arial" w:cs="Arial" w:eastAsia="Arial" w:hAnsi="Arial"/>
          <w:color w:val="1A1A2E"/>
          <w:sz w:val="22"/>
          <w:szCs w:val="22"/>
        </w:rPr>
        <w:t xml:space="preserve">All employees are expected to conduct themselves professionally and in accordance with the Novaris Solutions Code of Conduct at all times. The following principles apply as a minimum standard:</w:t>
      </w:r>
    </w:p>
    <w:p>
      <w:pPr>
        <w:pStyle w:val="ListParagraph"/>
        <w:numPr>
          <w:ilvl w:val="0"/>
          <w:numId w:val="2"/>
        </w:numPr>
        <w:spacing w:after="40" w:before="40"/>
      </w:pPr>
      <w:r>
        <w:rPr>
          <w:rFonts w:ascii="Arial" w:cs="Arial" w:eastAsia="Arial" w:hAnsi="Arial"/>
          <w:b w:val="false"/>
          <w:bCs w:val="false"/>
          <w:color w:val="1A1A2E"/>
          <w:sz w:val="22"/>
          <w:szCs w:val="22"/>
        </w:rPr>
        <w:t xml:space="preserve">Treat all colleagues, clients, and stakeholders with respect and professionalism</w:t>
      </w:r>
    </w:p>
    <w:p>
      <w:pPr>
        <w:pStyle w:val="ListParagraph"/>
        <w:numPr>
          <w:ilvl w:val="0"/>
          <w:numId w:val="2"/>
        </w:numPr>
        <w:spacing w:after="40" w:before="40"/>
      </w:pPr>
      <w:r>
        <w:rPr>
          <w:rFonts w:ascii="Arial" w:cs="Arial" w:eastAsia="Arial" w:hAnsi="Arial"/>
          <w:b w:val="false"/>
          <w:bCs w:val="false"/>
          <w:color w:val="1A1A2E"/>
          <w:sz w:val="22"/>
          <w:szCs w:val="22"/>
        </w:rPr>
        <w:t xml:space="preserve">Protect the confidentiality of client data, company information, and intellectual property</w:t>
      </w:r>
    </w:p>
    <w:p>
      <w:pPr>
        <w:pStyle w:val="ListParagraph"/>
        <w:numPr>
          <w:ilvl w:val="0"/>
          <w:numId w:val="2"/>
        </w:numPr>
        <w:spacing w:after="40" w:before="40"/>
      </w:pPr>
      <w:r>
        <w:rPr>
          <w:rFonts w:ascii="Arial" w:cs="Arial" w:eastAsia="Arial" w:hAnsi="Arial"/>
          <w:b w:val="false"/>
          <w:bCs w:val="false"/>
          <w:color w:val="1A1A2E"/>
          <w:sz w:val="22"/>
          <w:szCs w:val="22"/>
        </w:rPr>
        <w:t xml:space="preserve">Comply with all applicable UAE laws and regulations</w:t>
      </w:r>
    </w:p>
    <w:p>
      <w:pPr>
        <w:pStyle w:val="ListParagraph"/>
        <w:numPr>
          <w:ilvl w:val="0"/>
          <w:numId w:val="2"/>
        </w:numPr>
        <w:spacing w:after="40" w:before="40"/>
      </w:pPr>
      <w:r>
        <w:rPr>
          <w:rFonts w:ascii="Arial" w:cs="Arial" w:eastAsia="Arial" w:hAnsi="Arial"/>
          <w:b w:val="false"/>
          <w:bCs w:val="false"/>
          <w:color w:val="1A1A2E"/>
          <w:sz w:val="22"/>
          <w:szCs w:val="22"/>
        </w:rPr>
        <w:t xml:space="preserve">Declare any actual or potential conflicts of interest to HR promptly</w:t>
      </w:r>
    </w:p>
    <w:p>
      <w:pPr>
        <w:pStyle w:val="ListParagraph"/>
        <w:numPr>
          <w:ilvl w:val="0"/>
          <w:numId w:val="2"/>
        </w:numPr>
        <w:spacing w:after="40" w:before="40"/>
      </w:pPr>
      <w:r>
        <w:rPr>
          <w:rFonts w:ascii="Arial" w:cs="Arial" w:eastAsia="Arial" w:hAnsi="Arial"/>
          <w:b w:val="false"/>
          <w:bCs w:val="false"/>
          <w:color w:val="1A1A2E"/>
          <w:sz w:val="22"/>
          <w:szCs w:val="22"/>
        </w:rPr>
        <w:t xml:space="preserve">Use company systems and resources responsibly and for business purposes</w:t>
      </w:r>
    </w:p>
    <w:p>
      <w:pPr>
        <w:spacing w:after="100" w:before="60"/>
      </w:pPr>
      <w:r>
        <w:rPr>
          <w:rFonts w:ascii="Arial" w:cs="Arial" w:eastAsia="Arial" w:hAnsi="Arial"/>
          <w:color w:val="1A1A2E"/>
          <w:sz w:val="22"/>
          <w:szCs w:val="22"/>
        </w:rPr>
        <w:t xml:space="preserve">Full expectations are set out in the Novaris Solutions Code of Conduct. Breaches of conduct are managed under the Grievance and Disciplinary Policy.</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10. Data Privacy</w:t>
      </w:r>
    </w:p>
    <w:p>
      <w:pPr>
        <w:spacing w:after="100" w:before="60"/>
      </w:pPr>
      <w:r>
        <w:rPr>
          <w:rFonts w:ascii="Arial" w:cs="Arial" w:eastAsia="Arial" w:hAnsi="Arial"/>
          <w:color w:val="1A1A2E"/>
          <w:sz w:val="22"/>
          <w:szCs w:val="22"/>
        </w:rPr>
        <w:t xml:space="preserve">Novaris Solutions handles sensitive employee and client data as a core part of its business. All employees are required to:</w:t>
      </w:r>
    </w:p>
    <w:p>
      <w:pPr>
        <w:pStyle w:val="ListParagraph"/>
        <w:numPr>
          <w:ilvl w:val="0"/>
          <w:numId w:val="2"/>
        </w:numPr>
        <w:spacing w:after="40" w:before="40"/>
      </w:pPr>
      <w:r>
        <w:rPr>
          <w:rFonts w:ascii="Arial" w:cs="Arial" w:eastAsia="Arial" w:hAnsi="Arial"/>
          <w:b w:val="false"/>
          <w:bCs w:val="false"/>
          <w:color w:val="1A1A2E"/>
          <w:sz w:val="22"/>
          <w:szCs w:val="22"/>
        </w:rPr>
        <w:t xml:space="preserve">Handle personal data strictly in accordance with applicable UAE data protection laws</w:t>
      </w:r>
    </w:p>
    <w:p>
      <w:pPr>
        <w:pStyle w:val="ListParagraph"/>
        <w:numPr>
          <w:ilvl w:val="0"/>
          <w:numId w:val="2"/>
        </w:numPr>
        <w:spacing w:after="40" w:before="40"/>
      </w:pPr>
      <w:r>
        <w:rPr>
          <w:rFonts w:ascii="Arial" w:cs="Arial" w:eastAsia="Arial" w:hAnsi="Arial"/>
          <w:b w:val="false"/>
          <w:bCs w:val="false"/>
          <w:color w:val="1A1A2E"/>
          <w:sz w:val="22"/>
          <w:szCs w:val="22"/>
        </w:rPr>
        <w:t xml:space="preserve">Not disclose client or employee data to any unauthorised party</w:t>
      </w:r>
    </w:p>
    <w:p>
      <w:pPr>
        <w:pStyle w:val="ListParagraph"/>
        <w:numPr>
          <w:ilvl w:val="0"/>
          <w:numId w:val="2"/>
        </w:numPr>
        <w:spacing w:after="40" w:before="40"/>
      </w:pPr>
      <w:r>
        <w:rPr>
          <w:rFonts w:ascii="Arial" w:cs="Arial" w:eastAsia="Arial" w:hAnsi="Arial"/>
          <w:b w:val="false"/>
          <w:bCs w:val="false"/>
          <w:color w:val="1A1A2E"/>
          <w:sz w:val="22"/>
          <w:szCs w:val="22"/>
        </w:rPr>
        <w:t xml:space="preserve">Report any data breach or suspected breach to IT and HR immediately</w:t>
      </w:r>
    </w:p>
    <w:p>
      <w:pPr>
        <w:pStyle w:val="ListParagraph"/>
        <w:numPr>
          <w:ilvl w:val="0"/>
          <w:numId w:val="2"/>
        </w:numPr>
        <w:spacing w:after="40" w:before="40"/>
      </w:pPr>
      <w:r>
        <w:rPr>
          <w:rFonts w:ascii="Arial" w:cs="Arial" w:eastAsia="Arial" w:hAnsi="Arial"/>
          <w:b w:val="false"/>
          <w:bCs w:val="false"/>
          <w:color w:val="1A1A2E"/>
          <w:sz w:val="22"/>
          <w:szCs w:val="22"/>
        </w:rPr>
        <w:t xml:space="preserve">Complete mandatory data privacy training as required by the Company</w:t>
      </w:r>
    </w:p>
    <w:p>
      <w:pPr>
        <w:spacing w:after="100" w:before="60"/>
      </w:pPr>
      <w:r>
        <w:rPr>
          <w:rFonts w:ascii="Arial" w:cs="Arial" w:eastAsia="Arial" w:hAnsi="Arial"/>
          <w:color w:val="1A1A2E"/>
          <w:sz w:val="22"/>
          <w:szCs w:val="22"/>
        </w:rPr>
        <w:t xml:space="preserve">Given the nature of Novaris Solutions' business as an HR technology provider, employees who handle client workforce data carry a heightened responsibility for confidentiality and data security. Breaches will be treated with the utmost seriousness under the Disciplinary Policy.</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11. Grievance and Disciplinary</w:t>
      </w:r>
    </w:p>
    <w:p>
      <w:pPr>
        <w:spacing w:after="100" w:before="60"/>
      </w:pPr>
      <w:r>
        <w:rPr>
          <w:rFonts w:ascii="Arial" w:cs="Arial" w:eastAsia="Arial" w:hAnsi="Arial"/>
          <w:color w:val="1A1A2E"/>
          <w:sz w:val="22"/>
          <w:szCs w:val="22"/>
        </w:rPr>
        <w:t xml:space="preserve">Novaris Solutions is committed to maintaining a fair and respectful workplace. Full procedures for raising a grievance and for managing disciplinary matters are set out in the Novaris Solutions Grievance and Disciplinary Policy.</w:t>
      </w:r>
    </w:p>
    <w:p>
      <w:pPr>
        <w:spacing w:after="100" w:before="60"/>
      </w:pPr>
      <w:r>
        <w:rPr>
          <w:rFonts w:ascii="Arial" w:cs="Arial" w:eastAsia="Arial" w:hAnsi="Arial"/>
          <w:color w:val="1A1A2E"/>
          <w:sz w:val="22"/>
          <w:szCs w:val="22"/>
        </w:rPr>
        <w:t xml:space="preserve">If you have a concern or complaint relating to your employment, we encourage you to raise it promptly with your line manager or, where that is not appropriate, directly with the HR department at hr@novarissolutions.ae.</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12. Policy Amendments</w:t>
      </w:r>
    </w:p>
    <w:p>
      <w:pPr>
        <w:spacing w:after="100" w:before="60"/>
      </w:pPr>
      <w:r>
        <w:rPr>
          <w:rFonts w:ascii="Arial" w:cs="Arial" w:eastAsia="Arial" w:hAnsi="Arial"/>
          <w:color w:val="1A1A2E"/>
          <w:sz w:val="22"/>
          <w:szCs w:val="22"/>
        </w:rPr>
        <w:t xml:space="preserve">Novaris Solutions reserves the right to amend, supplement, or withdraw any policy in this Handbook at any time. Employees will be notified of material changes in writing or via official company communication. Continued employment following notification of a change constitutes acceptance of the revised policy.</w:t>
      </w:r>
    </w:p>
    <w:p>
      <w:pPr>
        <w:spacing w:after="100" w:before="60"/>
      </w:pPr>
      <w:r>
        <w:rPr>
          <w:rFonts w:ascii="Arial" w:cs="Arial" w:eastAsia="Arial" w:hAnsi="Arial"/>
          <w:color w:val="1A1A2E"/>
          <w:sz w:val="22"/>
          <w:szCs w:val="22"/>
        </w:rPr>
        <w:t xml:space="preserve">The most current version of this Handbook is maintained by the Human Resources department. In the event of any discrepancy between printed copies and the current HR-maintained version, the current HR-maintained version shall prevail.</w:t>
      </w:r>
    </w:p>
    <w:p>
      <w:pPr>
        <w:spacing w:after="240" w:before="0"/>
      </w:pPr>
      <w:r>
        <w:t xml:space="preserve"/>
      </w:r>
    </w:p>
    <w:p>
      <w:pPr>
        <w:pBdr>
          <w:top w:val="single" w:color="CCCCCC" w:sz="4" w:space="6"/>
        </w:pBdr>
        <w:spacing w:after="60" w:before="200"/>
        <w:jc w:val="center"/>
      </w:pPr>
      <w:r>
        <w:rPr>
          <w:rFonts w:ascii="Arial" w:cs="Arial" w:eastAsia="Arial" w:hAnsi="Arial"/>
          <w:color w:val="AAAAAA"/>
          <w:sz w:val="18"/>
          <w:szCs w:val="18"/>
        </w:rPr>
        <w:t xml:space="preserve">Novaris Solutions  |  Human Resources Department  |  hr@novarissolutions.ae</w:t>
      </w:r>
    </w:p>
    <w:p>
      <w:pPr>
        <w:spacing w:after="60"/>
        <w:jc w:val="center"/>
      </w:pPr>
      <w:r>
        <w:rPr>
          <w:rFonts w:ascii="Arial" w:cs="Arial" w:eastAsia="Arial" w:hAnsi="Arial"/>
          <w:color w:val="AAAAAA"/>
          <w:sz w:val="18"/>
          <w:szCs w:val="18"/>
        </w:rPr>
        <w:t xml:space="preserve">Version 1.0  |  January 2025  |  Confidential — For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60"/>
    </w:pPr>
    <w:r>
      <w:rPr>
        <w:rFonts w:ascii="Arial" w:cs="Arial" w:eastAsia="Arial" w:hAnsi="Arial"/>
        <w:color w:val="AAAAAA"/>
        <w:sz w:val="16"/>
        <w:szCs w:val="16"/>
      </w:rPr>
      <w:t xml:space="preserve">Confidential — For Internal Use Only</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933A" w:sz="6" w:space="4"/>
      </w:pBdr>
      <w:tabs>
        <w:tab w:val="right" w:pos="9360"/>
      </w:tabs>
      <w:spacing w:after="0"/>
    </w:pPr>
    <w:r>
      <w:rPr>
        <w:rFonts w:ascii="Arial" w:cs="Arial" w:eastAsia="Arial" w:hAnsi="Arial"/>
        <w:b/>
        <w:bCs/>
        <w:color w:val="0D1F35"/>
        <w:sz w:val="18"/>
        <w:szCs w:val="18"/>
      </w:rPr>
      <w:t xml:space="preserve">NOVARIS SOLUTIONS</w:t>
    </w:r>
    <w:r>
      <w:rPr>
        <w:rFonts w:ascii="Arial" w:cs="Arial" w:eastAsia="Arial" w:hAnsi="Arial"/>
        <w:color w:val="888888"/>
        <w:sz w:val="18"/>
        <w:szCs w:val="18"/>
      </w:rPr>
      <w:t xml:space="preserve">	Employee HR Handbook</w:t>
    </w:r>
  </w:p>
  <w:p>
    <w:pPr>
      <w:spacing w:after="36"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F35"/>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D1F35"/>
      <w:sz w:val="26"/>
      <w:szCs w:val="26"/>
    </w:rPr>
  </w:style>
  <w:style w:type="paragraph" w:styleId="Heading3">
    <w:name w:val="Heading 3"/>
    <w:basedOn w:val="Normal"/>
    <w:next w:val="Normal"/>
    <w:qFormat/>
    <w:pPr>
      <w:spacing w:after="60" w:before="200"/>
      <w:outlineLvl w:val="2"/>
    </w:pPr>
    <w:rPr>
      <w:rFonts w:ascii="Arial" w:cs="Arial" w:eastAsia="Arial" w:hAnsi="Arial"/>
      <w:b/>
      <w:bCs/>
      <w:color w:val="C293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2026-04-22T07:03:13.681Z</dcterms:created>
  <dcterms:modified xsi:type="dcterms:W3CDTF">2026-04-22T07:03:13.683Z</dcterms:modified>
</cp:coreProperties>
</file>

<file path=docProps/custom.xml><?xml version="1.0" encoding="utf-8"?>
<Properties xmlns="http://schemas.openxmlformats.org/officeDocument/2006/custom-properties" xmlns:vt="http://schemas.openxmlformats.org/officeDocument/2006/docPropsVTypes"/>
</file>