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Aptos Display" w:hAnsi="Aptos Display"/>
          <w:b/>
          <w:color w:val="102A43"/>
          <w:sz w:val="64"/>
        </w:rPr>
        <w:t>PROJECTTRUTH</w:t>
        <w:br/>
        <w:t>MONITOR</w:t>
      </w:r>
    </w:p>
    <w:p>
      <w:pPr>
        <w:spacing w:before="160"/>
        <w:jc w:val="center"/>
      </w:pPr>
      <w:r>
        <w:rPr>
          <w:rFonts w:ascii="Aptos" w:hAnsi="Aptos"/>
          <w:b/>
          <w:color w:val="0E9384"/>
          <w:sz w:val="30"/>
        </w:rPr>
        <w:t>Real Estate Intelligence Tracker for the Suproc Marketplace</w:t>
      </w:r>
    </w:p>
    <w:p>
      <w:pPr>
        <w:spacing w:before="320"/>
        <w:jc w:val="center"/>
      </w:pPr>
      <w:r>
        <w:rPr>
          <w:rFonts w:ascii="Aptos" w:hAnsi="Aptos"/>
          <w:color w:val="486581"/>
          <w:sz w:val="22"/>
        </w:rPr>
        <w:t>Evidence-first RERA project monitoring, document comparison and project truth timelines</w:t>
      </w:r>
    </w:p>
    <w:tbl>
      <w:tblPr>
        <w:tblW w:type="auto" w:w="0"/>
        <w:jc w:val="center"/>
        <w:tblLayout w:type="fixed"/>
        <w:tblLook w:firstColumn="1" w:firstRow="1" w:lastColumn="0" w:lastRow="0" w:noHBand="0" w:noVBand="1" w:val="04A0"/>
      </w:tblPr>
      <w:tblGrid>
        <w:gridCol w:w="4989"/>
        <w:gridCol w:w="4989"/>
      </w:tblGrid>
      <w:tr>
        <w:tc>
          <w:tcPr>
            <w:tcW w:type="dxa" w:w="2268"/>
            <w:shd w:fill="EAF7F5"/>
            <w:tcMar>
              <w:top w:w="90" w:type="dxa"/>
              <w:start w:w="100" w:type="dxa"/>
              <w:bottom w:w="90" w:type="dxa"/>
              <w:end w:w="100" w:type="dxa"/>
            </w:tcMar>
          </w:tcPr>
          <w:p>
            <w:r>
              <w:rPr>
                <w:rFonts w:ascii="Aptos" w:hAnsi="Aptos"/>
                <w:b/>
                <w:color w:val="0E9384"/>
                <w:sz w:val="17"/>
              </w:rPr>
              <w:t>Recommendation</w:t>
            </w:r>
          </w:p>
        </w:tc>
        <w:tc>
          <w:tcPr>
            <w:tcW w:type="dxa" w:w="5102"/>
            <w:tcMar>
              <w:top w:w="90" w:type="dxa"/>
              <w:start w:w="100" w:type="dxa"/>
              <w:bottom w:w="90" w:type="dxa"/>
              <w:end w:w="100" w:type="dxa"/>
            </w:tcMar>
          </w:tcPr>
          <w:p>
            <w:r>
              <w:rPr>
                <w:rFonts w:ascii="Aptos" w:hAnsi="Aptos"/>
                <w:color w:val="344054"/>
                <w:sz w:val="17"/>
              </w:rPr>
              <w:t>GO — with a narrow Gurugram pilot</w:t>
            </w:r>
          </w:p>
        </w:tc>
      </w:tr>
      <w:tr>
        <w:tc>
          <w:tcPr>
            <w:tcW w:type="dxa" w:w="2268"/>
            <w:shd w:fill="EAF7F5"/>
            <w:tcMar>
              <w:top w:w="90" w:type="dxa"/>
              <w:start w:w="100" w:type="dxa"/>
              <w:bottom w:w="90" w:type="dxa"/>
              <w:end w:w="100" w:type="dxa"/>
            </w:tcMar>
          </w:tcPr>
          <w:p>
            <w:r>
              <w:rPr>
                <w:rFonts w:ascii="Aptos" w:hAnsi="Aptos"/>
                <w:b/>
                <w:color w:val="0E9384"/>
                <w:sz w:val="17"/>
              </w:rPr>
              <w:t>Primary user</w:t>
            </w:r>
          </w:p>
        </w:tc>
        <w:tc>
          <w:tcPr>
            <w:tcW w:type="dxa" w:w="5102"/>
            <w:tcMar>
              <w:top w:w="90" w:type="dxa"/>
              <w:start w:w="100" w:type="dxa"/>
              <w:bottom w:w="90" w:type="dxa"/>
              <w:end w:w="100" w:type="dxa"/>
            </w:tcMar>
          </w:tcPr>
          <w:p>
            <w:r>
              <w:rPr>
                <w:rFonts w:ascii="Aptos" w:hAnsi="Aptos"/>
                <w:color w:val="344054"/>
                <w:sz w:val="17"/>
              </w:rPr>
              <w:t>Boutique real-estate advisory / channel-partner research team</w:t>
            </w:r>
          </w:p>
        </w:tc>
      </w:tr>
      <w:tr>
        <w:tc>
          <w:tcPr>
            <w:tcW w:type="dxa" w:w="2268"/>
            <w:shd w:fill="EAF7F5"/>
            <w:tcMar>
              <w:top w:w="90" w:type="dxa"/>
              <w:start w:w="100" w:type="dxa"/>
              <w:bottom w:w="90" w:type="dxa"/>
              <w:end w:w="100" w:type="dxa"/>
            </w:tcMar>
          </w:tcPr>
          <w:p>
            <w:r>
              <w:rPr>
                <w:rFonts w:ascii="Aptos" w:hAnsi="Aptos"/>
                <w:b/>
                <w:color w:val="0E9384"/>
                <w:sz w:val="17"/>
              </w:rPr>
              <w:t>Pilot</w:t>
            </w:r>
          </w:p>
        </w:tc>
        <w:tc>
          <w:tcPr>
            <w:tcW w:type="dxa" w:w="5102"/>
            <w:tcMar>
              <w:top w:w="90" w:type="dxa"/>
              <w:start w:w="100" w:type="dxa"/>
              <w:bottom w:w="90" w:type="dxa"/>
              <w:end w:w="100" w:type="dxa"/>
            </w:tcMar>
          </w:tcPr>
          <w:p>
            <w:r>
              <w:rPr>
                <w:rFonts w:ascii="Aptos" w:hAnsi="Aptos"/>
                <w:color w:val="344054"/>
                <w:sz w:val="17"/>
              </w:rPr>
              <w:t>30–40 under-construction Gurugram projects</w:t>
            </w:r>
          </w:p>
        </w:tc>
      </w:tr>
      <w:tr>
        <w:tc>
          <w:tcPr>
            <w:tcW w:type="dxa" w:w="2268"/>
            <w:shd w:fill="EAF7F5"/>
            <w:tcMar>
              <w:top w:w="90" w:type="dxa"/>
              <w:start w:w="100" w:type="dxa"/>
              <w:bottom w:w="90" w:type="dxa"/>
              <w:end w:w="100" w:type="dxa"/>
            </w:tcMar>
          </w:tcPr>
          <w:p>
            <w:r>
              <w:rPr>
                <w:rFonts w:ascii="Aptos" w:hAnsi="Aptos"/>
                <w:b/>
                <w:color w:val="0E9384"/>
                <w:sz w:val="17"/>
              </w:rPr>
              <w:t>MVP build</w:t>
            </w:r>
          </w:p>
        </w:tc>
        <w:tc>
          <w:tcPr>
            <w:tcW w:type="dxa" w:w="5102"/>
            <w:tcMar>
              <w:top w:w="90" w:type="dxa"/>
              <w:start w:w="100" w:type="dxa"/>
              <w:bottom w:w="90" w:type="dxa"/>
              <w:end w:w="100" w:type="dxa"/>
            </w:tcMar>
          </w:tcPr>
          <w:p>
            <w:r>
              <w:rPr>
                <w:rFonts w:ascii="Aptos" w:hAnsi="Aptos"/>
                <w:color w:val="344054"/>
                <w:sz w:val="17"/>
              </w:rPr>
              <w:t>10 weeks, solo developer, modular monolith</w:t>
            </w:r>
          </w:p>
        </w:tc>
      </w:tr>
      <w:tr>
        <w:tc>
          <w:tcPr>
            <w:tcW w:type="dxa" w:w="2268"/>
            <w:shd w:fill="EAF7F5"/>
            <w:tcMar>
              <w:top w:w="90" w:type="dxa"/>
              <w:start w:w="100" w:type="dxa"/>
              <w:bottom w:w="90" w:type="dxa"/>
              <w:end w:w="100" w:type="dxa"/>
            </w:tcMar>
          </w:tcPr>
          <w:p>
            <w:r>
              <w:rPr>
                <w:rFonts w:ascii="Aptos" w:hAnsi="Aptos"/>
                <w:b/>
                <w:color w:val="0E9384"/>
                <w:sz w:val="17"/>
              </w:rPr>
              <w:t>Research date</w:t>
            </w:r>
          </w:p>
        </w:tc>
        <w:tc>
          <w:tcPr>
            <w:tcW w:type="dxa" w:w="5102"/>
            <w:tcMar>
              <w:top w:w="90" w:type="dxa"/>
              <w:start w:w="100" w:type="dxa"/>
              <w:bottom w:w="90" w:type="dxa"/>
              <w:end w:w="100" w:type="dxa"/>
            </w:tcMar>
          </w:tcPr>
          <w:p>
            <w:r>
              <w:rPr>
                <w:rFonts w:ascii="Aptos" w:hAnsi="Aptos"/>
                <w:color w:val="344054"/>
                <w:sz w:val="17"/>
              </w:rPr>
              <w:t>1 August 2026</w:t>
            </w:r>
          </w:p>
        </w:tc>
      </w:tr>
    </w:tbl>
    <w:p>
      <w:pPr>
        <w:spacing w:before="800"/>
      </w:pPr>
    </w:p>
    <w:p>
      <w:pPr>
        <w:jc w:val="center"/>
      </w:pPr>
      <w:r>
        <w:rPr>
          <w:rFonts w:ascii="Aptos" w:hAnsi="Aptos"/>
          <w:i/>
          <w:color w:val="667085"/>
          <w:sz w:val="17"/>
        </w:rPr>
        <w:t>Prepared as a joint strategy by a PropTech CTO, RERA researcher, AI architect, web-intelligence engineer, privacy-risk consultant, B2B SaaS founder and Suproc Marketplace product mentor.</w:t>
      </w:r>
    </w:p>
    <w:p>
      <w:r>
        <w:br w:type="page"/>
      </w:r>
    </w:p>
    <w:p>
      <w:pPr>
        <w:pStyle w:val="Heading1"/>
        <w:keepNext/>
        <w:spacing w:before="200" w:after="80"/>
      </w:pPr>
      <w:r>
        <w:t>Document control and research method</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Research integrity rule</w:t>
            </w:r>
          </w:p>
          <w:p>
            <w:pPr>
              <w:spacing w:after="0" w:line="252" w:lineRule="auto"/>
            </w:pPr>
            <w:r>
              <w:rPr>
                <w:rFonts w:ascii="Aptos" w:hAnsi="Aptos"/>
                <w:color w:val="344054"/>
                <w:sz w:val="18"/>
              </w:rPr>
              <w:t>Verified public facts are marked with source references. Product choices, scores and pricing are hypotheses derived from those facts. Any unavailable Suproc integration, API, billing or internal architecture is explicitly treated as unverified and excluded from the MVP.</w:t>
            </w:r>
          </w:p>
        </w:tc>
      </w:tr>
    </w:tbl>
    <w:p>
      <w:pPr>
        <w:spacing w:after="0"/>
      </w:pPr>
    </w:p>
    <w:p>
      <w:pPr>
        <w:keepNext w:val="0"/>
        <w:spacing w:after="60" w:line="259" w:lineRule="auto"/>
      </w:pPr>
      <w:r>
        <w:rPr>
          <w:rFonts w:ascii="Aptos" w:hAnsi="Aptos"/>
          <w:color w:val="344054"/>
          <w:sz w:val="19"/>
        </w:rPr>
        <w:t>This strategy answers the complete research brief supplied for the Real Estate Intelligence Tracker. It uses public sources accessed on 1 August 2026 and does not rely on undocumented Suproc interfaces. The source appendix records URL, access date, supported claim, source type and reliability.</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6"/>
              </w:rPr>
              <w:t>Evidence class</w:t>
            </w:r>
          </w:p>
        </w:tc>
        <w:tc>
          <w:tcPr>
            <w:tcW w:type="dxa" w:w="3515"/>
            <w:shd w:fill="17324D"/>
            <w:tcMar>
              <w:top w:w="80" w:type="dxa"/>
              <w:start w:w="70" w:type="dxa"/>
              <w:bottom w:w="80" w:type="dxa"/>
              <w:end w:w="70" w:type="dxa"/>
            </w:tcMar>
            <w:vAlign w:val="center"/>
          </w:tcPr>
          <w:p>
            <w:pPr>
              <w:spacing w:after="0"/>
              <w:jc w:val="left"/>
            </w:pPr>
            <w:r/>
            <w:r>
              <w:rPr>
                <w:rFonts w:ascii="Aptos" w:hAnsi="Aptos"/>
                <w:b/>
                <w:color w:val="FFFFFF"/>
                <w:sz w:val="16"/>
              </w:rPr>
              <w:t>Meaning</w:t>
            </w:r>
          </w:p>
        </w:tc>
        <w:tc>
          <w:tcPr>
            <w:tcW w:type="dxa" w:w="3515"/>
            <w:shd w:fill="17324D"/>
            <w:tcMar>
              <w:top w:w="80" w:type="dxa"/>
              <w:start w:w="70" w:type="dxa"/>
              <w:bottom w:w="80" w:type="dxa"/>
              <w:end w:w="70" w:type="dxa"/>
            </w:tcMar>
            <w:vAlign w:val="center"/>
          </w:tcPr>
          <w:p>
            <w:pPr>
              <w:spacing w:after="0"/>
              <w:jc w:val="left"/>
            </w:pPr>
            <w:r/>
            <w:r>
              <w:rPr>
                <w:rFonts w:ascii="Aptos" w:hAnsi="Aptos"/>
                <w:b/>
                <w:color w:val="FFFFFF"/>
                <w:sz w:val="16"/>
              </w:rPr>
              <w:t>How used</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A — Verified public information</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6"/>
              </w:rPr>
              <w:t>Directly supported by an official product, regulator, law or company page.</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6"/>
              </w:rPr>
              <w:t>May define current product/data-source facts.</w:t>
            </w:r>
          </w:p>
        </w:tc>
      </w:tr>
      <w:tr>
        <w:trPr>
          <w:cantSplit/>
        </w:trPr>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6"/>
              </w:rPr>
              <w:t>B — Reasonable inference</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6"/>
              </w:rPr>
              <w:t>A product or market conclusion derived from multiple verified facts.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6"/>
              </w:rPr>
              <w:t>Used for positioning, workflow and commercial hypotheses; clearly labelled.</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C — Could not be verified</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6"/>
              </w:rPr>
              <w:t>Requested detail was not available or not reliably discoverable.</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6"/>
              </w:rPr>
              <w:t>Excluded from scope or kept as a future possibility.</w:t>
            </w:r>
          </w:p>
        </w:tc>
      </w:tr>
    </w:tbl>
    <w:p>
      <w:pPr>
        <w:spacing w:after="0"/>
      </w:pPr>
    </w:p>
    <w:p>
      <w:pPr>
        <w:pStyle w:val="Heading2"/>
        <w:keepNext/>
        <w:spacing w:before="140" w:after="80"/>
      </w:pPr>
      <w:r>
        <w:t>Decision summary</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928"/>
            <w:shd w:fill="17324D"/>
            <w:tcMar>
              <w:top w:w="80" w:type="dxa"/>
              <w:start w:w="70" w:type="dxa"/>
              <w:bottom w:w="80" w:type="dxa"/>
              <w:end w:w="70" w:type="dxa"/>
            </w:tcMar>
            <w:vAlign w:val="center"/>
          </w:tcPr>
          <w:p>
            <w:pPr>
              <w:spacing w:after="0"/>
              <w:jc w:val="left"/>
            </w:pPr>
            <w:r/>
            <w:r>
              <w:rPr>
                <w:rFonts w:ascii="Aptos" w:hAnsi="Aptos"/>
                <w:b/>
                <w:color w:val="FFFFFF"/>
                <w:sz w:val="16"/>
              </w:rPr>
              <w:t>Decision</w:t>
            </w:r>
          </w:p>
        </w:tc>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6"/>
              </w:rPr>
              <w:t>Recommendation</w:t>
            </w:r>
          </w:p>
        </w:tc>
        <w:tc>
          <w:tcPr>
            <w:tcW w:type="dxa" w:w="4649"/>
            <w:shd w:fill="17324D"/>
            <w:tcMar>
              <w:top w:w="80" w:type="dxa"/>
              <w:start w:w="70" w:type="dxa"/>
              <w:bottom w:w="80" w:type="dxa"/>
              <w:end w:w="70" w:type="dxa"/>
            </w:tcMar>
            <w:vAlign w:val="center"/>
          </w:tcPr>
          <w:p>
            <w:pPr>
              <w:spacing w:after="0"/>
              <w:jc w:val="left"/>
            </w:pPr>
            <w:r/>
            <w:r>
              <w:rPr>
                <w:rFonts w:ascii="Aptos" w:hAnsi="Aptos"/>
                <w:b/>
                <w:color w:val="FFFFFF"/>
                <w:sz w:val="16"/>
              </w:rPr>
              <w:t>Reason</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Final product</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ProjectTruth Monitor</w:t>
            </w:r>
          </w:p>
        </w:tc>
        <w:tc>
          <w:tcPr>
            <w:tcW w:type="dxa" w:w="4649"/>
            <w:tcMar>
              <w:top w:w="65" w:type="dxa"/>
              <w:start w:w="65" w:type="dxa"/>
              <w:bottom w:w="65" w:type="dxa"/>
              <w:end w:w="65" w:type="dxa"/>
            </w:tcMar>
            <w:vAlign w:val="top"/>
          </w:tcPr>
          <w:p>
            <w:pPr>
              <w:spacing w:after="0" w:line="240" w:lineRule="auto"/>
            </w:pPr>
            <w:r/>
            <w:r>
              <w:rPr>
                <w:rFonts w:ascii="Aptos" w:hAnsi="Aptos"/>
                <w:color w:val="344054"/>
                <w:sz w:val="16"/>
              </w:rPr>
              <w:t>An evidence-first RERA project-change and brochure-versus-record monitoring service, not a listing or recommendation portal.</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Pilot geography</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Haryana — Gurugram</w:t>
            </w:r>
          </w:p>
        </w:tc>
        <w:tc>
          <w:tcPr>
            <w:tcW w:type="dxa" w:w="4649"/>
            <w:shd w:fill="F8FAFC"/>
            <w:tcMar>
              <w:top w:w="65" w:type="dxa"/>
              <w:start w:w="65" w:type="dxa"/>
              <w:bottom w:w="65" w:type="dxa"/>
              <w:end w:w="65" w:type="dxa"/>
            </w:tcMar>
            <w:vAlign w:val="top"/>
          </w:tcPr>
          <w:p>
            <w:pPr>
              <w:spacing w:after="0" w:line="240" w:lineRule="auto"/>
            </w:pPr>
            <w:r/>
            <w:r>
              <w:rPr>
                <w:rFonts w:ascii="Aptos" w:hAnsi="Aptos"/>
                <w:color w:val="344054"/>
                <w:sz w:val="16"/>
              </w:rPr>
              <w:t>The official public list directly exposes project identity, completion, lapsed and missing-QPR signals, enabling a trustworthy solo-developer pilot. [S08] [S09]</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Primary user</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5–30 person property advisory / channel-partner research team</w:t>
            </w:r>
          </w:p>
        </w:tc>
        <w:tc>
          <w:tcPr>
            <w:tcW w:type="dxa" w:w="4649"/>
            <w:tcMar>
              <w:top w:w="65" w:type="dxa"/>
              <w:start w:w="65" w:type="dxa"/>
              <w:bottom w:w="65" w:type="dxa"/>
              <w:end w:w="65" w:type="dxa"/>
            </w:tcMar>
            <w:vAlign w:val="top"/>
          </w:tcPr>
          <w:p>
            <w:pPr>
              <w:spacing w:after="0" w:line="240" w:lineRule="auto"/>
            </w:pPr>
            <w:r/>
            <w:r>
              <w:rPr>
                <w:rFonts w:ascii="Aptos" w:hAnsi="Aptos"/>
                <w:color w:val="344054"/>
                <w:sz w:val="16"/>
              </w:rPr>
              <w:t>Frequent need to maintain defensible project facts and client updates; buyer is owner/research head, users are analysts and relationship managers.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Exact MVP</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30–40 projects, one regulator collector, user-uploaded brochures, immutable snapshots, field diffs, evidence cards, timeline, review queue, weekly report</w:t>
            </w:r>
          </w:p>
        </w:tc>
        <w:tc>
          <w:tcPr>
            <w:tcW w:type="dxa" w:w="4649"/>
            <w:shd w:fill="F8FAFC"/>
            <w:tcMar>
              <w:top w:w="65" w:type="dxa"/>
              <w:start w:w="65" w:type="dxa"/>
              <w:bottom w:w="65" w:type="dxa"/>
              <w:end w:w="65" w:type="dxa"/>
            </w:tcMar>
            <w:vAlign w:val="top"/>
          </w:tcPr>
          <w:p>
            <w:pPr>
              <w:spacing w:after="0" w:line="240" w:lineRule="auto"/>
            </w:pPr>
            <w:r/>
            <w:r>
              <w:rPr>
                <w:rFonts w:ascii="Aptos" w:hAnsi="Aptos"/>
                <w:color w:val="344054"/>
                <w:sz w:val="16"/>
              </w:rPr>
              <w:t>Narrow enough for 10 weeks; differentiated enough to demonstrate value.</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Core technical principle</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Deterministic collection, normalization, snapshots and change comparison; optional LLM only for unstructured text</w:t>
            </w:r>
          </w:p>
        </w:tc>
        <w:tc>
          <w:tcPr>
            <w:tcW w:type="dxa" w:w="4649"/>
            <w:tcMar>
              <w:top w:w="65" w:type="dxa"/>
              <w:start w:w="65" w:type="dxa"/>
              <w:bottom w:w="65" w:type="dxa"/>
              <w:end w:w="65" w:type="dxa"/>
            </w:tcMar>
            <w:vAlign w:val="top"/>
          </w:tcPr>
          <w:p>
            <w:pPr>
              <w:spacing w:after="0" w:line="240" w:lineRule="auto"/>
            </w:pPr>
            <w:r/>
            <w:r>
              <w:rPr>
                <w:rFonts w:ascii="Aptos" w:hAnsi="Aptos"/>
                <w:color w:val="344054"/>
                <w:sz w:val="16"/>
              </w:rPr>
              <w:t>System remains useful with the LLM disabled and never invents regulated facts.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Verdict</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GO — MODIFY</w:t>
            </w:r>
          </w:p>
        </w:tc>
        <w:tc>
          <w:tcPr>
            <w:tcW w:type="dxa" w:w="4649"/>
            <w:shd w:fill="F8FAFC"/>
            <w:tcMar>
              <w:top w:w="65" w:type="dxa"/>
              <w:start w:w="65" w:type="dxa"/>
              <w:bottom w:w="65" w:type="dxa"/>
              <w:end w:w="65" w:type="dxa"/>
            </w:tcMar>
            <w:vAlign w:val="top"/>
          </w:tcPr>
          <w:p>
            <w:pPr>
              <w:spacing w:after="0" w:line="240" w:lineRule="auto"/>
            </w:pPr>
            <w:r/>
            <w:r>
              <w:rPr>
                <w:rFonts w:ascii="Aptos" w:hAnsi="Aptos"/>
                <w:color w:val="344054"/>
                <w:sz w:val="16"/>
              </w:rPr>
              <w:t>Proceed only with a single-state source adapter, explicit legal guardrails, transparent confidence and human approval for high-impact alerts.</w:t>
            </w:r>
          </w:p>
        </w:tc>
      </w:tr>
    </w:tbl>
    <w:p>
      <w:pPr>
        <w:spacing w:after="0"/>
      </w:pPr>
    </w:p>
    <w:p>
      <w:pPr>
        <w:pStyle w:val="Heading2"/>
        <w:keepNext/>
        <w:spacing w:before="140" w:after="80"/>
      </w:pPr>
      <w:r>
        <w:t>Document map</w:t>
      </w:r>
    </w:p>
    <w:p>
      <w:pPr>
        <w:pStyle w:val="ListNumber"/>
        <w:spacing w:after="40"/>
      </w:pPr>
      <w:r>
        <w:rPr>
          <w:rFonts w:ascii="Aptos" w:hAnsi="Aptos"/>
          <w:color w:val="344054"/>
          <w:sz w:val="18"/>
        </w:rPr>
        <w:t>1. Suproc verified landscape and integration boundaries</w:t>
      </w:r>
    </w:p>
    <w:p>
      <w:pPr>
        <w:pStyle w:val="ListNumber"/>
        <w:spacing w:after="40"/>
      </w:pPr>
      <w:r>
        <w:rPr>
          <w:rFonts w:ascii="Aptos" w:hAnsi="Aptos"/>
          <w:color w:val="344054"/>
          <w:sz w:val="18"/>
        </w:rPr>
        <w:t>2. Product opportunity and direction selection</w:t>
      </w:r>
    </w:p>
    <w:p>
      <w:pPr>
        <w:pStyle w:val="ListNumber"/>
        <w:spacing w:after="40"/>
      </w:pPr>
      <w:r>
        <w:rPr>
          <w:rFonts w:ascii="Aptos" w:hAnsi="Aptos"/>
          <w:color w:val="344054"/>
          <w:sz w:val="18"/>
        </w:rPr>
        <w:t>3. Users, workflows and customer focus</w:t>
      </w:r>
    </w:p>
    <w:p>
      <w:pPr>
        <w:pStyle w:val="ListNumber"/>
        <w:spacing w:after="40"/>
      </w:pPr>
      <w:r>
        <w:rPr>
          <w:rFonts w:ascii="Aptos" w:hAnsi="Aptos"/>
          <w:color w:val="344054"/>
          <w:sz w:val="18"/>
        </w:rPr>
        <w:t>4. Competitor and market analysis</w:t>
      </w:r>
    </w:p>
    <w:p>
      <w:pPr>
        <w:pStyle w:val="ListNumber"/>
        <w:spacing w:after="40"/>
      </w:pPr>
      <w:r>
        <w:rPr>
          <w:rFonts w:ascii="Aptos" w:hAnsi="Aptos"/>
          <w:color w:val="344054"/>
          <w:sz w:val="18"/>
        </w:rPr>
        <w:t>5. Data-source strategy and first geography</w:t>
      </w:r>
    </w:p>
    <w:p>
      <w:pPr>
        <w:pStyle w:val="ListNumber"/>
        <w:spacing w:after="40"/>
      </w:pPr>
      <w:r>
        <w:rPr>
          <w:rFonts w:ascii="Aptos" w:hAnsi="Aptos"/>
          <w:color w:val="344054"/>
          <w:sz w:val="18"/>
        </w:rPr>
        <w:t>6. Product positioning and complete workflows</w:t>
      </w:r>
    </w:p>
    <w:p>
      <w:pPr>
        <w:pStyle w:val="ListNumber"/>
        <w:spacing w:after="40"/>
      </w:pPr>
      <w:r>
        <w:rPr>
          <w:rFonts w:ascii="Aptos" w:hAnsi="Aptos"/>
          <w:color w:val="344054"/>
          <w:sz w:val="18"/>
        </w:rPr>
        <w:t>7. Exact MVP, unique features and roadmap boundaries</w:t>
      </w:r>
    </w:p>
    <w:p>
      <w:pPr>
        <w:pStyle w:val="ListNumber"/>
        <w:spacing w:after="40"/>
      </w:pPr>
      <w:r>
        <w:rPr>
          <w:rFonts w:ascii="Aptos" w:hAnsi="Aptos"/>
          <w:color w:val="344054"/>
          <w:sz w:val="18"/>
        </w:rPr>
        <w:t>8. AI/rules/human-review design and confidence</w:t>
      </w:r>
    </w:p>
    <w:p>
      <w:pPr>
        <w:pStyle w:val="ListNumber"/>
        <w:spacing w:after="40"/>
      </w:pPr>
      <w:r>
        <w:rPr>
          <w:rFonts w:ascii="Aptos" w:hAnsi="Aptos"/>
          <w:color w:val="344054"/>
          <w:sz w:val="18"/>
        </w:rPr>
        <w:t>9. Legal, ethical, privacy and source-safety rules</w:t>
      </w:r>
    </w:p>
    <w:p>
      <w:pPr>
        <w:pStyle w:val="ListNumber"/>
        <w:spacing w:after="40"/>
      </w:pPr>
      <w:r>
        <w:rPr>
          <w:rFonts w:ascii="Aptos" w:hAnsi="Aptos"/>
          <w:color w:val="344054"/>
          <w:sz w:val="18"/>
        </w:rPr>
        <w:t>10. Technical architecture, database and API design</w:t>
      </w:r>
    </w:p>
    <w:p>
      <w:pPr>
        <w:pStyle w:val="ListNumber"/>
        <w:spacing w:after="40"/>
      </w:pPr>
      <w:r>
        <w:rPr>
          <w:rFonts w:ascii="Aptos" w:hAnsi="Aptos"/>
          <w:color w:val="344054"/>
          <w:sz w:val="18"/>
        </w:rPr>
        <w:t>11. Validation, testing and failure handling</w:t>
      </w:r>
    </w:p>
    <w:p>
      <w:pPr>
        <w:pStyle w:val="ListNumber"/>
        <w:spacing w:after="40"/>
      </w:pPr>
      <w:r>
        <w:rPr>
          <w:rFonts w:ascii="Aptos" w:hAnsi="Aptos"/>
          <w:color w:val="344054"/>
          <w:sz w:val="18"/>
        </w:rPr>
        <w:t>12. Marketplace packaging, pricing experiment and onboarding</w:t>
      </w:r>
    </w:p>
    <w:p>
      <w:pPr>
        <w:pStyle w:val="ListNumber"/>
        <w:spacing w:after="40"/>
      </w:pPr>
      <w:r>
        <w:rPr>
          <w:rFonts w:ascii="Aptos" w:hAnsi="Aptos"/>
          <w:color w:val="344054"/>
          <w:sz w:val="18"/>
        </w:rPr>
        <w:t>13. Ten-week development roadmap</w:t>
      </w:r>
    </w:p>
    <w:p>
      <w:pPr>
        <w:pStyle w:val="ListNumber"/>
        <w:spacing w:after="40"/>
      </w:pPr>
      <w:r>
        <w:rPr>
          <w:rFonts w:ascii="Aptos" w:hAnsi="Aptos"/>
          <w:color w:val="344054"/>
          <w:sz w:val="18"/>
        </w:rPr>
        <w:t>14. Five-to-seven-minute demo plan</w:t>
      </w:r>
    </w:p>
    <w:p>
      <w:pPr>
        <w:pStyle w:val="ListNumber"/>
        <w:spacing w:after="40"/>
      </w:pPr>
      <w:r>
        <w:rPr>
          <w:rFonts w:ascii="Aptos" w:hAnsi="Aptos"/>
          <w:color w:val="344054"/>
          <w:sz w:val="18"/>
        </w:rPr>
        <w:t>15. Risk register and final implementation decisions</w:t>
      </w:r>
    </w:p>
    <w:p>
      <w:pPr>
        <w:pStyle w:val="ListNumber"/>
        <w:spacing w:after="40"/>
      </w:pPr>
      <w:r>
        <w:rPr>
          <w:rFonts w:ascii="Aptos" w:hAnsi="Aptos"/>
          <w:color w:val="344054"/>
          <w:sz w:val="18"/>
        </w:rPr>
        <w:t>Appendix A. Source register</w:t>
      </w:r>
    </w:p>
    <w:p>
      <w:pPr>
        <w:pStyle w:val="Heading1"/>
        <w:keepNext/>
        <w:spacing w:before="200" w:after="80"/>
      </w:pPr>
      <w:r>
        <w:t>1. Suproc verified landscape and integration boundaries</w:t>
      </w:r>
    </w:p>
    <w:p>
      <w:pPr>
        <w:pStyle w:val="Heading2"/>
        <w:keepNext/>
        <w:spacing w:before="140" w:after="80"/>
      </w:pPr>
      <w:r>
        <w:t>1.1 A — Verified public information</w:t>
      </w:r>
    </w:p>
    <w:p>
      <w:pPr>
        <w:keepNext w:val="0"/>
        <w:spacing w:after="60" w:line="259" w:lineRule="auto"/>
      </w:pPr>
      <w:r>
        <w:rPr>
          <w:rFonts w:ascii="Aptos" w:hAnsi="Aptos"/>
          <w:color w:val="344054"/>
          <w:sz w:val="19"/>
        </w:rPr>
        <w:t>Suproc’s current public positioning is a connected business system in which Suplinks opens a marketplace, Workspaces move discovered opportunities into execution, and Sup AI orchestrates actions with approval and trust controls. Public pages also describe supplier/customer/partner discovery, opportunity signals, chat, RFQs, projects, procurement workspaces and ERP/CRM-related workflows. [S01] [S02] [S03] [S04] [S05]</w:t>
      </w:r>
    </w:p>
    <w:p>
      <w:pPr>
        <w:keepNext w:val="0"/>
        <w:spacing w:after="60" w:line="259" w:lineRule="auto"/>
      </w:pPr>
      <w:r>
        <w:rPr>
          <w:rFonts w:ascii="Aptos" w:hAnsi="Aptos"/>
          <w:color w:val="344054"/>
          <w:sz w:val="19"/>
        </w:rPr>
        <w:t>Public LinkedIn messaging reinforces a unified network for businesses, suppliers and professionals, with projects/workspaces as operating context and Sup AI as a private, context-aware layer that surfaces opportunities and supplier/collaborator signals. [S06]</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5"/>
              </w:rPr>
              <w:t>Question</w:t>
            </w:r>
          </w:p>
        </w:tc>
        <w:tc>
          <w:tcPr>
            <w:tcW w:type="dxa" w:w="5216"/>
            <w:shd w:fill="17324D"/>
            <w:tcMar>
              <w:top w:w="80" w:type="dxa"/>
              <w:start w:w="70" w:type="dxa"/>
              <w:bottom w:w="80" w:type="dxa"/>
              <w:end w:w="70" w:type="dxa"/>
            </w:tcMar>
            <w:vAlign w:val="center"/>
          </w:tcPr>
          <w:p>
            <w:pPr>
              <w:spacing w:after="0"/>
              <w:jc w:val="left"/>
            </w:pPr>
            <w:r/>
            <w:r>
              <w:rPr>
                <w:rFonts w:ascii="Aptos" w:hAnsi="Aptos"/>
                <w:b/>
                <w:color w:val="FFFFFF"/>
                <w:sz w:val="15"/>
              </w:rPr>
              <w:t>Verified answer</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5"/>
              </w:rPr>
              <w:t>Evidence</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What does Suproc offer?</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A business marketplace/network, discovery and opportunity signals, profiles, workspaces/projects, procurement/RFQ workflows, ERP/CRM-related positioning and context-aware Sup AI.</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Official product and support pages. [S01] [S02] [S03] [S05]</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Primary users</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Businesses, suppliers, professionals, procurement/work teams and organisations seeking partners or opportunities.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Official homepage, discovery and LinkedIn. [S01] [S02] [S06]</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Problems solved</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Fragmented discovery-to-execution: finding organisations/professionals/opportunities, qualifying signals and moving into collaboration/project workflows.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Official product positioning. [S01] [S02] [S03]</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Project tracking</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Projects and workspaces are publicly positioned as execution contexts, but detailed public feature depth was not fully inspectable.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Official pages mention projects/workspaces. [S01] [S03] [S05]</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Market intelligence</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Opportunity and supplier/collaborator signals are publicly positioned; a dedicated real-estate project intelligence product was not found.</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Official pages and public search. [S02] [S06]</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Real estate / document or regulatory monitoring</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No public, verifiable Suproc capability or Marketplace listing specific to RERA project-change monitoring was found in this research.</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Negative public-search finding; not proof of absence.</w:t>
            </w:r>
          </w:p>
        </w:tc>
      </w:tr>
    </w:tbl>
    <w:p>
      <w:pPr>
        <w:spacing w:after="0"/>
      </w:pPr>
    </w:p>
    <w:p>
      <w:pPr>
        <w:pStyle w:val="Heading2"/>
        <w:keepNext/>
        <w:spacing w:before="140" w:after="80"/>
      </w:pPr>
      <w:r>
        <w:t>1.2 B — Reasonable inference</w:t>
      </w:r>
    </w:p>
    <w:p>
      <w:pPr>
        <w:pStyle w:val="ListBullet"/>
        <w:spacing w:after="30" w:line="247" w:lineRule="auto"/>
        <w:ind w:left="360" w:hanging="173"/>
      </w:pPr>
      <w:r>
        <w:rPr>
          <w:rFonts w:ascii="Aptos" w:hAnsi="Aptos"/>
          <w:color w:val="344054"/>
          <w:sz w:val="18"/>
        </w:rPr>
        <w:t>ProjectTruth can fit Suproc as a specialised professional/agent service that turns a user’s watchlist and authorised documents into evidence-backed outputs; the service should remain independently deployable.</w:t>
      </w:r>
    </w:p>
    <w:p>
      <w:pPr>
        <w:pStyle w:val="ListBullet"/>
        <w:spacing w:after="30" w:line="247" w:lineRule="auto"/>
        <w:ind w:left="360" w:hanging="173"/>
      </w:pPr>
      <w:r>
        <w:rPr>
          <w:rFonts w:ascii="Aptos" w:hAnsi="Aptos"/>
          <w:color w:val="344054"/>
          <w:sz w:val="18"/>
        </w:rPr>
        <w:t>Suproc’s discovery and project context make future hand-off plausible: a user may discover the service in the Marketplace, then attach an exported report or link inside a Suproc project/workspace.</w:t>
      </w:r>
    </w:p>
    <w:p>
      <w:pPr>
        <w:pStyle w:val="ListBullet"/>
        <w:spacing w:after="30" w:line="247" w:lineRule="auto"/>
        <w:ind w:left="360" w:hanging="173"/>
      </w:pPr>
      <w:r>
        <w:rPr>
          <w:rFonts w:ascii="Aptos" w:hAnsi="Aptos"/>
          <w:color w:val="344054"/>
          <w:sz w:val="18"/>
        </w:rPr>
        <w:t>The new service should complement—not recreate—supplier discovery, generic CRM, RFQs, project collaboration, workspace messaging, or Sup AI’s general orchestration layer.</w:t>
      </w:r>
    </w:p>
    <w:p>
      <w:pPr>
        <w:pStyle w:val="ListBullet"/>
        <w:spacing w:after="30" w:line="247" w:lineRule="auto"/>
        <w:ind w:left="360" w:hanging="173"/>
      </w:pPr>
      <w:r>
        <w:rPr>
          <w:rFonts w:ascii="Aptos" w:hAnsi="Aptos"/>
          <w:color w:val="344054"/>
          <w:sz w:val="18"/>
        </w:rPr>
        <w:t>Future integration can start with ordinary, documented boundaries: secure links, CSV/PDF/JSON export, email delivery, manually configured webhook, and later only an official Suproc integration contract.</w:t>
      </w:r>
    </w:p>
    <w:p>
      <w:pPr>
        <w:pStyle w:val="Heading2"/>
        <w:keepNext/>
        <w:spacing w:before="140" w:after="80"/>
      </w:pPr>
      <w:r>
        <w:t>1.3 C — Could not be verified</w:t>
      </w:r>
    </w:p>
    <w:p>
      <w:pPr>
        <w:pStyle w:val="ListBullet"/>
        <w:spacing w:after="30" w:line="247" w:lineRule="auto"/>
        <w:ind w:left="360" w:hanging="173"/>
      </w:pPr>
      <w:r>
        <w:rPr>
          <w:rFonts w:ascii="Aptos" w:hAnsi="Aptos"/>
          <w:color w:val="344054"/>
          <w:sz w:val="18"/>
        </w:rPr>
        <w:t>No public Suproc API specification, authentication contract, Marketplace submission API, billing API or agent-orchestration protocol was verified.</w:t>
      </w:r>
    </w:p>
    <w:p>
      <w:pPr>
        <w:pStyle w:val="ListBullet"/>
        <w:spacing w:after="30" w:line="247" w:lineRule="auto"/>
        <w:ind w:left="360" w:hanging="173"/>
      </w:pPr>
      <w:r>
        <w:rPr>
          <w:rFonts w:ascii="Aptos" w:hAnsi="Aptos"/>
          <w:color w:val="344054"/>
          <w:sz w:val="18"/>
        </w:rPr>
        <w:t>No public customer list, internal data architecture, data-retention model, source-licensing model or detailed permissions schema was verified.</w:t>
      </w:r>
    </w:p>
    <w:p>
      <w:pPr>
        <w:pStyle w:val="ListBullet"/>
        <w:spacing w:after="30" w:line="247" w:lineRule="auto"/>
        <w:ind w:left="360" w:hanging="173"/>
      </w:pPr>
      <w:r>
        <w:rPr>
          <w:rFonts w:ascii="Aptos" w:hAnsi="Aptos"/>
          <w:color w:val="344054"/>
          <w:sz w:val="18"/>
        </w:rPr>
        <w:t>Exact public Marketplace listings, real-estate listings and current seller/service onboarding flow could not be fully enumerated from publicly indexed pages.</w:t>
      </w:r>
    </w:p>
    <w:p>
      <w:pPr>
        <w:pStyle w:val="ListBullet"/>
        <w:spacing w:after="30" w:line="247" w:lineRule="auto"/>
        <w:ind w:left="360" w:hanging="173"/>
      </w:pPr>
      <w:r>
        <w:rPr>
          <w:rFonts w:ascii="Aptos" w:hAnsi="Aptos"/>
          <w:color w:val="344054"/>
          <w:sz w:val="18"/>
        </w:rPr>
        <w:t>Public terms/privacy pages were referenced in site navigation/support context, but their detailed clauses were not reliably retrievable during this research. Legal review remains mandatory before publishing a Marketplace service.</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Duplication boundary</w:t>
            </w:r>
          </w:p>
          <w:p>
            <w:pPr>
              <w:spacing w:after="0" w:line="252" w:lineRule="auto"/>
            </w:pPr>
            <w:r>
              <w:rPr>
                <w:rFonts w:ascii="Aptos" w:hAnsi="Aptos"/>
                <w:color w:val="344054"/>
                <w:sz w:val="18"/>
              </w:rPr>
              <w:t>Do not build another Suproc workspace, CRM, ERP, procurement pipeline or generic supplier/opportunity search. Build a domain-specific evidence engine whose outputs can be consumed independently and, later, attached to Suproc workflows without assuming undocumented integration.</w:t>
            </w:r>
          </w:p>
        </w:tc>
      </w:tr>
    </w:tbl>
    <w:p>
      <w:pPr>
        <w:spacing w:after="0"/>
      </w:pPr>
    </w:p>
    <w:p>
      <w:pPr>
        <w:pStyle w:val="Heading1"/>
        <w:keepNext/>
        <w:spacing w:before="200" w:after="80"/>
      </w:pPr>
      <w:r>
        <w:t>2. Product opportunity and direction selection</w:t>
      </w:r>
    </w:p>
    <w:p>
      <w:pPr>
        <w:pStyle w:val="Heading2"/>
        <w:keepNext/>
        <w:spacing w:before="140" w:after="80"/>
      </w:pPr>
      <w:r>
        <w:t>2.1 Strongest unmet problem</w:t>
      </w:r>
    </w:p>
    <w:p>
      <w:pPr>
        <w:keepNext w:val="0"/>
        <w:spacing w:after="60" w:line="259" w:lineRule="auto"/>
      </w:pPr>
      <w:r>
        <w:rPr>
          <w:rFonts w:ascii="Aptos" w:hAnsi="Aptos"/>
          <w:color w:val="344054"/>
          <w:sz w:val="19"/>
        </w:rPr>
        <w:t>RERA creates a public-disclosure foundation, and several state portals expose project, promoter, completion, QPR, order and complaint information. Yet the information is fragmented across state-specific structures, current pages rarely preserve a user-friendly history, developer marketing materials use different language, and generic change-monitoring tools do not understand project identity or field-level provenance. [S07] [S08] [S10] [S12] [S13] [S29] [S31]</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Problem statement</w:t>
            </w:r>
          </w:p>
          <w:p>
            <w:pPr>
              <w:spacing w:after="0" w:line="252" w:lineRule="auto"/>
            </w:pPr>
            <w:r>
              <w:rPr>
                <w:rFonts w:ascii="Aptos" w:hAnsi="Aptos"/>
                <w:color w:val="344054"/>
                <w:sz w:val="18"/>
              </w:rPr>
              <w:t>Property advisory teams can find a project today, but they struggle to prove what changed, when it changed, which source supports it, whether two sources conflict, and what must be reviewed before informing a client.</w:t>
            </w:r>
          </w:p>
        </w:tc>
      </w:tr>
    </w:tbl>
    <w:p>
      <w:pPr>
        <w:spacing w:after="0"/>
      </w:pPr>
    </w:p>
    <w:p>
      <w:pPr>
        <w:pStyle w:val="Heading2"/>
        <w:keepNext/>
        <w:spacing w:before="140" w:after="80"/>
      </w:pPr>
      <w:r>
        <w:t>2.2 Direction scorecard</w:t>
      </w:r>
    </w:p>
    <w:tbl>
      <w:tblPr>
        <w:tblStyle w:val="TableGrid"/>
        <w:tblW w:type="auto" w:w="0"/>
        <w:jc w:val="center"/>
        <w:tblLayout w:type="fixed"/>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3"/>
              </w:rPr>
              <w:t>Direction</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Severity</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Frequency</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Data</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Feas.</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Legal</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Diff.</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Scale</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Market</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Demo</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Solo</w:t>
            </w:r>
          </w:p>
        </w:tc>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3"/>
              </w:rPr>
              <w:t>Conclusion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RERA project change tracker</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3"/>
              </w:rPr>
              <w:t>Winner: direct recurring monitoring and evidence.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Developer intelligence tracker</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3"/>
              </w:rPr>
              <w:t>Strong V2 after project-level history exists.</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Brochure-versus-record checker</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3"/>
              </w:rPr>
              <w:t>Powerful feature; insufficient alone for retention.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Micro-market supply intelligence</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3"/>
              </w:rPr>
              <w:t>Useful V2; requires broader coverage and geocoding.</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Delay-risk tracker</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3"/>
              </w:rPr>
              <w:t>Keep transparent signals; avoid opaque prediction.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Construction-progress computer vision</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3"/>
              </w:rPr>
              <w:t>Reject MVP: image rights, ground truth and accuracy burden.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Generic regulatory/news alerts</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3"/>
              </w:rPr>
              <w:t>Too commoditised without canonical project model.</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Supplier opportunity tracker</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3"/>
              </w:rPr>
              <w:t>Marketplace fit but duplicates construction lead databases and drifts from selected intelligence wedge.</w:t>
            </w:r>
          </w:p>
        </w:tc>
      </w:tr>
    </w:tbl>
    <w:p>
      <w:pPr>
        <w:spacing w:after="0"/>
      </w:pPr>
    </w:p>
    <w:p>
      <w:pPr>
        <w:keepNext w:val="0"/>
        <w:spacing w:after="60" w:line="259" w:lineRule="auto"/>
      </w:pPr>
      <w:r>
        <w:rPr>
          <w:rFonts w:ascii="Aptos" w:hAnsi="Aptos"/>
          <w:color w:val="344054"/>
          <w:sz w:val="19"/>
        </w:rPr>
        <w:t>Scoring: 1 = weak/high risk, 5 = strong/low risk. “Legal” scores source-safety feasibility, not absence of legal risk. Scores are product hypotheses requiring pilot validation.</w:t>
      </w:r>
    </w:p>
    <w:p>
      <w:pPr>
        <w:pStyle w:val="Heading2"/>
        <w:keepNext/>
        <w:spacing w:before="140" w:after="80"/>
      </w:pPr>
      <w:r>
        <w:t>2.3 Final definition</w:t>
      </w:r>
    </w:p>
    <w:p>
      <w:pPr>
        <w:keepNext w:val="0"/>
        <w:spacing w:after="60" w:line="259" w:lineRule="auto"/>
      </w:pPr>
      <w:r>
        <w:rPr>
          <w:rFonts w:ascii="Aptos" w:hAnsi="Aptos"/>
          <w:color w:val="344054"/>
          <w:sz w:val="19"/>
        </w:rPr>
        <w:t>ProjectTruth Monitor is a standalone, evidence-first real-estate project monitoring service. A user creates a watchlist, the system captures a source-backed baseline, periodically checks permitted public and user-authorised sources, stores immutable snapshots, detects field-level changes, and produces reviewable evidence cards and a Project Truth Timeline. It also compares user-uploaded marketing material against official records.</w:t>
      </w:r>
    </w:p>
    <w:p>
      <w:pPr>
        <w:keepNext w:val="0"/>
        <w:spacing w:after="60" w:line="259" w:lineRule="auto"/>
      </w:pPr>
      <w:r>
        <w:rPr>
          <w:rFonts w:ascii="Aptos" w:hAnsi="Aptos"/>
          <w:color w:val="344054"/>
          <w:sz w:val="19"/>
        </w:rPr>
        <w:t>It is not a broker, title checker, valuation engine, investment adviser, fraud detector, legal authority or guaranteed completion predictor. “Delay” is presented as observed signal components—not a conclusion about developer intent or future performance.</w:t>
      </w:r>
    </w:p>
    <w:p>
      <w:pPr>
        <w:pStyle w:val="Heading1"/>
        <w:keepNext/>
        <w:spacing w:before="200" w:after="80"/>
      </w:pPr>
      <w:r>
        <w:t>3. Users, workflows and customer focus</w:t>
      </w:r>
    </w:p>
    <w:p>
      <w:pPr>
        <w:pStyle w:val="Heading2"/>
        <w:keepNext/>
        <w:spacing w:before="140" w:after="80"/>
      </w:pPr>
      <w:r>
        <w:t>3.1 User-group problem matrix</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587"/>
            <w:shd w:fill="17324D"/>
            <w:tcMar>
              <w:top w:w="80" w:type="dxa"/>
              <w:start w:w="70" w:type="dxa"/>
              <w:bottom w:w="80" w:type="dxa"/>
              <w:end w:w="70" w:type="dxa"/>
            </w:tcMar>
            <w:vAlign w:val="center"/>
          </w:tcPr>
          <w:p>
            <w:pPr>
              <w:spacing w:after="0"/>
              <w:jc w:val="left"/>
            </w:pPr>
            <w:r/>
            <w:r>
              <w:rPr>
                <w:rFonts w:ascii="Aptos" w:hAnsi="Aptos"/>
                <w:b/>
                <w:color w:val="FFFFFF"/>
                <w:sz w:val="14"/>
              </w:rPr>
              <w:t>User</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4"/>
              </w:rPr>
              <w:t>Current workflow</w:t>
            </w:r>
          </w:p>
        </w:tc>
        <w:tc>
          <w:tcPr>
            <w:tcW w:type="dxa" w:w="2154"/>
            <w:shd w:fill="17324D"/>
            <w:tcMar>
              <w:top w:w="80" w:type="dxa"/>
              <w:start w:w="70" w:type="dxa"/>
              <w:bottom w:w="80" w:type="dxa"/>
              <w:end w:w="70" w:type="dxa"/>
            </w:tcMar>
            <w:vAlign w:val="center"/>
          </w:tcPr>
          <w:p>
            <w:pPr>
              <w:spacing w:after="0"/>
              <w:jc w:val="left"/>
            </w:pPr>
            <w:r/>
            <w:r>
              <w:rPr>
                <w:rFonts w:ascii="Aptos" w:hAnsi="Aptos"/>
                <w:b/>
                <w:color w:val="FFFFFF"/>
                <w:sz w:val="14"/>
              </w:rPr>
              <w:t>Frequently missed</w:t>
            </w:r>
          </w:p>
        </w:tc>
        <w:tc>
          <w:tcPr>
            <w:tcW w:type="dxa" w:w="1871"/>
            <w:shd w:fill="17324D"/>
            <w:tcMar>
              <w:top w:w="80" w:type="dxa"/>
              <w:start w:w="70" w:type="dxa"/>
              <w:bottom w:w="80" w:type="dxa"/>
              <w:end w:w="70" w:type="dxa"/>
            </w:tcMar>
            <w:vAlign w:val="center"/>
          </w:tcPr>
          <w:p>
            <w:pPr>
              <w:spacing w:after="0"/>
              <w:jc w:val="left"/>
            </w:pPr>
            <w:r/>
            <w:r>
              <w:rPr>
                <w:rFonts w:ascii="Aptos" w:hAnsi="Aptos"/>
                <w:b/>
                <w:color w:val="FFFFFF"/>
                <w:sz w:val="14"/>
              </w:rPr>
              <w:t>Consequence</w:t>
            </w:r>
          </w:p>
        </w:tc>
        <w:tc>
          <w:tcPr>
            <w:tcW w:type="dxa" w:w="907"/>
            <w:shd w:fill="17324D"/>
            <w:tcMar>
              <w:top w:w="80" w:type="dxa"/>
              <w:start w:w="70" w:type="dxa"/>
              <w:bottom w:w="80" w:type="dxa"/>
              <w:end w:w="70" w:type="dxa"/>
            </w:tcMar>
            <w:vAlign w:val="center"/>
          </w:tcPr>
          <w:p>
            <w:pPr>
              <w:spacing w:after="0"/>
              <w:jc w:val="left"/>
            </w:pPr>
            <w:r/>
            <w:r>
              <w:rPr>
                <w:rFonts w:ascii="Aptos" w:hAnsi="Aptos"/>
                <w:b/>
                <w:color w:val="FFFFFF"/>
                <w:sz w:val="14"/>
              </w:rPr>
              <w:t>Pay likelihood</w:t>
            </w:r>
          </w:p>
        </w:tc>
        <w:tc>
          <w:tcPr>
            <w:tcW w:type="dxa" w:w="2098"/>
            <w:shd w:fill="17324D"/>
            <w:tcMar>
              <w:top w:w="80" w:type="dxa"/>
              <w:start w:w="70" w:type="dxa"/>
              <w:bottom w:w="80" w:type="dxa"/>
              <w:end w:w="70" w:type="dxa"/>
            </w:tcMar>
            <w:vAlign w:val="center"/>
          </w:tcPr>
          <w:p>
            <w:pPr>
              <w:spacing w:after="0"/>
              <w:jc w:val="left"/>
            </w:pPr>
            <w:r/>
            <w:r>
              <w:rPr>
                <w:rFonts w:ascii="Aptos" w:hAnsi="Aptos"/>
                <w:b/>
                <w:color w:val="FFFFFF"/>
                <w:sz w:val="14"/>
              </w:rPr>
              <w:t>Most valuable output</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4"/>
              </w:rPr>
              <w:t>Boutique brokers / channel partners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Track 20–100 active projects through portals, WhatsApp, brochures and spreadsheets.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4"/>
              </w:rPr>
              <w:t>Completion/status/document changes; official-vs-marketing mismatch.</w:t>
            </w:r>
          </w:p>
        </w:tc>
        <w:tc>
          <w:tcPr>
            <w:tcW w:type="dxa" w:w="1871"/>
            <w:tcMar>
              <w:top w:w="65" w:type="dxa"/>
              <w:start w:w="65" w:type="dxa"/>
              <w:bottom w:w="65" w:type="dxa"/>
              <w:end w:w="65" w:type="dxa"/>
            </w:tcMar>
            <w:vAlign w:val="top"/>
          </w:tcPr>
          <w:p>
            <w:pPr>
              <w:spacing w:after="0" w:line="240" w:lineRule="auto"/>
            </w:pPr>
            <w:r/>
            <w:r>
              <w:rPr>
                <w:rFonts w:ascii="Aptos" w:hAnsi="Aptos"/>
                <w:color w:val="344054"/>
                <w:sz w:val="14"/>
              </w:rPr>
              <w:t>Client update risk, credibility loss, repeated manual research.</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4"/>
              </w:rPr>
              <w:t>High</w:t>
            </w:r>
          </w:p>
        </w:tc>
        <w:tc>
          <w:tcPr>
            <w:tcW w:type="dxa" w:w="2098"/>
            <w:tcMar>
              <w:top w:w="65" w:type="dxa"/>
              <w:start w:w="65" w:type="dxa"/>
              <w:bottom w:w="65" w:type="dxa"/>
              <w:end w:w="65" w:type="dxa"/>
            </w:tcMar>
            <w:vAlign w:val="top"/>
          </w:tcPr>
          <w:p>
            <w:pPr>
              <w:spacing w:after="0" w:line="240" w:lineRule="auto"/>
            </w:pPr>
            <w:r/>
            <w:r>
              <w:rPr>
                <w:rFonts w:ascii="Aptos" w:hAnsi="Aptos"/>
                <w:color w:val="344054"/>
                <w:sz w:val="14"/>
              </w:rPr>
              <w:t>Weekly digest, evidence card, client-ready report.</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4"/>
              </w:rPr>
              <w:t>Property consultants / advisers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Prepare comparative project notes and client due-diligence packs.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4"/>
              </w:rPr>
              <w:t>Silent revisions, multiple phases, source conflicts.</w:t>
            </w:r>
          </w:p>
        </w:tc>
        <w:tc>
          <w:tcPr>
            <w:tcW w:type="dxa" w:w="1871"/>
            <w:shd w:fill="F8FAFC"/>
            <w:tcMar>
              <w:top w:w="65" w:type="dxa"/>
              <w:start w:w="65" w:type="dxa"/>
              <w:bottom w:w="65" w:type="dxa"/>
              <w:end w:w="65" w:type="dxa"/>
            </w:tcMar>
            <w:vAlign w:val="top"/>
          </w:tcPr>
          <w:p>
            <w:pPr>
              <w:spacing w:after="0" w:line="240" w:lineRule="auto"/>
            </w:pPr>
            <w:r/>
            <w:r>
              <w:rPr>
                <w:rFonts w:ascii="Aptos" w:hAnsi="Aptos"/>
                <w:color w:val="344054"/>
                <w:sz w:val="14"/>
              </w:rPr>
              <w:t>Incorrect recommendation context and costly rework.</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4"/>
              </w:rPr>
              <w:t>High</w:t>
            </w:r>
          </w:p>
        </w:tc>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4"/>
              </w:rPr>
              <w:t>Project truth timeline and claim-vs-record table.</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4"/>
              </w:rPr>
              <w:t>Small/mid developers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Monitor competitor launches, amendments and market supply.</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4"/>
              </w:rPr>
              <w:t>New phases, extensions, developer patterns.</w:t>
            </w:r>
          </w:p>
        </w:tc>
        <w:tc>
          <w:tcPr>
            <w:tcW w:type="dxa" w:w="1871"/>
            <w:tcMar>
              <w:top w:w="65" w:type="dxa"/>
              <w:start w:w="65" w:type="dxa"/>
              <w:bottom w:w="65" w:type="dxa"/>
              <w:end w:w="65" w:type="dxa"/>
            </w:tcMar>
            <w:vAlign w:val="top"/>
          </w:tcPr>
          <w:p>
            <w:pPr>
              <w:spacing w:after="0" w:line="240" w:lineRule="auto"/>
            </w:pPr>
            <w:r/>
            <w:r>
              <w:rPr>
                <w:rFonts w:ascii="Aptos" w:hAnsi="Aptos"/>
                <w:color w:val="344054"/>
                <w:sz w:val="14"/>
              </w:rPr>
              <w:t>Late pricing/launch reaction.</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4"/>
              </w:rPr>
              <w:t>Medium-High</w:t>
            </w:r>
          </w:p>
        </w:tc>
        <w:tc>
          <w:tcPr>
            <w:tcW w:type="dxa" w:w="2098"/>
            <w:tcMar>
              <w:top w:w="65" w:type="dxa"/>
              <w:start w:w="65" w:type="dxa"/>
              <w:bottom w:w="65" w:type="dxa"/>
              <w:end w:w="65" w:type="dxa"/>
            </w:tcMar>
            <w:vAlign w:val="top"/>
          </w:tcPr>
          <w:p>
            <w:pPr>
              <w:spacing w:after="0" w:line="240" w:lineRule="auto"/>
            </w:pPr>
            <w:r/>
            <w:r>
              <w:rPr>
                <w:rFonts w:ascii="Aptos" w:hAnsi="Aptos"/>
                <w:color w:val="344054"/>
                <w:sz w:val="14"/>
              </w:rPr>
              <w:t>Developer portfolio and micro-market pulse (V2).</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4"/>
              </w:rPr>
              <w:t>Investors / lenders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Review monitored projects before credit or acquisition decisions.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4"/>
              </w:rPr>
              <w:t>Fresh status, official notices, repeated extension signals.</w:t>
            </w:r>
          </w:p>
        </w:tc>
        <w:tc>
          <w:tcPr>
            <w:tcW w:type="dxa" w:w="1871"/>
            <w:shd w:fill="F8FAFC"/>
            <w:tcMar>
              <w:top w:w="65" w:type="dxa"/>
              <w:start w:w="65" w:type="dxa"/>
              <w:bottom w:w="65" w:type="dxa"/>
              <w:end w:w="65" w:type="dxa"/>
            </w:tcMar>
            <w:vAlign w:val="top"/>
          </w:tcPr>
          <w:p>
            <w:pPr>
              <w:spacing w:after="0" w:line="240" w:lineRule="auto"/>
            </w:pPr>
            <w:r/>
            <w:r>
              <w:rPr>
                <w:rFonts w:ascii="Aptos" w:hAnsi="Aptos"/>
                <w:color w:val="344054"/>
                <w:sz w:val="14"/>
              </w:rPr>
              <w:t>Stale underwriting assumptions.</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4"/>
              </w:rPr>
              <w:t>Medium</w:t>
            </w:r>
          </w:p>
        </w:tc>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4"/>
              </w:rPr>
              <w:t>Evidence package; requires stronger legal review.</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4"/>
              </w:rPr>
              <w:t>Homebuyer advisers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Validate client-facing project facts.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4"/>
              </w:rPr>
              <w:t>Marketing claims and completion dates.</w:t>
            </w:r>
          </w:p>
        </w:tc>
        <w:tc>
          <w:tcPr>
            <w:tcW w:type="dxa" w:w="1871"/>
            <w:tcMar>
              <w:top w:w="65" w:type="dxa"/>
              <w:start w:w="65" w:type="dxa"/>
              <w:bottom w:w="65" w:type="dxa"/>
              <w:end w:w="65" w:type="dxa"/>
            </w:tcMar>
            <w:vAlign w:val="top"/>
          </w:tcPr>
          <w:p>
            <w:pPr>
              <w:spacing w:after="0" w:line="240" w:lineRule="auto"/>
            </w:pPr>
            <w:r/>
            <w:r>
              <w:rPr>
                <w:rFonts w:ascii="Aptos" w:hAnsi="Aptos"/>
                <w:color w:val="344054"/>
                <w:sz w:val="14"/>
              </w:rPr>
              <w:t>Consumer trust and complaint risk.</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4"/>
              </w:rPr>
              <w:t>Medium-High</w:t>
            </w:r>
          </w:p>
        </w:tc>
        <w:tc>
          <w:tcPr>
            <w:tcW w:type="dxa" w:w="2098"/>
            <w:tcMar>
              <w:top w:w="65" w:type="dxa"/>
              <w:start w:w="65" w:type="dxa"/>
              <w:bottom w:w="65" w:type="dxa"/>
              <w:end w:w="65" w:type="dxa"/>
            </w:tcMar>
            <w:vAlign w:val="top"/>
          </w:tcPr>
          <w:p>
            <w:pPr>
              <w:spacing w:after="0" w:line="240" w:lineRule="auto"/>
            </w:pPr>
            <w:r/>
            <w:r>
              <w:rPr>
                <w:rFonts w:ascii="Aptos" w:hAnsi="Aptos"/>
                <w:color w:val="344054"/>
                <w:sz w:val="14"/>
              </w:rPr>
              <w:t>Read-only evidence report; no buy/sell recommendation.</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4"/>
              </w:rPr>
              <w:t>Contractors / suppliers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Look for project stage/opportunity changes.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4"/>
              </w:rPr>
              <w:t>New phases and progress milestones.</w:t>
            </w:r>
          </w:p>
        </w:tc>
        <w:tc>
          <w:tcPr>
            <w:tcW w:type="dxa" w:w="1871"/>
            <w:shd w:fill="F8FAFC"/>
            <w:tcMar>
              <w:top w:w="65" w:type="dxa"/>
              <w:start w:w="65" w:type="dxa"/>
              <w:bottom w:w="65" w:type="dxa"/>
              <w:end w:w="65" w:type="dxa"/>
            </w:tcMar>
            <w:vAlign w:val="top"/>
          </w:tcPr>
          <w:p>
            <w:pPr>
              <w:spacing w:after="0" w:line="240" w:lineRule="auto"/>
            </w:pPr>
            <w:r/>
            <w:r>
              <w:rPr>
                <w:rFonts w:ascii="Aptos" w:hAnsi="Aptos"/>
                <w:color w:val="344054"/>
                <w:sz w:val="14"/>
              </w:rPr>
              <w:t>Missed lead timing.</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4"/>
              </w:rPr>
              <w:t>Medium</w:t>
            </w:r>
          </w:p>
        </w:tc>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4"/>
              </w:rPr>
              <w:t>Opportunity trigger (future; avoid duplicating Biltrax).</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4"/>
              </w:rPr>
              <w:t>Legal/compliance professionals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Review official orders/notices and documentary changes.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4"/>
              </w:rPr>
              <w:t>New order, amended certificate, conflicting facts.</w:t>
            </w:r>
          </w:p>
        </w:tc>
        <w:tc>
          <w:tcPr>
            <w:tcW w:type="dxa" w:w="1871"/>
            <w:tcMar>
              <w:top w:w="65" w:type="dxa"/>
              <w:start w:w="65" w:type="dxa"/>
              <w:bottom w:w="65" w:type="dxa"/>
              <w:end w:w="65" w:type="dxa"/>
            </w:tcMar>
            <w:vAlign w:val="top"/>
          </w:tcPr>
          <w:p>
            <w:pPr>
              <w:spacing w:after="0" w:line="240" w:lineRule="auto"/>
            </w:pPr>
            <w:r/>
            <w:r>
              <w:rPr>
                <w:rFonts w:ascii="Aptos" w:hAnsi="Aptos"/>
                <w:color w:val="344054"/>
                <w:sz w:val="14"/>
              </w:rPr>
              <w:t>Missed deadline or weak evidence trail.</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4"/>
              </w:rPr>
              <w:t>Medium</w:t>
            </w:r>
          </w:p>
        </w:tc>
        <w:tc>
          <w:tcPr>
            <w:tcW w:type="dxa" w:w="2098"/>
            <w:tcMar>
              <w:top w:w="65" w:type="dxa"/>
              <w:start w:w="65" w:type="dxa"/>
              <w:bottom w:w="65" w:type="dxa"/>
              <w:end w:w="65" w:type="dxa"/>
            </w:tcMar>
            <w:vAlign w:val="top"/>
          </w:tcPr>
          <w:p>
            <w:pPr>
              <w:spacing w:after="0" w:line="240" w:lineRule="auto"/>
            </w:pPr>
            <w:r/>
            <w:r>
              <w:rPr>
                <w:rFonts w:ascii="Aptos" w:hAnsi="Aptos"/>
                <w:color w:val="344054"/>
                <w:sz w:val="14"/>
              </w:rPr>
              <w:t>Human-reviewed regulatory update package.</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4"/>
              </w:rPr>
              <w:t>Marketing agencies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Maintain accurate project collateral.</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4"/>
              </w:rPr>
              <w:t>Brochure claims drifting from official record.</w:t>
            </w:r>
          </w:p>
        </w:tc>
        <w:tc>
          <w:tcPr>
            <w:tcW w:type="dxa" w:w="1871"/>
            <w:shd w:fill="F8FAFC"/>
            <w:tcMar>
              <w:top w:w="65" w:type="dxa"/>
              <w:start w:w="65" w:type="dxa"/>
              <w:bottom w:w="65" w:type="dxa"/>
              <w:end w:w="65" w:type="dxa"/>
            </w:tcMar>
            <w:vAlign w:val="top"/>
          </w:tcPr>
          <w:p>
            <w:pPr>
              <w:spacing w:after="0" w:line="240" w:lineRule="auto"/>
            </w:pPr>
            <w:r/>
            <w:r>
              <w:rPr>
                <w:rFonts w:ascii="Aptos" w:hAnsi="Aptos"/>
                <w:color w:val="344054"/>
                <w:sz w:val="14"/>
              </w:rPr>
              <w:t>Misleading copy and rework.</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4"/>
              </w:rPr>
              <w:t>Medium</w:t>
            </w:r>
          </w:p>
        </w:tc>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4"/>
              </w:rPr>
              <w:t>Claim-vs-record QA report.</w:t>
            </w:r>
          </w:p>
        </w:tc>
      </w:tr>
    </w:tbl>
    <w:p>
      <w:pPr>
        <w:spacing w:after="0"/>
      </w:pPr>
    </w:p>
    <w:p>
      <w:pPr>
        <w:pStyle w:val="Heading2"/>
        <w:keepNext/>
        <w:spacing w:before="140" w:after="80"/>
      </w:pPr>
      <w:r>
        <w:t>3.2 Selected customer</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6"/>
              </w:rPr>
              <w:t>Role</w:t>
            </w:r>
          </w:p>
        </w:tc>
        <w:tc>
          <w:tcPr>
            <w:tcW w:type="dxa" w:w="7143"/>
            <w:shd w:fill="17324D"/>
            <w:tcMar>
              <w:top w:w="80" w:type="dxa"/>
              <w:start w:w="70" w:type="dxa"/>
              <w:bottom w:w="80" w:type="dxa"/>
              <w:end w:w="70" w:type="dxa"/>
            </w:tcMar>
            <w:vAlign w:val="center"/>
          </w:tcPr>
          <w:p>
            <w:pPr>
              <w:spacing w:after="0"/>
              <w:jc w:val="left"/>
            </w:pPr>
            <w:r/>
            <w:r>
              <w:rPr>
                <w:rFonts w:ascii="Aptos" w:hAnsi="Aptos"/>
                <w:b/>
                <w:color w:val="FFFFFF"/>
                <w:sz w:val="16"/>
              </w:rPr>
              <w:t>Exact choice</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Primary target user</w:t>
            </w:r>
          </w:p>
        </w:tc>
        <w:tc>
          <w:tcPr>
            <w:tcW w:type="dxa" w:w="7143"/>
            <w:tcMar>
              <w:top w:w="65" w:type="dxa"/>
              <w:start w:w="65" w:type="dxa"/>
              <w:bottom w:w="65" w:type="dxa"/>
              <w:end w:w="65" w:type="dxa"/>
            </w:tcMar>
            <w:vAlign w:val="top"/>
          </w:tcPr>
          <w:p>
            <w:pPr>
              <w:spacing w:after="0" w:line="240" w:lineRule="auto"/>
            </w:pPr>
            <w:r/>
            <w:r>
              <w:rPr>
                <w:rFonts w:ascii="Aptos" w:hAnsi="Aptos"/>
                <w:color w:val="344054"/>
                <w:sz w:val="16"/>
              </w:rPr>
              <w:t>Research/operations analysts inside a 5–30 person property advisory or channel-partner firm monitoring under-construction projects.</w:t>
            </w:r>
          </w:p>
        </w:tc>
      </w:tr>
      <w:tr>
        <w:trPr>
          <w:cantSplit/>
        </w:trPr>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6"/>
              </w:rPr>
              <w:t>Economic buyer</w:t>
            </w:r>
          </w:p>
        </w:tc>
        <w:tc>
          <w:tcPr>
            <w:tcW w:type="dxa" w:w="7143"/>
            <w:shd w:fill="F8FAFC"/>
            <w:tcMar>
              <w:top w:w="65" w:type="dxa"/>
              <w:start w:w="65" w:type="dxa"/>
              <w:bottom w:w="65" w:type="dxa"/>
              <w:end w:w="65" w:type="dxa"/>
            </w:tcMar>
            <w:vAlign w:val="top"/>
          </w:tcPr>
          <w:p>
            <w:pPr>
              <w:spacing w:after="0" w:line="240" w:lineRule="auto"/>
            </w:pPr>
            <w:r/>
            <w:r>
              <w:rPr>
                <w:rFonts w:ascii="Aptos" w:hAnsi="Aptos"/>
                <w:color w:val="344054"/>
                <w:sz w:val="16"/>
              </w:rPr>
              <w:t>Founder, partner, research head or brokerage operations head.</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Secondary users</w:t>
            </w:r>
          </w:p>
        </w:tc>
        <w:tc>
          <w:tcPr>
            <w:tcW w:type="dxa" w:w="7143"/>
            <w:tcMar>
              <w:top w:w="65" w:type="dxa"/>
              <w:start w:w="65" w:type="dxa"/>
              <w:bottom w:w="65" w:type="dxa"/>
              <w:end w:w="65" w:type="dxa"/>
            </w:tcMar>
            <w:vAlign w:val="top"/>
          </w:tcPr>
          <w:p>
            <w:pPr>
              <w:spacing w:after="0" w:line="240" w:lineRule="auto"/>
            </w:pPr>
            <w:r/>
            <w:r>
              <w:rPr>
                <w:rFonts w:ascii="Aptos" w:hAnsi="Aptos"/>
                <w:color w:val="344054"/>
                <w:sz w:val="16"/>
              </w:rPr>
              <w:t>Due-diligence consultants, developer competitive-intelligence teams, lenders and marketing/compliance teams.</w:t>
            </w:r>
          </w:p>
        </w:tc>
      </w:tr>
      <w:tr>
        <w:trPr>
          <w:cantSplit/>
        </w:trPr>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6"/>
              </w:rPr>
              <w:t>First pilot profile</w:t>
            </w:r>
          </w:p>
        </w:tc>
        <w:tc>
          <w:tcPr>
            <w:tcW w:type="dxa" w:w="7143"/>
            <w:shd w:fill="F8FAFC"/>
            <w:tcMar>
              <w:top w:w="65" w:type="dxa"/>
              <w:start w:w="65" w:type="dxa"/>
              <w:bottom w:w="65" w:type="dxa"/>
              <w:end w:w="65" w:type="dxa"/>
            </w:tcMar>
            <w:vAlign w:val="top"/>
          </w:tcPr>
          <w:p>
            <w:pPr>
              <w:spacing w:after="0" w:line="240" w:lineRule="auto"/>
            </w:pPr>
            <w:r/>
            <w:r>
              <w:rPr>
                <w:rFonts w:ascii="Aptos" w:hAnsi="Aptos"/>
                <w:color w:val="344054"/>
                <w:sz w:val="16"/>
              </w:rPr>
              <w:t>Gurugram-focused advisory with 20–75 projects in active consideration, at least two analysts and recurring client reports.</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First city focus</w:t>
            </w:r>
          </w:p>
        </w:tc>
        <w:tc>
          <w:tcPr>
            <w:tcW w:type="dxa" w:w="7143"/>
            <w:tcMar>
              <w:top w:w="65" w:type="dxa"/>
              <w:start w:w="65" w:type="dxa"/>
              <w:bottom w:w="65" w:type="dxa"/>
              <w:end w:w="65" w:type="dxa"/>
            </w:tcMar>
            <w:vAlign w:val="top"/>
          </w:tcPr>
          <w:p>
            <w:pPr>
              <w:spacing w:after="0" w:line="240" w:lineRule="auto"/>
            </w:pPr>
            <w:r/>
            <w:r>
              <w:rPr>
                <w:rFonts w:ascii="Aptos" w:hAnsi="Aptos"/>
                <w:color w:val="344054"/>
                <w:sz w:val="16"/>
              </w:rPr>
              <w:t>Gurugram; under-construction residential group housing and mixed-use projects.</w:t>
            </w:r>
          </w:p>
        </w:tc>
      </w:tr>
      <w:tr>
        <w:trPr>
          <w:cantSplit/>
        </w:trPr>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6"/>
              </w:rPr>
              <w:t>Why they pay</w:t>
            </w:r>
          </w:p>
        </w:tc>
        <w:tc>
          <w:tcPr>
            <w:tcW w:type="dxa" w:w="7143"/>
            <w:shd w:fill="F8FAFC"/>
            <w:tcMar>
              <w:top w:w="65" w:type="dxa"/>
              <w:start w:w="65" w:type="dxa"/>
              <w:bottom w:w="65" w:type="dxa"/>
              <w:end w:w="65" w:type="dxa"/>
            </w:tcMar>
            <w:vAlign w:val="top"/>
          </w:tcPr>
          <w:p>
            <w:pPr>
              <w:spacing w:after="0" w:line="240" w:lineRule="auto"/>
            </w:pPr>
            <w:r/>
            <w:r>
              <w:rPr>
                <w:rFonts w:ascii="Aptos" w:hAnsi="Aptos"/>
                <w:color w:val="344054"/>
                <w:sz w:val="16"/>
              </w:rPr>
              <w:t>Reduce repeat portal checking, preserve evidence, lower false client updates and produce consistent weekly/client reports.</w:t>
            </w:r>
          </w:p>
        </w:tc>
      </w:tr>
      <w:tr>
        <w:trPr>
          <w:cantSplit/>
        </w:trPr>
        <w:tc>
          <w:tcPr>
            <w:tcW w:type="dxa" w:w="2268"/>
            <w:tcMar>
              <w:top w:w="65" w:type="dxa"/>
              <w:start w:w="65" w:type="dxa"/>
              <w:bottom w:w="65" w:type="dxa"/>
              <w:end w:w="65" w:type="dxa"/>
            </w:tcMar>
            <w:vAlign w:val="top"/>
          </w:tcPr>
          <w:p>
            <w:pPr>
              <w:spacing w:after="0" w:line="240" w:lineRule="auto"/>
            </w:pPr>
            <w:r/>
            <w:r>
              <w:rPr>
                <w:rFonts w:ascii="Aptos" w:hAnsi="Aptos"/>
                <w:color w:val="344054"/>
                <w:sz w:val="16"/>
              </w:rPr>
              <w:t>Validation requirement</w:t>
            </w:r>
          </w:p>
        </w:tc>
        <w:tc>
          <w:tcPr>
            <w:tcW w:type="dxa" w:w="7143"/>
            <w:tcMar>
              <w:top w:w="65" w:type="dxa"/>
              <w:start w:w="65" w:type="dxa"/>
              <w:bottom w:w="65" w:type="dxa"/>
              <w:end w:w="65" w:type="dxa"/>
            </w:tcMar>
            <w:vAlign w:val="top"/>
          </w:tcPr>
          <w:p>
            <w:pPr>
              <w:spacing w:after="0" w:line="240" w:lineRule="auto"/>
            </w:pPr>
            <w:r/>
            <w:r>
              <w:rPr>
                <w:rFonts w:ascii="Aptos" w:hAnsi="Aptos"/>
                <w:color w:val="344054"/>
                <w:sz w:val="16"/>
              </w:rPr>
              <w:t>At least 10 interviews and a 4-week design-partner trial before claiming willingness to pay.</w:t>
            </w:r>
          </w:p>
        </w:tc>
      </w:tr>
    </w:tbl>
    <w:p>
      <w:pPr>
        <w:spacing w:after="0"/>
      </w:pPr>
    </w:p>
    <w:p>
      <w:pPr>
        <w:pStyle w:val="Heading2"/>
        <w:keepNext/>
        <w:spacing w:before="140" w:after="80"/>
      </w:pPr>
      <w:r>
        <w:t>3.3 Measurable ROI hypothesis</w:t>
      </w:r>
    </w:p>
    <w:p>
      <w:pPr>
        <w:pStyle w:val="ListBullet"/>
        <w:spacing w:after="30" w:line="247" w:lineRule="auto"/>
        <w:ind w:left="360" w:hanging="173"/>
      </w:pPr>
      <w:r>
        <w:rPr>
          <w:rFonts w:ascii="Aptos" w:hAnsi="Aptos"/>
          <w:color w:val="344054"/>
          <w:sz w:val="18"/>
        </w:rPr>
        <w:t>Analyst time saved: compare manual monitoring minutes per project per week against automated review minutes; target 50–70% reduction in pilot.</w:t>
      </w:r>
    </w:p>
    <w:p>
      <w:pPr>
        <w:pStyle w:val="ListBullet"/>
        <w:spacing w:after="30" w:line="247" w:lineRule="auto"/>
        <w:ind w:left="360" w:hanging="173"/>
      </w:pPr>
      <w:r>
        <w:rPr>
          <w:rFonts w:ascii="Aptos" w:hAnsi="Aptos"/>
          <w:color w:val="344054"/>
          <w:sz w:val="18"/>
        </w:rPr>
        <w:t>Evidence completeness: percentage of client-facing project updates with source URL, capture timestamp and before/after values; target 100% for surfaced alerts.</w:t>
      </w:r>
    </w:p>
    <w:p>
      <w:pPr>
        <w:pStyle w:val="ListBullet"/>
        <w:spacing w:after="30" w:line="247" w:lineRule="auto"/>
        <w:ind w:left="360" w:hanging="173"/>
      </w:pPr>
      <w:r>
        <w:rPr>
          <w:rFonts w:ascii="Aptos" w:hAnsi="Aptos"/>
          <w:color w:val="344054"/>
          <w:sz w:val="18"/>
        </w:rPr>
        <w:t>Fewer rework events: count corrections to issued project briefs; target at least 30% reduction during pilot.</w:t>
      </w:r>
    </w:p>
    <w:p>
      <w:pPr>
        <w:pStyle w:val="ListBullet"/>
        <w:spacing w:after="30" w:line="247" w:lineRule="auto"/>
        <w:ind w:left="360" w:hanging="173"/>
      </w:pPr>
      <w:r>
        <w:rPr>
          <w:rFonts w:ascii="Aptos" w:hAnsi="Aptos"/>
          <w:color w:val="344054"/>
          <w:sz w:val="18"/>
        </w:rPr>
        <w:t>Faster review: median time from official change to reviewed alert; target under 24 hours for daily-monitored projects, subject to source availability.</w:t>
      </w:r>
    </w:p>
    <w:p>
      <w:pPr>
        <w:pStyle w:val="ListBullet"/>
        <w:spacing w:after="30" w:line="247" w:lineRule="auto"/>
        <w:ind w:left="360" w:hanging="173"/>
      </w:pPr>
      <w:r>
        <w:rPr>
          <w:rFonts w:ascii="Aptos" w:hAnsi="Aptos"/>
          <w:color w:val="344054"/>
          <w:sz w:val="18"/>
        </w:rPr>
        <w:t>Commercial value must be measured with customer baselines; no guaranteed savings should be marketed.</w:t>
      </w:r>
    </w:p>
    <w:p>
      <w:pPr>
        <w:pStyle w:val="Heading1"/>
        <w:keepNext/>
        <w:spacing w:before="200" w:after="80"/>
      </w:pPr>
      <w:r>
        <w:t>4. Competitor and market analysis</w:t>
      </w:r>
    </w:p>
    <w:p>
      <w:pPr>
        <w:keepNext w:val="0"/>
        <w:spacing w:after="60" w:line="259" w:lineRule="auto"/>
      </w:pPr>
      <w:r>
        <w:rPr>
          <w:rFonts w:ascii="Aptos" w:hAnsi="Aptos"/>
          <w:color w:val="344054"/>
          <w:sz w:val="19"/>
        </w:rPr>
        <w:t>India already has strong property-search portals, transaction databases, research/valuation platforms and construction lead products. Internationally, deep commercial-property data, permitting and construction-intelligence platforms are mature. Generic page monitoring is inexpensive and commoditised. The opportunity is therefore not “more data”; it is a reviewable domain workflow that preserves time, provenance and conflict context. [S18] [S19] [S20] [S21] [S22] [S23] [S24] [S25] [S26] [S27] [S28] [S29] [S31] [S32] [S33] [S34] [S35] [S36]</w:t>
      </w:r>
    </w:p>
    <w:p>
      <w:pPr>
        <w:sectPr>
          <w:pgSz w:w="11906" w:h="16838"/>
          <w:pgMar w:top="964" w:right="964" w:bottom="907" w:left="964" w:header="397" w:footer="397" w:gutter="0"/>
          <w:cols w:space="720"/>
          <w:docGrid w:linePitch="360"/>
        </w:sectPr>
      </w:pPr>
    </w:p>
    <w:p>
      <w:pPr>
        <w:pStyle w:val="Heading1"/>
        <w:keepNext/>
        <w:spacing w:before="200" w:after="80"/>
      </w:pPr>
      <w:r>
        <w:t>4.1 Competitor matrix</w:t>
      </w:r>
    </w:p>
    <w:tbl>
      <w:tblPr>
        <w:tblStyle w:val="TableGrid"/>
        <w:tblW w:type="auto" w:w="0"/>
        <w:jc w:val="center"/>
        <w:tblLayout w:type="fixed"/>
        <w:tblLook w:firstColumn="1" w:firstRow="1" w:lastColumn="0" w:lastRow="0" w:noHBand="0" w:noVBand="1" w:val="04A0"/>
      </w:tblPr>
      <w:tblGrid>
        <w:gridCol w:w="1935"/>
        <w:gridCol w:w="1935"/>
        <w:gridCol w:w="1935"/>
        <w:gridCol w:w="1935"/>
        <w:gridCol w:w="1935"/>
        <w:gridCol w:w="1935"/>
        <w:gridCol w:w="1935"/>
        <w:gridCol w:w="1935"/>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3"/>
              </w:rPr>
              <w:t>Competitor/category</w:t>
            </w:r>
          </w:p>
        </w:tc>
        <w:tc>
          <w:tcPr>
            <w:tcW w:type="dxa" w:w="1531"/>
            <w:shd w:fill="17324D"/>
            <w:tcMar>
              <w:top w:w="80" w:type="dxa"/>
              <w:start w:w="70" w:type="dxa"/>
              <w:bottom w:w="80" w:type="dxa"/>
              <w:end w:w="70" w:type="dxa"/>
            </w:tcMar>
            <w:vAlign w:val="center"/>
          </w:tcPr>
          <w:p>
            <w:pPr>
              <w:spacing w:after="0"/>
              <w:jc w:val="left"/>
            </w:pPr>
            <w:r/>
            <w:r>
              <w:rPr>
                <w:rFonts w:ascii="Aptos" w:hAnsi="Aptos"/>
                <w:b/>
                <w:color w:val="FFFFFF"/>
                <w:sz w:val="13"/>
              </w:rPr>
              <w:t>Focus</w:t>
            </w:r>
          </w:p>
        </w:tc>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3"/>
              </w:rPr>
              <w:t>Target</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3"/>
              </w:rPr>
              <w:t>Key features</w:t>
            </w:r>
          </w:p>
        </w:tc>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3"/>
              </w:rPr>
              <w:t>Type</w:t>
            </w:r>
          </w:p>
        </w:tc>
        <w:tc>
          <w:tcPr>
            <w:tcW w:type="dxa" w:w="1984"/>
            <w:shd w:fill="17324D"/>
            <w:tcMar>
              <w:top w:w="80" w:type="dxa"/>
              <w:start w:w="70" w:type="dxa"/>
              <w:bottom w:w="80" w:type="dxa"/>
              <w:end w:w="70" w:type="dxa"/>
            </w:tcMar>
            <w:vAlign w:val="center"/>
          </w:tcPr>
          <w:p>
            <w:pPr>
              <w:spacing w:after="0"/>
              <w:jc w:val="left"/>
            </w:pPr>
            <w:r/>
            <w:r>
              <w:rPr>
                <w:rFonts w:ascii="Aptos" w:hAnsi="Aptos"/>
                <w:b/>
                <w:color w:val="FFFFFF"/>
                <w:sz w:val="13"/>
              </w:rPr>
              <w:t>Strength</w:t>
            </w:r>
          </w:p>
        </w:tc>
        <w:tc>
          <w:tcPr>
            <w:tcW w:type="dxa" w:w="3288"/>
            <w:shd w:fill="17324D"/>
            <w:tcMar>
              <w:top w:w="80" w:type="dxa"/>
              <w:start w:w="70" w:type="dxa"/>
              <w:bottom w:w="80" w:type="dxa"/>
              <w:end w:w="70" w:type="dxa"/>
            </w:tcMar>
            <w:vAlign w:val="center"/>
          </w:tcPr>
          <w:p>
            <w:pPr>
              <w:spacing w:after="0"/>
              <w:jc w:val="left"/>
            </w:pPr>
            <w:r/>
            <w:r>
              <w:rPr>
                <w:rFonts w:ascii="Aptos" w:hAnsi="Aptos"/>
                <w:b/>
                <w:color w:val="FFFFFF"/>
                <w:sz w:val="13"/>
              </w:rPr>
              <w:t>Gap / implication</w:t>
            </w:r>
          </w:p>
        </w:tc>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3"/>
              </w:rPr>
              <w:t>Pricing</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CRE Matrix</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India RE analytics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Investors, developers, occupiers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Transactions, leases, portfolio/feasibility analytics</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Database + analytics</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Strong registered-data analytics</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Not positioned as a public-source field-change ledger</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Quote / enterprise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Propstack</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India property/transaction data</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Brokers, investors, institutions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Residential/CRE transactions, mortgage/property intelligence</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Database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Large transaction repository</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Not a project snapshot/evidence workflow</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Quote / subscription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Liases Foras</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Research, risk, valuation</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Developers, lenders, institutions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Project database, ratings, feasibility, price/index research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Intelligence platform</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Scale and domain depth</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Pan-India platform is too broad to copy; monitoring provenance is a wedge</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Quote / enterprise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Zapkey</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Registration transaction data</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Consumers/professionals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Public-record transaction search and home sale</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Database + transaction service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Registry-derived data</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Not continuous RERA project/document monitoring</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Consumer + service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Biltrax</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Construction opportunities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Suppliers, contractors, manufacturers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Project leads and construction intelligence</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Lead database</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Commercial opportunity use case</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Would overlap if MVP becomes supplier lead generation</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Quote / subscription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99acres / Magicbricks / Housing</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Property discovery</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Buyers, renters, brokers, developers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Listings, filters, trends, content</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Listing portals</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Traffic and inventory</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Search/recommendation is commoditised and outside wedge</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Freemium/ads/leads</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Square Yards / NoBroker</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End-to-end transaction services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Consumers, owners, investors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Discovery through transaction/mortgage/services</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Marketplace/service platform</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Integrated consumer journey</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Different business model; ProjectTruth should not intermediate transactions</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Service fees / leads</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CoStar / Reonomy</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Commercial property intelligence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Institutional CRE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Properties, owners, tenants, debt, transactions</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Licensed database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Data depth and workflow maturity</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Geography/data-rights model not reproducible by solo MVP</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Enterprise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Cherre</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Real-estate data fabric</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Enterprises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Data integration, entity resolution, governance</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Data platform</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Knowledge graph/data model</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Too infrastructure-heavy; borrow provenance principles only</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Enterprise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BuildZoom</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Permit/contractor intelligence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Owners, contractors, analysts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Permits and contractor/project data</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Database/intelligence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Longitudinal permit data</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US-specific sources; demonstrates value of change history</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Enterprise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ConstructConnect / Dodge</w:t>
            </w:r>
          </w:p>
        </w:tc>
        <w:tc>
          <w:tcPr>
            <w:tcW w:type="dxa" w:w="1531"/>
            <w:tcMar>
              <w:top w:w="65" w:type="dxa"/>
              <w:start w:w="65" w:type="dxa"/>
              <w:bottom w:w="65" w:type="dxa"/>
              <w:end w:w="65" w:type="dxa"/>
            </w:tcMar>
            <w:vAlign w:val="top"/>
          </w:tcPr>
          <w:p>
            <w:pPr>
              <w:spacing w:after="0" w:line="240" w:lineRule="auto"/>
            </w:pPr>
            <w:r/>
            <w:r>
              <w:rPr>
                <w:rFonts w:ascii="Aptos" w:hAnsi="Aptos"/>
                <w:color w:val="344054"/>
                <w:sz w:val="13"/>
              </w:rPr>
              <w:t>Construction project intelligence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3"/>
              </w:rPr>
              <w:t>Contractors, suppliers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Projects, docs, bid timing, market intelligence</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Lead/intelligence platform</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Workflow and project updates</w:t>
            </w:r>
          </w:p>
        </w:tc>
        <w:tc>
          <w:tcPr>
            <w:tcW w:type="dxa" w:w="3288"/>
            <w:tcMar>
              <w:top w:w="65" w:type="dxa"/>
              <w:start w:w="65" w:type="dxa"/>
              <w:bottom w:w="65" w:type="dxa"/>
              <w:end w:w="65" w:type="dxa"/>
            </w:tcMar>
            <w:vAlign w:val="top"/>
          </w:tcPr>
          <w:p>
            <w:pPr>
              <w:spacing w:after="0" w:line="240" w:lineRule="auto"/>
            </w:pPr>
            <w:r/>
            <w:r>
              <w:rPr>
                <w:rFonts w:ascii="Aptos" w:hAnsi="Aptos"/>
                <w:color w:val="344054"/>
                <w:sz w:val="13"/>
              </w:rPr>
              <w:t>Supplier-opportunity lane is already served</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3"/>
              </w:rPr>
              <w:t>Subscription/enterprise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Visualping / Versionista</w:t>
            </w:r>
          </w:p>
        </w:tc>
        <w:tc>
          <w:tcPr>
            <w:tcW w:type="dxa" w:w="1531"/>
            <w:shd w:fill="F8FAFC"/>
            <w:tcMar>
              <w:top w:w="65" w:type="dxa"/>
              <w:start w:w="65" w:type="dxa"/>
              <w:bottom w:w="65" w:type="dxa"/>
              <w:end w:w="65" w:type="dxa"/>
            </w:tcMar>
            <w:vAlign w:val="top"/>
          </w:tcPr>
          <w:p>
            <w:pPr>
              <w:spacing w:after="0" w:line="240" w:lineRule="auto"/>
            </w:pPr>
            <w:r/>
            <w:r>
              <w:rPr>
                <w:rFonts w:ascii="Aptos" w:hAnsi="Aptos"/>
                <w:color w:val="344054"/>
                <w:sz w:val="13"/>
              </w:rPr>
              <w:t>Generic change monitoring</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3"/>
              </w:rPr>
              <w:t>Any web-monitoring team</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Page snapshots, diffs and notifications</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Monitoring system</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Cheap and general</w:t>
            </w:r>
          </w:p>
        </w:tc>
        <w:tc>
          <w:tcPr>
            <w:tcW w:type="dxa" w:w="3288"/>
            <w:shd w:fill="F8FAFC"/>
            <w:tcMar>
              <w:top w:w="65" w:type="dxa"/>
              <w:start w:w="65" w:type="dxa"/>
              <w:bottom w:w="65" w:type="dxa"/>
              <w:end w:w="65" w:type="dxa"/>
            </w:tcMar>
            <w:vAlign w:val="top"/>
          </w:tcPr>
          <w:p>
            <w:pPr>
              <w:spacing w:after="0" w:line="240" w:lineRule="auto"/>
            </w:pPr>
            <w:r/>
            <w:r>
              <w:rPr>
                <w:rFonts w:ascii="Aptos" w:hAnsi="Aptos"/>
                <w:color w:val="344054"/>
                <w:sz w:val="13"/>
              </w:rPr>
              <w:t>No RERA identity, canonical fields, source conflict, risk semantics or client report</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3"/>
              </w:rPr>
              <w:t>Published/quote</w:t>
            </w:r>
          </w:p>
        </w:tc>
      </w:tr>
    </w:tbl>
    <w:p>
      <w:pPr>
        <w:spacing w:after="0"/>
      </w:pPr>
    </w:p>
    <w:p>
      <w:pPr>
        <w:sectPr>
          <w:pgSz w:w="16838" w:h="11906" w:orient="landscape"/>
          <w:pgMar w:top="794" w:right="680" w:bottom="794" w:left="680" w:header="397" w:footer="397" w:gutter="0"/>
          <w:cols w:space="720"/>
          <w:docGrid w:linePitch="360"/>
        </w:sectPr>
      </w:pPr>
    </w:p>
    <w:p>
      <w:pPr>
        <w:pStyle w:val="Heading2"/>
        <w:keepNext/>
        <w:spacing w:before="140" w:after="80"/>
      </w:pPr>
      <w:r>
        <w:t>4.2 What is commoditised</w:t>
      </w:r>
    </w:p>
    <w:p>
      <w:pPr>
        <w:pStyle w:val="ListBullet"/>
        <w:spacing w:after="30" w:line="247" w:lineRule="auto"/>
        <w:ind w:left="360" w:hanging="173"/>
      </w:pPr>
      <w:r>
        <w:rPr>
          <w:rFonts w:ascii="Aptos" w:hAnsi="Aptos"/>
          <w:color w:val="344054"/>
          <w:sz w:val="18"/>
        </w:rPr>
        <w:t>Property search, budget/location filters, lead capture and recommended listings. [S32] [S33] [S34] [S35] [S36]</w:t>
      </w:r>
    </w:p>
    <w:p>
      <w:pPr>
        <w:pStyle w:val="ListBullet"/>
        <w:spacing w:after="30" w:line="247" w:lineRule="auto"/>
        <w:ind w:left="360" w:hanging="173"/>
      </w:pPr>
      <w:r>
        <w:rPr>
          <w:rFonts w:ascii="Aptos" w:hAnsi="Aptos"/>
          <w:color w:val="344054"/>
          <w:sz w:val="18"/>
        </w:rPr>
        <w:t>Transaction databases, price/lease analytics and broad property intelligence. [S18] [S19] [S20] [S21]</w:t>
      </w:r>
    </w:p>
    <w:p>
      <w:pPr>
        <w:pStyle w:val="ListBullet"/>
        <w:spacing w:after="30" w:line="247" w:lineRule="auto"/>
        <w:ind w:left="360" w:hanging="173"/>
      </w:pPr>
      <w:r>
        <w:rPr>
          <w:rFonts w:ascii="Aptos" w:hAnsi="Aptos"/>
          <w:color w:val="344054"/>
          <w:sz w:val="18"/>
        </w:rPr>
        <w:t>Construction project leads and bid/opportunity discovery. [S22] [S27] [S28]</w:t>
      </w:r>
    </w:p>
    <w:p>
      <w:pPr>
        <w:pStyle w:val="ListBullet"/>
        <w:spacing w:after="30" w:line="247" w:lineRule="auto"/>
        <w:ind w:left="360" w:hanging="173"/>
      </w:pPr>
      <w:r>
        <w:rPr>
          <w:rFonts w:ascii="Aptos" w:hAnsi="Aptos"/>
          <w:color w:val="344054"/>
          <w:sz w:val="18"/>
        </w:rPr>
        <w:t>Generic web-page snapshots, visual diffs and notifications. [S29] [S30] [S31]</w:t>
      </w:r>
    </w:p>
    <w:p>
      <w:pPr>
        <w:pStyle w:val="ListBullet"/>
        <w:spacing w:after="30" w:line="247" w:lineRule="auto"/>
        <w:ind w:left="360" w:hanging="173"/>
      </w:pPr>
      <w:r>
        <w:rPr>
          <w:rFonts w:ascii="Aptos" w:hAnsi="Aptos"/>
          <w:color w:val="344054"/>
          <w:sz w:val="18"/>
        </w:rPr>
        <w:t>LLM summaries without field-level provenance.</w:t>
      </w:r>
    </w:p>
    <w:p>
      <w:pPr>
        <w:pStyle w:val="Heading2"/>
        <w:keepNext/>
        <w:spacing w:before="140" w:after="80"/>
      </w:pPr>
      <w:r>
        <w:t>4.3 Defensible opportunity</w:t>
      </w:r>
    </w:p>
    <w:p>
      <w:pPr>
        <w:pStyle w:val="ListBullet"/>
        <w:spacing w:after="30" w:line="247" w:lineRule="auto"/>
        <w:ind w:left="360" w:hanging="173"/>
      </w:pPr>
      <w:r>
        <w:rPr>
          <w:rFonts w:ascii="Aptos" w:hAnsi="Aptos"/>
          <w:color w:val="344054"/>
          <w:sz w:val="18"/>
        </w:rPr>
        <w:t>A canonical Indian RERA project identity with phase/registration relationships.</w:t>
      </w:r>
    </w:p>
    <w:p>
      <w:pPr>
        <w:pStyle w:val="ListBullet"/>
        <w:spacing w:after="30" w:line="247" w:lineRule="auto"/>
        <w:ind w:left="360" w:hanging="173"/>
      </w:pPr>
      <w:r>
        <w:rPr>
          <w:rFonts w:ascii="Aptos" w:hAnsi="Aptos"/>
          <w:color w:val="344054"/>
          <w:sz w:val="18"/>
        </w:rPr>
        <w:t>Immutable field-level snapshots and a before/after Change Ledger.</w:t>
      </w:r>
    </w:p>
    <w:p>
      <w:pPr>
        <w:pStyle w:val="ListBullet"/>
        <w:spacing w:after="30" w:line="247" w:lineRule="auto"/>
        <w:ind w:left="360" w:hanging="173"/>
      </w:pPr>
      <w:r>
        <w:rPr>
          <w:rFonts w:ascii="Aptos" w:hAnsi="Aptos"/>
          <w:color w:val="344054"/>
          <w:sz w:val="18"/>
        </w:rPr>
        <w:t>Claim-versus-Record comparison between user-authorised brochures and official values.</w:t>
      </w:r>
    </w:p>
    <w:p>
      <w:pPr>
        <w:pStyle w:val="ListBullet"/>
        <w:spacing w:after="30" w:line="247" w:lineRule="auto"/>
        <w:ind w:left="360" w:hanging="173"/>
      </w:pPr>
      <w:r>
        <w:rPr>
          <w:rFonts w:ascii="Aptos" w:hAnsi="Aptos"/>
          <w:color w:val="344054"/>
          <w:sz w:val="18"/>
        </w:rPr>
        <w:t>Project Truth Timeline with source availability and changes that later reverse.</w:t>
      </w:r>
    </w:p>
    <w:p>
      <w:pPr>
        <w:pStyle w:val="ListBullet"/>
        <w:spacing w:after="30" w:line="247" w:lineRule="auto"/>
        <w:ind w:left="360" w:hanging="173"/>
      </w:pPr>
      <w:r>
        <w:rPr>
          <w:rFonts w:ascii="Aptos" w:hAnsi="Aptos"/>
          <w:color w:val="344054"/>
          <w:sz w:val="18"/>
        </w:rPr>
        <w:t>Human-review workflow for source conflicts, low-confidence extraction and high-impact alerts.</w:t>
      </w:r>
    </w:p>
    <w:p>
      <w:pPr>
        <w:pStyle w:val="ListBullet"/>
        <w:spacing w:after="30" w:line="247" w:lineRule="auto"/>
        <w:ind w:left="360" w:hanging="173"/>
      </w:pPr>
      <w:r>
        <w:rPr>
          <w:rFonts w:ascii="Aptos" w:hAnsi="Aptos"/>
          <w:color w:val="344054"/>
          <w:sz w:val="18"/>
        </w:rPr>
        <w:t>Transparent signal components rather than a hidden “AI risk score”.</w:t>
      </w:r>
    </w:p>
    <w:p>
      <w:pPr>
        <w:pStyle w:val="Heading1"/>
        <w:keepNext/>
        <w:spacing w:before="200" w:after="80"/>
      </w:pPr>
      <w:r>
        <w:t>5. Data-source strategy and first geography</w:t>
      </w:r>
    </w:p>
    <w:p>
      <w:pPr>
        <w:pStyle w:val="Heading2"/>
        <w:keepNext/>
        <w:spacing w:before="140" w:after="80"/>
      </w:pPr>
      <w:r>
        <w:t>5.1 Source classification policy</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587"/>
            <w:shd w:fill="17324D"/>
            <w:tcMar>
              <w:top w:w="80" w:type="dxa"/>
              <w:start w:w="70" w:type="dxa"/>
              <w:bottom w:w="80" w:type="dxa"/>
              <w:end w:w="70" w:type="dxa"/>
            </w:tcMar>
            <w:vAlign w:val="center"/>
          </w:tcPr>
          <w:p>
            <w:pPr>
              <w:spacing w:after="0"/>
              <w:jc w:val="left"/>
            </w:pPr>
            <w:r/>
            <w:r>
              <w:rPr>
                <w:rFonts w:ascii="Aptos" w:hAnsi="Aptos"/>
                <w:b/>
                <w:color w:val="FFFFFF"/>
                <w:sz w:val="15"/>
              </w:rPr>
              <w:t>Class</w:t>
            </w:r>
          </w:p>
        </w:tc>
        <w:tc>
          <w:tcPr>
            <w:tcW w:type="dxa" w:w="3061"/>
            <w:shd w:fill="17324D"/>
            <w:tcMar>
              <w:top w:w="80" w:type="dxa"/>
              <w:start w:w="70" w:type="dxa"/>
              <w:bottom w:w="80" w:type="dxa"/>
              <w:end w:w="70" w:type="dxa"/>
            </w:tcMar>
            <w:vAlign w:val="center"/>
          </w:tcPr>
          <w:p>
            <w:pPr>
              <w:spacing w:after="0"/>
              <w:jc w:val="left"/>
            </w:pPr>
            <w:r/>
            <w:r>
              <w:rPr>
                <w:rFonts w:ascii="Aptos" w:hAnsi="Aptos"/>
                <w:b/>
                <w:color w:val="FFFFFF"/>
                <w:sz w:val="15"/>
              </w:rPr>
              <w:t>Example</w:t>
            </w:r>
          </w:p>
        </w:tc>
        <w:tc>
          <w:tcPr>
            <w:tcW w:type="dxa" w:w="3855"/>
            <w:shd w:fill="17324D"/>
            <w:tcMar>
              <w:top w:w="80" w:type="dxa"/>
              <w:start w:w="70" w:type="dxa"/>
              <w:bottom w:w="80" w:type="dxa"/>
              <w:end w:w="70" w:type="dxa"/>
            </w:tcMar>
            <w:vAlign w:val="center"/>
          </w:tcPr>
          <w:p>
            <w:pPr>
              <w:spacing w:after="0"/>
              <w:jc w:val="left"/>
            </w:pPr>
            <w:r/>
            <w:r>
              <w:rPr>
                <w:rFonts w:ascii="Aptos" w:hAnsi="Aptos"/>
                <w:b/>
                <w:color w:val="FFFFFF"/>
                <w:sz w:val="15"/>
              </w:rPr>
              <w:t>Rule</w:t>
            </w:r>
          </w:p>
        </w:tc>
        <w:tc>
          <w:tcPr>
            <w:tcW w:type="dxa" w:w="907"/>
            <w:shd w:fill="17324D"/>
            <w:tcMar>
              <w:top w:w="80" w:type="dxa"/>
              <w:start w:w="70" w:type="dxa"/>
              <w:bottom w:w="80" w:type="dxa"/>
              <w:end w:w="70" w:type="dxa"/>
            </w:tcMar>
            <w:vAlign w:val="center"/>
          </w:tcPr>
          <w:p>
            <w:pPr>
              <w:spacing w:after="0"/>
              <w:jc w:val="left"/>
            </w:pPr>
            <w:r/>
            <w:r>
              <w:rPr>
                <w:rFonts w:ascii="Aptos" w:hAnsi="Aptos"/>
                <w:b/>
                <w:color w:val="FFFFFF"/>
                <w:sz w:val="15"/>
              </w:rPr>
              <w:t>MVP</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5"/>
              </w:rPr>
              <w:t>Public official</w:t>
            </w:r>
          </w:p>
        </w:tc>
        <w:tc>
          <w:tcPr>
            <w:tcW w:type="dxa" w:w="3061"/>
            <w:tcMar>
              <w:top w:w="65" w:type="dxa"/>
              <w:start w:w="65" w:type="dxa"/>
              <w:bottom w:w="65" w:type="dxa"/>
              <w:end w:w="65" w:type="dxa"/>
            </w:tcMar>
            <w:vAlign w:val="top"/>
          </w:tcPr>
          <w:p>
            <w:pPr>
              <w:spacing w:after="0" w:line="240" w:lineRule="auto"/>
            </w:pPr>
            <w:r/>
            <w:r>
              <w:rPr>
                <w:rFonts w:ascii="Aptos" w:hAnsi="Aptos"/>
                <w:color w:val="344054"/>
                <w:sz w:val="15"/>
              </w:rPr>
              <w:t>RERA project/order/public-notice page accessible without login/CAPTCHA and automation not prohibited.</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Use after terms/robots/legal review; conservative rate limits; store provenance and limited evidence.</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5"/>
              </w:rPr>
              <w:t>Yes</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5"/>
              </w:rPr>
              <w:t>Public developer</w:t>
            </w:r>
          </w:p>
        </w:tc>
        <w:tc>
          <w:tcPr>
            <w:tcW w:type="dxa" w:w="3061"/>
            <w:shd w:fill="F8FAFC"/>
            <w:tcMar>
              <w:top w:w="65" w:type="dxa"/>
              <w:start w:w="65" w:type="dxa"/>
              <w:bottom w:w="65" w:type="dxa"/>
              <w:end w:w="65" w:type="dxa"/>
            </w:tcMar>
            <w:vAlign w:val="top"/>
          </w:tcPr>
          <w:p>
            <w:pPr>
              <w:spacing w:after="0" w:line="240" w:lineRule="auto"/>
            </w:pPr>
            <w:r/>
            <w:r>
              <w:rPr>
                <w:rFonts w:ascii="Aptos" w:hAnsi="Aptos"/>
                <w:color w:val="344054"/>
                <w:sz w:val="15"/>
              </w:rPr>
              <w:t>Official project page, public brochure, construction update or press release.</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Conditional: source-specific policy, low rate, facts only; marketing claims labelled as claims.</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5"/>
              </w:rPr>
              <w:t>Selective</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5"/>
              </w:rPr>
              <w:t>User-authorised</w:t>
            </w:r>
          </w:p>
        </w:tc>
        <w:tc>
          <w:tcPr>
            <w:tcW w:type="dxa" w:w="3061"/>
            <w:tcMar>
              <w:top w:w="65" w:type="dxa"/>
              <w:start w:w="65" w:type="dxa"/>
              <w:bottom w:w="65" w:type="dxa"/>
              <w:end w:w="65" w:type="dxa"/>
            </w:tcMar>
            <w:vAlign w:val="top"/>
          </w:tcPr>
          <w:p>
            <w:pPr>
              <w:spacing w:after="0" w:line="240" w:lineRule="auto"/>
            </w:pPr>
            <w:r/>
            <w:r>
              <w:rPr>
                <w:rFonts w:ascii="Aptos" w:hAnsi="Aptos"/>
                <w:color w:val="344054"/>
                <w:sz w:val="15"/>
              </w:rPr>
              <w:t>Uploaded brochure/PDF/image/CSV or URL the user has rights to process.</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Require rights/authorisation attestation; tenant isolation; deletion/export.</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5"/>
              </w:rPr>
              <w:t>Yes</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5"/>
              </w:rPr>
              <w:t>Licensed</w:t>
            </w:r>
          </w:p>
        </w:tc>
        <w:tc>
          <w:tcPr>
            <w:tcW w:type="dxa" w:w="3061"/>
            <w:shd w:fill="F8FAFC"/>
            <w:tcMar>
              <w:top w:w="65" w:type="dxa"/>
              <w:start w:w="65" w:type="dxa"/>
              <w:bottom w:w="65" w:type="dxa"/>
              <w:end w:w="65" w:type="dxa"/>
            </w:tcMar>
            <w:vAlign w:val="top"/>
          </w:tcPr>
          <w:p>
            <w:pPr>
              <w:spacing w:after="0" w:line="240" w:lineRule="auto"/>
            </w:pPr>
            <w:r/>
            <w:r>
              <w:rPr>
                <w:rFonts w:ascii="Aptos" w:hAnsi="Aptos"/>
                <w:color w:val="344054"/>
                <w:sz w:val="15"/>
              </w:rPr>
              <w:t>Paid market/transaction database or API.</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Only under explicit licence and entitlement controls.</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5"/>
              </w:rPr>
              <w:t>No; future</w:t>
            </w:r>
          </w:p>
        </w:tc>
      </w:tr>
      <w:tr>
        <w:trPr>
          <w:cantSplit/>
        </w:trPr>
        <w:tc>
          <w:tcPr>
            <w:tcW w:type="dxa" w:w="1587"/>
            <w:tcMar>
              <w:top w:w="65" w:type="dxa"/>
              <w:start w:w="65" w:type="dxa"/>
              <w:bottom w:w="65" w:type="dxa"/>
              <w:end w:w="65" w:type="dxa"/>
            </w:tcMar>
            <w:vAlign w:val="top"/>
          </w:tcPr>
          <w:p>
            <w:pPr>
              <w:spacing w:after="0" w:line="240" w:lineRule="auto"/>
            </w:pPr>
            <w:r/>
            <w:r>
              <w:rPr>
                <w:rFonts w:ascii="Aptos" w:hAnsi="Aptos"/>
                <w:color w:val="344054"/>
                <w:sz w:val="15"/>
              </w:rPr>
              <w:t>Login/CAPTCHA/restricted</w:t>
            </w:r>
          </w:p>
        </w:tc>
        <w:tc>
          <w:tcPr>
            <w:tcW w:type="dxa" w:w="3061"/>
            <w:tcMar>
              <w:top w:w="65" w:type="dxa"/>
              <w:start w:w="65" w:type="dxa"/>
              <w:bottom w:w="65" w:type="dxa"/>
              <w:end w:w="65" w:type="dxa"/>
            </w:tcMar>
            <w:vAlign w:val="top"/>
          </w:tcPr>
          <w:p>
            <w:pPr>
              <w:spacing w:after="0" w:line="240" w:lineRule="auto"/>
            </w:pPr>
            <w:r/>
            <w:r>
              <w:rPr>
                <w:rFonts w:ascii="Aptos" w:hAnsi="Aptos"/>
                <w:color w:val="344054"/>
                <w:sz w:val="15"/>
              </w:rPr>
              <w:t>Portal requires authentication, CAPTCHA, anti-bot bypass or explicitly forbids automation.</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Do not bypass. Permit manual user capture or omit source.</w:t>
            </w:r>
          </w:p>
        </w:tc>
        <w:tc>
          <w:tcPr>
            <w:tcW w:type="dxa" w:w="907"/>
            <w:tcMar>
              <w:top w:w="65" w:type="dxa"/>
              <w:start w:w="65" w:type="dxa"/>
              <w:bottom w:w="65" w:type="dxa"/>
              <w:end w:w="65" w:type="dxa"/>
            </w:tcMar>
            <w:vAlign w:val="top"/>
          </w:tcPr>
          <w:p>
            <w:pPr>
              <w:spacing w:after="0" w:line="240" w:lineRule="auto"/>
            </w:pPr>
            <w:r/>
            <w:r>
              <w:rPr>
                <w:rFonts w:ascii="Aptos" w:hAnsi="Aptos"/>
                <w:color w:val="344054"/>
                <w:sz w:val="15"/>
              </w:rPr>
              <w:t>No automated MVP</w:t>
            </w:r>
          </w:p>
        </w:tc>
      </w:tr>
      <w:tr>
        <w:trPr>
          <w:cantSplit/>
        </w:trPr>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5"/>
              </w:rPr>
              <w:t>Third-party copied dataset</w:t>
            </w:r>
          </w:p>
        </w:tc>
        <w:tc>
          <w:tcPr>
            <w:tcW w:type="dxa" w:w="3061"/>
            <w:shd w:fill="F8FAFC"/>
            <w:tcMar>
              <w:top w:w="65" w:type="dxa"/>
              <w:start w:w="65" w:type="dxa"/>
              <w:bottom w:w="65" w:type="dxa"/>
              <w:end w:w="65" w:type="dxa"/>
            </w:tcMar>
            <w:vAlign w:val="top"/>
          </w:tcPr>
          <w:p>
            <w:pPr>
              <w:spacing w:after="0" w:line="240" w:lineRule="auto"/>
            </w:pPr>
            <w:r/>
            <w:r>
              <w:rPr>
                <w:rFonts w:ascii="Aptos" w:hAnsi="Aptos"/>
                <w:color w:val="344054"/>
                <w:sz w:val="15"/>
              </w:rPr>
              <w:t>Unofficial aggregation with uncertain provenance/licence.</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Do not treat as official evidence; only discovery lead if permitted.</w:t>
            </w:r>
          </w:p>
        </w:tc>
        <w:tc>
          <w:tcPr>
            <w:tcW w:type="dxa" w:w="907"/>
            <w:shd w:fill="F8FAFC"/>
            <w:tcMar>
              <w:top w:w="65" w:type="dxa"/>
              <w:start w:w="65" w:type="dxa"/>
              <w:bottom w:w="65" w:type="dxa"/>
              <w:end w:w="65" w:type="dxa"/>
            </w:tcMar>
            <w:vAlign w:val="top"/>
          </w:tcPr>
          <w:p>
            <w:pPr>
              <w:spacing w:after="0" w:line="240" w:lineRule="auto"/>
            </w:pPr>
            <w:r/>
            <w:r>
              <w:rPr>
                <w:rFonts w:ascii="Aptos" w:hAnsi="Aptos"/>
                <w:color w:val="344054"/>
                <w:sz w:val="15"/>
              </w:rPr>
              <w:t>Reject as evidence</w:t>
            </w:r>
          </w:p>
        </w:tc>
      </w:tr>
    </w:tbl>
    <w:p>
      <w:pPr>
        <w:spacing w:after="0"/>
      </w:pPr>
    </w:p>
    <w:p>
      <w:pPr>
        <w:pStyle w:val="Heading2"/>
        <w:keepNext/>
        <w:spacing w:before="140" w:after="80"/>
      </w:pPr>
      <w:r>
        <w:t>5.2 State comparison</w:t>
      </w:r>
    </w:p>
    <w:tbl>
      <w:tblPr>
        <w:tblStyle w:val="TableGrid"/>
        <w:tblW w:type="auto" w:w="0"/>
        <w:jc w:val="center"/>
        <w:tblLayout w:type="fixed"/>
        <w:tblLook w:firstColumn="1" w:firstRow="1" w:lastColumn="0" w:lastRow="0" w:noHBand="0" w:noVBand="1" w:val="04A0"/>
      </w:tblPr>
      <w:tblGrid>
        <w:gridCol w:w="1109"/>
        <w:gridCol w:w="1109"/>
        <w:gridCol w:w="1109"/>
        <w:gridCol w:w="1109"/>
        <w:gridCol w:w="1109"/>
        <w:gridCol w:w="1109"/>
        <w:gridCol w:w="1109"/>
        <w:gridCol w:w="1109"/>
        <w:gridCol w:w="1109"/>
      </w:tblGrid>
      <w:tr>
        <w:trPr>
          <w:tblHeader w:val="true"/>
          <w:cantSplit/>
        </w:trPr>
        <w:tc>
          <w:tcPr>
            <w:tcW w:type="dxa" w:w="1984"/>
            <w:shd w:fill="17324D"/>
            <w:tcMar>
              <w:top w:w="80" w:type="dxa"/>
              <w:start w:w="70" w:type="dxa"/>
              <w:bottom w:w="80" w:type="dxa"/>
              <w:end w:w="70" w:type="dxa"/>
            </w:tcMar>
            <w:vAlign w:val="center"/>
          </w:tcPr>
          <w:p>
            <w:pPr>
              <w:spacing w:after="0"/>
              <w:jc w:val="left"/>
            </w:pPr>
            <w:r/>
            <w:r>
              <w:rPr>
                <w:rFonts w:ascii="Aptos" w:hAnsi="Aptos"/>
                <w:b/>
                <w:color w:val="FFFFFF"/>
                <w:sz w:val="13"/>
              </w:rPr>
              <w:t>Geography</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Access</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Activity</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Data</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Parse</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History</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Local access</w:t>
            </w:r>
          </w:p>
        </w:tc>
        <w:tc>
          <w:tcPr>
            <w:tcW w:type="dxa" w:w="595"/>
            <w:shd w:fill="17324D"/>
            <w:tcMar>
              <w:top w:w="80" w:type="dxa"/>
              <w:start w:w="70" w:type="dxa"/>
              <w:bottom w:w="80" w:type="dxa"/>
              <w:end w:w="70" w:type="dxa"/>
            </w:tcMar>
            <w:vAlign w:val="center"/>
          </w:tcPr>
          <w:p>
            <w:pPr>
              <w:spacing w:after="0"/>
              <w:jc w:val="left"/>
            </w:pPr>
            <w:r/>
            <w:r>
              <w:rPr>
                <w:rFonts w:ascii="Aptos" w:hAnsi="Aptos"/>
                <w:b/>
                <w:color w:val="FFFFFF"/>
                <w:sz w:val="13"/>
              </w:rPr>
              <w:t>Demo</w:t>
            </w:r>
          </w:p>
        </w:tc>
        <w:tc>
          <w:tcPr>
            <w:tcW w:type="dxa" w:w="3855"/>
            <w:shd w:fill="17324D"/>
            <w:tcMar>
              <w:top w:w="80" w:type="dxa"/>
              <w:start w:w="70" w:type="dxa"/>
              <w:bottom w:w="80" w:type="dxa"/>
              <w:end w:w="70" w:type="dxa"/>
            </w:tcMar>
            <w:vAlign w:val="center"/>
          </w:tcPr>
          <w:p>
            <w:pPr>
              <w:spacing w:after="0"/>
              <w:jc w:val="left"/>
            </w:pPr>
            <w:r/>
            <w:r>
              <w:rPr>
                <w:rFonts w:ascii="Aptos" w:hAnsi="Aptos"/>
                <w:b/>
                <w:color w:val="FFFFFF"/>
                <w:sz w:val="13"/>
              </w:rPr>
              <w:t>Conclusion</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Madhya Pradesh — Indore/Bhopal</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3"/>
              </w:rPr>
              <w:t>Local customer access is excellent, but official portal discoverability and technical stability could not be verified strongly enough. Start interviews here, not automated coverage. [S17]</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Maharashtra — Pune/MMR</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3"/>
              </w:rPr>
              <w:t>Rich QPR field guidance, large market and strong need; dynamic portal and higher scale increase collector/maintenance burden. Best expansion. [S10] [S11] [S41]</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Karnataka — Bengaluru</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3"/>
              </w:rPr>
              <w:t>Active QPR enforcement and relevant market; portal adaptation still needs a source spike. [S12] [S43]</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Haryana — Gurugram</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3"/>
              </w:rPr>
              <w:t>Public list exposes lapsed/QPR-not-uploaded/completion fields and monitoring/corrigendum links. Highest solo-MVP evidence value. [S08] [S09] [S42]</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3"/>
              </w:rPr>
              <w:t>Uttar Pradesh — Noida</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3"/>
              </w:rPr>
              <w:t>Large market and useful records, but search/verification CAPTCHAs create an unacceptable automated-MVP barrier. [S15] [S16]</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3"/>
              </w:rPr>
              <w:t>Telangana — Hyderabad</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5</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3</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2</w:t>
            </w:r>
          </w:p>
        </w:tc>
        <w:tc>
          <w:tcPr>
            <w:tcW w:type="dxa" w:w="595"/>
            <w:shd w:fill="F8FAFC"/>
            <w:tcMar>
              <w:top w:w="65" w:type="dxa"/>
              <w:start w:w="65" w:type="dxa"/>
              <w:bottom w:w="65" w:type="dxa"/>
              <w:end w:w="65" w:type="dxa"/>
            </w:tcMar>
            <w:vAlign w:val="top"/>
          </w:tcPr>
          <w:p>
            <w:pPr>
              <w:spacing w:after="0" w:line="240" w:lineRule="auto"/>
            </w:pPr>
            <w:r/>
            <w:r>
              <w:rPr>
                <w:rFonts w:ascii="Aptos" w:hAnsi="Aptos"/>
                <w:color w:val="344054"/>
                <w:sz w:val="13"/>
              </w:rPr>
              <w:t>4</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3"/>
              </w:rPr>
              <w:t>Clear quarterly/annual update surfaces and strong market; collector feasibility must be spiked. [S13] [S14]</w:t>
            </w:r>
          </w:p>
        </w:tc>
      </w:tr>
    </w:tbl>
    <w:p>
      <w:pPr>
        <w:spacing w:after="0"/>
      </w:pP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Pilot choice</w:t>
            </w:r>
          </w:p>
          <w:p>
            <w:pPr>
              <w:spacing w:after="0" w:line="252" w:lineRule="auto"/>
            </w:pPr>
            <w:r>
              <w:rPr>
                <w:rFonts w:ascii="Aptos" w:hAnsi="Aptos"/>
                <w:color w:val="344054"/>
                <w:sz w:val="18"/>
              </w:rPr>
              <w:t>Haryana → Gurugram. Track 30–40 under-construction residential group-housing and mixed-use projects across selected sectors and 8–12 developers. Include active, QPR-missing, extended/lapsed and multi-phase examples. Maharashtra/Pune is the first expansion only after a two-day collector feasibility spike.</w:t>
            </w:r>
          </w:p>
        </w:tc>
      </w:tr>
    </w:tbl>
    <w:p>
      <w:pPr>
        <w:spacing w:after="0"/>
      </w:pPr>
    </w:p>
    <w:p>
      <w:pPr>
        <w:pStyle w:val="Heading2"/>
        <w:keepNext/>
        <w:spacing w:before="140" w:after="80"/>
      </w:pPr>
      <w:r>
        <w:t>5.3 MVP source set</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680"/>
            <w:shd w:fill="17324D"/>
            <w:tcMar>
              <w:top w:w="80" w:type="dxa"/>
              <w:start w:w="70" w:type="dxa"/>
              <w:bottom w:w="80" w:type="dxa"/>
              <w:end w:w="70" w:type="dxa"/>
            </w:tcMar>
            <w:vAlign w:val="center"/>
          </w:tcPr>
          <w:p>
            <w:pPr>
              <w:spacing w:after="0"/>
              <w:jc w:val="left"/>
            </w:pPr>
            <w:r/>
            <w:r>
              <w:rPr>
                <w:rFonts w:ascii="Aptos" w:hAnsi="Aptos"/>
                <w:b/>
                <w:color w:val="FFFFFF"/>
                <w:sz w:val="14"/>
              </w:rPr>
              <w:t>Priority</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4"/>
              </w:rPr>
              <w:t>Source</w:t>
            </w:r>
          </w:p>
        </w:tc>
        <w:tc>
          <w:tcPr>
            <w:tcW w:type="dxa" w:w="2891"/>
            <w:shd w:fill="17324D"/>
            <w:tcMar>
              <w:top w:w="80" w:type="dxa"/>
              <w:start w:w="70" w:type="dxa"/>
              <w:bottom w:w="80" w:type="dxa"/>
              <w:end w:w="70" w:type="dxa"/>
            </w:tcMar>
            <w:vAlign w:val="center"/>
          </w:tcPr>
          <w:p>
            <w:pPr>
              <w:spacing w:after="0"/>
              <w:jc w:val="left"/>
            </w:pPr>
            <w:r/>
            <w:r>
              <w:rPr>
                <w:rFonts w:ascii="Aptos" w:hAnsi="Aptos"/>
                <w:b/>
                <w:color w:val="FFFFFF"/>
                <w:sz w:val="14"/>
              </w:rPr>
              <w:t>Captured facts</w:t>
            </w:r>
          </w:p>
        </w:tc>
        <w:tc>
          <w:tcPr>
            <w:tcW w:type="dxa" w:w="1247"/>
            <w:shd w:fill="17324D"/>
            <w:tcMar>
              <w:top w:w="80" w:type="dxa"/>
              <w:start w:w="70" w:type="dxa"/>
              <w:bottom w:w="80" w:type="dxa"/>
              <w:end w:w="70" w:type="dxa"/>
            </w:tcMar>
            <w:vAlign w:val="center"/>
          </w:tcPr>
          <w:p>
            <w:pPr>
              <w:spacing w:after="0"/>
              <w:jc w:val="left"/>
            </w:pPr>
            <w:r/>
            <w:r>
              <w:rPr>
                <w:rFonts w:ascii="Aptos" w:hAnsi="Aptos"/>
                <w:b/>
                <w:color w:val="FFFFFF"/>
                <w:sz w:val="14"/>
              </w:rPr>
              <w:t>Frequency</w:t>
            </w:r>
          </w:p>
        </w:tc>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4"/>
              </w:rPr>
              <w:t>Evidence value</w:t>
            </w:r>
          </w:p>
        </w:tc>
        <w:tc>
          <w:tcPr>
            <w:tcW w:type="dxa" w:w="2324"/>
            <w:shd w:fill="17324D"/>
            <w:tcMar>
              <w:top w:w="80" w:type="dxa"/>
              <w:start w:w="70" w:type="dxa"/>
              <w:bottom w:w="80" w:type="dxa"/>
              <w:end w:w="70" w:type="dxa"/>
            </w:tcMar>
            <w:vAlign w:val="center"/>
          </w:tcPr>
          <w:p>
            <w:pPr>
              <w:spacing w:after="0"/>
              <w:jc w:val="left"/>
            </w:pPr>
            <w:r/>
            <w:r>
              <w:rPr>
                <w:rFonts w:ascii="Aptos" w:hAnsi="Aptos"/>
                <w:b/>
                <w:color w:val="FFFFFF"/>
                <w:sz w:val="14"/>
              </w:rPr>
              <w:t>Boundary</w:t>
            </w:r>
          </w:p>
        </w:tc>
      </w:tr>
      <w:tr>
        <w:trPr>
          <w:cantSplit/>
        </w:trPr>
        <w:tc>
          <w:tcPr>
            <w:tcW w:type="dxa" w:w="680"/>
            <w:tcMar>
              <w:top w:w="65" w:type="dxa"/>
              <w:start w:w="65" w:type="dxa"/>
              <w:bottom w:w="65" w:type="dxa"/>
              <w:end w:w="65" w:type="dxa"/>
            </w:tcMar>
            <w:vAlign w:val="top"/>
          </w:tcPr>
          <w:p>
            <w:pPr>
              <w:spacing w:after="0" w:line="240" w:lineRule="auto"/>
            </w:pPr>
            <w:r/>
            <w:r>
              <w:rPr>
                <w:rFonts w:ascii="Aptos" w:hAnsi="Aptos"/>
                <w:color w:val="344054"/>
                <w:sz w:val="14"/>
              </w:rPr>
              <w:t>P0</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HRERA Gurugram registered-project list/project detail</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4"/>
              </w:rPr>
              <w:t>Registration ID, project/promoter, location, proposed completion, status/lapsed, QPR flag, corrigendum/monitoring links.</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4"/>
              </w:rPr>
              <w:t>Daily or weekly</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4"/>
              </w:rPr>
              <w:t>Official, high</w:t>
            </w:r>
          </w:p>
        </w:tc>
        <w:tc>
          <w:tcPr>
            <w:tcW w:type="dxa" w:w="2324"/>
            <w:tcMar>
              <w:top w:w="65" w:type="dxa"/>
              <w:start w:w="65" w:type="dxa"/>
              <w:bottom w:w="65" w:type="dxa"/>
              <w:end w:w="65" w:type="dxa"/>
            </w:tcMar>
            <w:vAlign w:val="top"/>
          </w:tcPr>
          <w:p>
            <w:pPr>
              <w:spacing w:after="0" w:line="240" w:lineRule="auto"/>
            </w:pPr>
            <w:r/>
            <w:r>
              <w:rPr>
                <w:rFonts w:ascii="Aptos" w:hAnsi="Aptos"/>
                <w:color w:val="344054"/>
                <w:sz w:val="14"/>
              </w:rPr>
              <w:t>Only accessible public pages; no CAPTCHA bypass. [S08] [S09]</w:t>
            </w:r>
          </w:p>
        </w:tc>
      </w:tr>
      <w:tr>
        <w:trPr>
          <w:cantSplit/>
        </w:trPr>
        <w:tc>
          <w:tcPr>
            <w:tcW w:type="dxa" w:w="680"/>
            <w:shd w:fill="F8FAFC"/>
            <w:tcMar>
              <w:top w:w="65" w:type="dxa"/>
              <w:start w:w="65" w:type="dxa"/>
              <w:bottom w:w="65" w:type="dxa"/>
              <w:end w:w="65" w:type="dxa"/>
            </w:tcMar>
            <w:vAlign w:val="top"/>
          </w:tcPr>
          <w:p>
            <w:pPr>
              <w:spacing w:after="0" w:line="240" w:lineRule="auto"/>
            </w:pPr>
            <w:r/>
            <w:r>
              <w:rPr>
                <w:rFonts w:ascii="Aptos" w:hAnsi="Aptos"/>
                <w:color w:val="344054"/>
                <w:sz w:val="14"/>
              </w:rPr>
              <w:t>P0</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User-uploaded brochure/PDF</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4"/>
              </w:rPr>
              <w:t>Claims about date, towers, units, area, phase, approvals and amenities.</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4"/>
              </w:rPr>
              <w:t>On upload/version</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4"/>
              </w:rPr>
              <w:t>Authorised, variable</w:t>
            </w:r>
          </w:p>
        </w:tc>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4"/>
              </w:rPr>
              <w:t>Claims are not facts until matched to an official field.</w:t>
            </w:r>
          </w:p>
        </w:tc>
      </w:tr>
      <w:tr>
        <w:trPr>
          <w:cantSplit/>
        </w:trPr>
        <w:tc>
          <w:tcPr>
            <w:tcW w:type="dxa" w:w="680"/>
            <w:tcMar>
              <w:top w:w="65" w:type="dxa"/>
              <w:start w:w="65" w:type="dxa"/>
              <w:bottom w:w="65" w:type="dxa"/>
              <w:end w:w="65" w:type="dxa"/>
            </w:tcMar>
            <w:vAlign w:val="top"/>
          </w:tcPr>
          <w:p>
            <w:pPr>
              <w:spacing w:after="0" w:line="240" w:lineRule="auto"/>
            </w:pPr>
            <w:r/>
            <w:r>
              <w:rPr>
                <w:rFonts w:ascii="Aptos" w:hAnsi="Aptos"/>
                <w:color w:val="344054"/>
                <w:sz w:val="14"/>
              </w:rPr>
              <w:t>P1</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Official developer project page</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4"/>
              </w:rPr>
              <w:t>Marketing status, construction update, brochure link, notices.</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4"/>
              </w:rPr>
              <w:t>Weekly</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4"/>
              </w:rPr>
              <w:t>Primary marketing source</w:t>
            </w:r>
          </w:p>
        </w:tc>
        <w:tc>
          <w:tcPr>
            <w:tcW w:type="dxa" w:w="2324"/>
            <w:tcMar>
              <w:top w:w="65" w:type="dxa"/>
              <w:start w:w="65" w:type="dxa"/>
              <w:bottom w:w="65" w:type="dxa"/>
              <w:end w:w="65" w:type="dxa"/>
            </w:tcMar>
            <w:vAlign w:val="top"/>
          </w:tcPr>
          <w:p>
            <w:pPr>
              <w:spacing w:after="0" w:line="240" w:lineRule="auto"/>
            </w:pPr>
            <w:r/>
            <w:r>
              <w:rPr>
                <w:rFonts w:ascii="Aptos" w:hAnsi="Aptos"/>
                <w:color w:val="344054"/>
                <w:sz w:val="14"/>
              </w:rPr>
              <w:t>Conditional on terms/robots; limited snippets.</w:t>
            </w:r>
          </w:p>
        </w:tc>
      </w:tr>
      <w:tr>
        <w:trPr>
          <w:cantSplit/>
        </w:trPr>
        <w:tc>
          <w:tcPr>
            <w:tcW w:type="dxa" w:w="680"/>
            <w:shd w:fill="F8FAFC"/>
            <w:tcMar>
              <w:top w:w="65" w:type="dxa"/>
              <w:start w:w="65" w:type="dxa"/>
              <w:bottom w:w="65" w:type="dxa"/>
              <w:end w:w="65" w:type="dxa"/>
            </w:tcMar>
            <w:vAlign w:val="top"/>
          </w:tcPr>
          <w:p>
            <w:pPr>
              <w:spacing w:after="0" w:line="240" w:lineRule="auto"/>
            </w:pPr>
            <w:r/>
            <w:r>
              <w:rPr>
                <w:rFonts w:ascii="Aptos" w:hAnsi="Aptos"/>
                <w:color w:val="344054"/>
                <w:sz w:val="14"/>
              </w:rPr>
              <w:t>P1</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Public HRERA notices/orders explicitly tied to tracked project</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4"/>
              </w:rPr>
              <w:t>Order/notice identity, date, reference and limited summary.</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4"/>
              </w:rPr>
              <w:t>Daily/weekly</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4"/>
              </w:rPr>
              <w:t>Official, high</w:t>
            </w:r>
          </w:p>
        </w:tc>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4"/>
              </w:rPr>
              <w:t>High-impact legal wording requires human review.</w:t>
            </w:r>
          </w:p>
        </w:tc>
      </w:tr>
      <w:tr>
        <w:trPr>
          <w:cantSplit/>
        </w:trPr>
        <w:tc>
          <w:tcPr>
            <w:tcW w:type="dxa" w:w="680"/>
            <w:tcMar>
              <w:top w:w="65" w:type="dxa"/>
              <w:start w:w="65" w:type="dxa"/>
              <w:bottom w:w="65" w:type="dxa"/>
              <w:end w:w="65" w:type="dxa"/>
            </w:tcMar>
            <w:vAlign w:val="top"/>
          </w:tcPr>
          <w:p>
            <w:pPr>
              <w:spacing w:after="0" w:line="240" w:lineRule="auto"/>
            </w:pPr>
            <w:r/>
            <w:r>
              <w:rPr>
                <w:rFonts w:ascii="Aptos" w:hAnsi="Aptos"/>
                <w:color w:val="344054"/>
                <w:sz w:val="14"/>
              </w:rPr>
              <w:t>P2</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4"/>
              </w:rPr>
              <w:t>Public news/infrastructure notice</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4"/>
              </w:rPr>
              <w:t>Context only.</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4"/>
              </w:rPr>
              <w:t>Weekly</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4"/>
              </w:rPr>
              <w:t>Secondary</w:t>
            </w:r>
          </w:p>
        </w:tc>
        <w:tc>
          <w:tcPr>
            <w:tcW w:type="dxa" w:w="2324"/>
            <w:tcMar>
              <w:top w:w="65" w:type="dxa"/>
              <w:start w:w="65" w:type="dxa"/>
              <w:bottom w:w="65" w:type="dxa"/>
              <w:end w:w="65" w:type="dxa"/>
            </w:tcMar>
            <w:vAlign w:val="top"/>
          </w:tcPr>
          <w:p>
            <w:pPr>
              <w:spacing w:after="0" w:line="240" w:lineRule="auto"/>
            </w:pPr>
            <w:r/>
            <w:r>
              <w:rPr>
                <w:rFonts w:ascii="Aptos" w:hAnsi="Aptos"/>
                <w:color w:val="344054"/>
                <w:sz w:val="14"/>
              </w:rPr>
              <w:t>Never overrides official project fields.</w:t>
            </w:r>
          </w:p>
        </w:tc>
      </w:tr>
      <w:tr>
        <w:trPr>
          <w:cantSplit/>
        </w:trPr>
        <w:tc>
          <w:tcPr>
            <w:tcW w:type="dxa" w:w="680"/>
            <w:shd w:fill="F8FAFC"/>
            <w:tcMar>
              <w:top w:w="65" w:type="dxa"/>
              <w:start w:w="65" w:type="dxa"/>
              <w:bottom w:w="65" w:type="dxa"/>
              <w:end w:w="65" w:type="dxa"/>
            </w:tcMar>
            <w:vAlign w:val="top"/>
          </w:tcPr>
          <w:p>
            <w:pPr>
              <w:spacing w:after="0" w:line="240" w:lineRule="auto"/>
            </w:pPr>
            <w:r/>
            <w:r>
              <w:rPr>
                <w:rFonts w:ascii="Aptos" w:hAnsi="Aptos"/>
                <w:color w:val="344054"/>
                <w:sz w:val="14"/>
              </w:rPr>
              <w:t>Future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4"/>
              </w:rPr>
              <w:t>Licensed market/transaction data</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4"/>
              </w:rPr>
              <w:t>Price, transactions, absorption, comparable supply.</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4"/>
              </w:rPr>
              <w:t>Contract-specific</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4"/>
              </w:rPr>
              <w:t>Licensed</w:t>
            </w:r>
          </w:p>
        </w:tc>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4"/>
              </w:rPr>
              <w:t>Not required for MVP.</w:t>
            </w:r>
          </w:p>
        </w:tc>
      </w:tr>
    </w:tbl>
    <w:p>
      <w:pPr>
        <w:spacing w:after="0"/>
      </w:pPr>
    </w:p>
    <w:p>
      <w:pPr>
        <w:pStyle w:val="Heading1"/>
        <w:keepNext/>
        <w:spacing w:before="200" w:after="80"/>
      </w:pPr>
      <w:r>
        <w:t>6. Product positioning and complete workflows</w:t>
      </w:r>
    </w:p>
    <w:p>
      <w:pPr>
        <w:pStyle w:val="Heading2"/>
        <w:keepNext/>
        <w:spacing w:before="140" w:after="80"/>
      </w:pPr>
      <w:r>
        <w:t>6.1 Marketplace positioning</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098"/>
            <w:shd w:fill="17324D"/>
            <w:tcMar>
              <w:top w:w="80" w:type="dxa"/>
              <w:start w:w="70" w:type="dxa"/>
              <w:bottom w:w="80" w:type="dxa"/>
              <w:end w:w="70" w:type="dxa"/>
            </w:tcMar>
            <w:vAlign w:val="center"/>
          </w:tcPr>
          <w:p>
            <w:pPr>
              <w:spacing w:after="0"/>
              <w:jc w:val="left"/>
            </w:pPr>
            <w:r/>
            <w:r>
              <w:rPr>
                <w:rFonts w:ascii="Aptos" w:hAnsi="Aptos"/>
                <w:b/>
                <w:color w:val="FFFFFF"/>
                <w:sz w:val="16"/>
              </w:rPr>
              <w:t>Element</w:t>
            </w:r>
          </w:p>
        </w:tc>
        <w:tc>
          <w:tcPr>
            <w:tcW w:type="dxa" w:w="7257"/>
            <w:shd w:fill="17324D"/>
            <w:tcMar>
              <w:top w:w="80" w:type="dxa"/>
              <w:start w:w="70" w:type="dxa"/>
              <w:bottom w:w="80" w:type="dxa"/>
              <w:end w:w="70" w:type="dxa"/>
            </w:tcMar>
            <w:vAlign w:val="center"/>
          </w:tcPr>
          <w:p>
            <w:pPr>
              <w:spacing w:after="0"/>
              <w:jc w:val="left"/>
            </w:pPr>
            <w:r/>
            <w:r>
              <w:rPr>
                <w:rFonts w:ascii="Aptos" w:hAnsi="Aptos"/>
                <w:b/>
                <w:color w:val="FFFFFF"/>
                <w:sz w:val="16"/>
              </w:rPr>
              <w:t>Recommended copy</w:t>
            </w:r>
          </w:p>
        </w:tc>
      </w:tr>
      <w:tr>
        <w:trPr>
          <w:cantSplit/>
        </w:trPr>
        <w:tc>
          <w:tcPr>
            <w:tcW w:type="dxa" w:w="2098"/>
            <w:tcMar>
              <w:top w:w="65" w:type="dxa"/>
              <w:start w:w="65" w:type="dxa"/>
              <w:bottom w:w="65" w:type="dxa"/>
              <w:end w:w="65" w:type="dxa"/>
            </w:tcMar>
            <w:vAlign w:val="top"/>
          </w:tcPr>
          <w:p>
            <w:pPr>
              <w:spacing w:after="0" w:line="240" w:lineRule="auto"/>
            </w:pPr>
            <w:r/>
            <w:r>
              <w:rPr>
                <w:rFonts w:ascii="Aptos" w:hAnsi="Aptos"/>
                <w:color w:val="344054"/>
                <w:sz w:val="16"/>
              </w:rPr>
              <w:t>Product name</w:t>
            </w:r>
          </w:p>
        </w:tc>
        <w:tc>
          <w:tcPr>
            <w:tcW w:type="dxa" w:w="7257"/>
            <w:tcMar>
              <w:top w:w="65" w:type="dxa"/>
              <w:start w:w="65" w:type="dxa"/>
              <w:bottom w:w="65" w:type="dxa"/>
              <w:end w:w="65" w:type="dxa"/>
            </w:tcMar>
            <w:vAlign w:val="top"/>
          </w:tcPr>
          <w:p>
            <w:pPr>
              <w:spacing w:after="0" w:line="240" w:lineRule="auto"/>
            </w:pPr>
            <w:r/>
            <w:r>
              <w:rPr>
                <w:rFonts w:ascii="Aptos" w:hAnsi="Aptos"/>
                <w:color w:val="344054"/>
                <w:sz w:val="16"/>
              </w:rPr>
              <w:t>ProjectTruth Monitor</w:t>
            </w:r>
          </w:p>
        </w:tc>
      </w:tr>
      <w:tr>
        <w:trPr>
          <w:cantSplit/>
        </w:trPr>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6"/>
              </w:rPr>
              <w:t>Alternatives</w:t>
            </w:r>
          </w:p>
        </w:tc>
        <w:tc>
          <w:tcPr>
            <w:tcW w:type="dxa" w:w="7257"/>
            <w:shd w:fill="F8FAFC"/>
            <w:tcMar>
              <w:top w:w="65" w:type="dxa"/>
              <w:start w:w="65" w:type="dxa"/>
              <w:bottom w:w="65" w:type="dxa"/>
              <w:end w:w="65" w:type="dxa"/>
            </w:tcMar>
            <w:vAlign w:val="top"/>
          </w:tcPr>
          <w:p>
            <w:pPr>
              <w:spacing w:after="0" w:line="240" w:lineRule="auto"/>
            </w:pPr>
            <w:r/>
            <w:r>
              <w:rPr>
                <w:rFonts w:ascii="Aptos" w:hAnsi="Aptos"/>
                <w:color w:val="344054"/>
                <w:sz w:val="16"/>
              </w:rPr>
              <w:t>EstateSignal; RERA Change Ledger; RealtyProof Monitor; Project Ledger AI.</w:t>
            </w:r>
          </w:p>
        </w:tc>
      </w:tr>
      <w:tr>
        <w:trPr>
          <w:cantSplit/>
        </w:trPr>
        <w:tc>
          <w:tcPr>
            <w:tcW w:type="dxa" w:w="2098"/>
            <w:tcMar>
              <w:top w:w="65" w:type="dxa"/>
              <w:start w:w="65" w:type="dxa"/>
              <w:bottom w:w="65" w:type="dxa"/>
              <w:end w:w="65" w:type="dxa"/>
            </w:tcMar>
            <w:vAlign w:val="top"/>
          </w:tcPr>
          <w:p>
            <w:pPr>
              <w:spacing w:after="0" w:line="240" w:lineRule="auto"/>
            </w:pPr>
            <w:r/>
            <w:r>
              <w:rPr>
                <w:rFonts w:ascii="Aptos" w:hAnsi="Aptos"/>
                <w:color w:val="344054"/>
                <w:sz w:val="16"/>
              </w:rPr>
              <w:t>Tagline</w:t>
            </w:r>
          </w:p>
        </w:tc>
        <w:tc>
          <w:tcPr>
            <w:tcW w:type="dxa" w:w="7257"/>
            <w:tcMar>
              <w:top w:w="65" w:type="dxa"/>
              <w:start w:w="65" w:type="dxa"/>
              <w:bottom w:w="65" w:type="dxa"/>
              <w:end w:w="65" w:type="dxa"/>
            </w:tcMar>
            <w:vAlign w:val="top"/>
          </w:tcPr>
          <w:p>
            <w:pPr>
              <w:spacing w:after="0" w:line="240" w:lineRule="auto"/>
            </w:pPr>
            <w:r/>
            <w:r>
              <w:rPr>
                <w:rFonts w:ascii="Aptos" w:hAnsi="Aptos"/>
                <w:color w:val="344054"/>
                <w:sz w:val="16"/>
              </w:rPr>
              <w:t>Evidence-first project monitoring for Indian real estate.</w:t>
            </w:r>
          </w:p>
        </w:tc>
      </w:tr>
      <w:tr>
        <w:trPr>
          <w:cantSplit/>
        </w:trPr>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6"/>
              </w:rPr>
              <w:t>Marketplace headline</w:t>
            </w:r>
          </w:p>
        </w:tc>
        <w:tc>
          <w:tcPr>
            <w:tcW w:type="dxa" w:w="7257"/>
            <w:shd w:fill="F8FAFC"/>
            <w:tcMar>
              <w:top w:w="65" w:type="dxa"/>
              <w:start w:w="65" w:type="dxa"/>
              <w:bottom w:w="65" w:type="dxa"/>
              <w:end w:w="65" w:type="dxa"/>
            </w:tcMar>
            <w:vAlign w:val="top"/>
          </w:tcPr>
          <w:p>
            <w:pPr>
              <w:spacing w:after="0" w:line="240" w:lineRule="auto"/>
            </w:pPr>
            <w:r/>
            <w:r>
              <w:rPr>
                <w:rFonts w:ascii="Aptos" w:hAnsi="Aptos"/>
                <w:color w:val="344054"/>
                <w:sz w:val="16"/>
              </w:rPr>
              <w:t>Track what changed across RERA projects—and show the evidence.</w:t>
            </w:r>
          </w:p>
        </w:tc>
      </w:tr>
      <w:tr>
        <w:trPr>
          <w:cantSplit/>
        </w:trPr>
        <w:tc>
          <w:tcPr>
            <w:tcW w:type="dxa" w:w="2098"/>
            <w:tcMar>
              <w:top w:w="65" w:type="dxa"/>
              <w:start w:w="65" w:type="dxa"/>
              <w:bottom w:w="65" w:type="dxa"/>
              <w:end w:w="65" w:type="dxa"/>
            </w:tcMar>
            <w:vAlign w:val="top"/>
          </w:tcPr>
          <w:p>
            <w:pPr>
              <w:spacing w:after="0" w:line="240" w:lineRule="auto"/>
            </w:pPr>
            <w:r/>
            <w:r>
              <w:rPr>
                <w:rFonts w:ascii="Aptos" w:hAnsi="Aptos"/>
                <w:color w:val="344054"/>
                <w:sz w:val="16"/>
              </w:rPr>
              <w:t>Short description</w:t>
            </w:r>
          </w:p>
        </w:tc>
        <w:tc>
          <w:tcPr>
            <w:tcW w:type="dxa" w:w="7257"/>
            <w:tcMar>
              <w:top w:w="65" w:type="dxa"/>
              <w:start w:w="65" w:type="dxa"/>
              <w:bottom w:w="65" w:type="dxa"/>
              <w:end w:w="65" w:type="dxa"/>
            </w:tcMar>
            <w:vAlign w:val="top"/>
          </w:tcPr>
          <w:p>
            <w:pPr>
              <w:spacing w:after="0" w:line="240" w:lineRule="auto"/>
            </w:pPr>
            <w:r/>
            <w:r>
              <w:rPr>
                <w:rFonts w:ascii="Aptos" w:hAnsi="Aptos"/>
                <w:color w:val="344054"/>
                <w:sz w:val="16"/>
              </w:rPr>
              <w:t>Create project watchlists, preserve official baselines, detect meaningful changes, compare brochures with official records and generate reviewable evidence cards and timelines.</w:t>
            </w:r>
          </w:p>
        </w:tc>
      </w:tr>
      <w:tr>
        <w:trPr>
          <w:cantSplit/>
        </w:trPr>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6"/>
              </w:rPr>
              <w:t>Primary value</w:t>
            </w:r>
          </w:p>
        </w:tc>
        <w:tc>
          <w:tcPr>
            <w:tcW w:type="dxa" w:w="7257"/>
            <w:shd w:fill="F8FAFC"/>
            <w:tcMar>
              <w:top w:w="65" w:type="dxa"/>
              <w:start w:w="65" w:type="dxa"/>
              <w:bottom w:w="65" w:type="dxa"/>
              <w:end w:w="65" w:type="dxa"/>
            </w:tcMar>
            <w:vAlign w:val="top"/>
          </w:tcPr>
          <w:p>
            <w:pPr>
              <w:spacing w:after="0" w:line="240" w:lineRule="auto"/>
            </w:pPr>
            <w:r/>
            <w:r>
              <w:rPr>
                <w:rFonts w:ascii="Aptos" w:hAnsi="Aptos"/>
                <w:color w:val="344054"/>
                <w:sz w:val="16"/>
              </w:rPr>
              <w:t>Replace repeated portal checks and unverifiable notes with a source-linked project truth history.</w:t>
            </w:r>
          </w:p>
        </w:tc>
      </w:tr>
      <w:tr>
        <w:trPr>
          <w:cantSplit/>
        </w:trPr>
        <w:tc>
          <w:tcPr>
            <w:tcW w:type="dxa" w:w="2098"/>
            <w:tcMar>
              <w:top w:w="65" w:type="dxa"/>
              <w:start w:w="65" w:type="dxa"/>
              <w:bottom w:w="65" w:type="dxa"/>
              <w:end w:w="65" w:type="dxa"/>
            </w:tcMar>
            <w:vAlign w:val="top"/>
          </w:tcPr>
          <w:p>
            <w:pPr>
              <w:spacing w:after="0" w:line="240" w:lineRule="auto"/>
            </w:pPr>
            <w:r/>
            <w:r>
              <w:rPr>
                <w:rFonts w:ascii="Aptos" w:hAnsi="Aptos"/>
                <w:color w:val="344054"/>
                <w:sz w:val="16"/>
              </w:rPr>
              <w:t>Why users pay</w:t>
            </w:r>
          </w:p>
        </w:tc>
        <w:tc>
          <w:tcPr>
            <w:tcW w:type="dxa" w:w="7257"/>
            <w:tcMar>
              <w:top w:w="65" w:type="dxa"/>
              <w:start w:w="65" w:type="dxa"/>
              <w:bottom w:w="65" w:type="dxa"/>
              <w:end w:w="65" w:type="dxa"/>
            </w:tcMar>
            <w:vAlign w:val="top"/>
          </w:tcPr>
          <w:p>
            <w:pPr>
              <w:spacing w:after="0" w:line="240" w:lineRule="auto"/>
            </w:pPr>
            <w:r/>
            <w:r>
              <w:rPr>
                <w:rFonts w:ascii="Aptos" w:hAnsi="Aptos"/>
                <w:color w:val="344054"/>
                <w:sz w:val="16"/>
              </w:rPr>
              <w:t>Time saved, consistent client updates, documented evidence and fewer avoidable errors.</w:t>
            </w:r>
          </w:p>
        </w:tc>
      </w:tr>
      <w:tr>
        <w:trPr>
          <w:cantSplit/>
        </w:trPr>
        <w:tc>
          <w:tcPr>
            <w:tcW w:type="dxa" w:w="2098"/>
            <w:shd w:fill="F8FAFC"/>
            <w:tcMar>
              <w:top w:w="65" w:type="dxa"/>
              <w:start w:w="65" w:type="dxa"/>
              <w:bottom w:w="65" w:type="dxa"/>
              <w:end w:w="65" w:type="dxa"/>
            </w:tcMar>
            <w:vAlign w:val="top"/>
          </w:tcPr>
          <w:p>
            <w:pPr>
              <w:spacing w:after="0" w:line="240" w:lineRule="auto"/>
            </w:pPr>
            <w:r/>
            <w:r>
              <w:rPr>
                <w:rFonts w:ascii="Aptos" w:hAnsi="Aptos"/>
                <w:color w:val="344054"/>
                <w:sz w:val="16"/>
              </w:rPr>
              <w:t>Limitation</w:t>
            </w:r>
          </w:p>
        </w:tc>
        <w:tc>
          <w:tcPr>
            <w:tcW w:type="dxa" w:w="7257"/>
            <w:shd w:fill="F8FAFC"/>
            <w:tcMar>
              <w:top w:w="65" w:type="dxa"/>
              <w:start w:w="65" w:type="dxa"/>
              <w:bottom w:w="65" w:type="dxa"/>
              <w:end w:w="65" w:type="dxa"/>
            </w:tcMar>
            <w:vAlign w:val="top"/>
          </w:tcPr>
          <w:p>
            <w:pPr>
              <w:spacing w:after="0" w:line="240" w:lineRule="auto"/>
            </w:pPr>
            <w:r/>
            <w:r>
              <w:rPr>
                <w:rFonts w:ascii="Aptos" w:hAnsi="Aptos"/>
                <w:color w:val="344054"/>
                <w:sz w:val="16"/>
              </w:rPr>
              <w:t>One supported geography and source adapter in MVP; no title, legal, valuation, price prediction, fraud or purchase advice.</w:t>
            </w:r>
          </w:p>
        </w:tc>
      </w:tr>
    </w:tbl>
    <w:p>
      <w:pPr>
        <w:spacing w:after="0"/>
      </w:pPr>
    </w:p>
    <w:p>
      <w:pPr>
        <w:pStyle w:val="Heading2"/>
        <w:keepNext/>
        <w:spacing w:before="140" w:after="80"/>
      </w:pPr>
      <w:r>
        <w:t>6.2 Core workflow</w:t>
      </w:r>
    </w:p>
    <w:p>
      <w:pPr>
        <w:pStyle w:val="ListNumber"/>
        <w:spacing w:after="40"/>
      </w:pPr>
      <w:r>
        <w:rPr>
          <w:rFonts w:ascii="Aptos" w:hAnsi="Aptos"/>
          <w:color w:val="344054"/>
          <w:sz w:val="18"/>
        </w:rPr>
        <w:t>User creates an organisation, watchlist and monitoring policy.</w:t>
      </w:r>
    </w:p>
    <w:p>
      <w:pPr>
        <w:pStyle w:val="ListNumber"/>
        <w:spacing w:after="40"/>
      </w:pPr>
      <w:r>
        <w:rPr>
          <w:rFonts w:ascii="Aptos" w:hAnsi="Aptos"/>
          <w:color w:val="344054"/>
          <w:sz w:val="18"/>
        </w:rPr>
        <w:t>User adds a project by HRERA registration number, official URL or name/developer; CSV import is available for reviewed bulk onboarding.</w:t>
      </w:r>
    </w:p>
    <w:p>
      <w:pPr>
        <w:pStyle w:val="ListNumber"/>
        <w:spacing w:after="40"/>
      </w:pPr>
      <w:r>
        <w:rPr>
          <w:rFonts w:ascii="Aptos" w:hAnsi="Aptos"/>
          <w:color w:val="344054"/>
          <w:sz w:val="18"/>
        </w:rPr>
        <w:t>Identity resolver searches only supported public indexes and proposes a canonical project; ambiguous matches remain “Needs review”.</w:t>
      </w:r>
    </w:p>
    <w:p>
      <w:pPr>
        <w:pStyle w:val="ListNumber"/>
        <w:spacing w:after="40"/>
      </w:pPr>
      <w:r>
        <w:rPr>
          <w:rFonts w:ascii="Aptos" w:hAnsi="Aptos"/>
          <w:color w:val="344054"/>
          <w:sz w:val="18"/>
        </w:rPr>
        <w:t>Collector retrieves the permitted source, records status/headers/hash and stores an immutable raw snapshot or minimal evidence representation according to source policy.</w:t>
      </w:r>
    </w:p>
    <w:p>
      <w:pPr>
        <w:pStyle w:val="ListNumber"/>
        <w:spacing w:after="40"/>
      </w:pPr>
      <w:r>
        <w:rPr>
          <w:rFonts w:ascii="Aptos" w:hAnsi="Aptos"/>
          <w:color w:val="344054"/>
          <w:sz w:val="18"/>
        </w:rPr>
        <w:t>Parser produces source facts with field-level provenance, extraction method, confidence and parser version.</w:t>
      </w:r>
    </w:p>
    <w:p>
      <w:pPr>
        <w:pStyle w:val="ListNumber"/>
        <w:spacing w:after="40"/>
      </w:pPr>
      <w:r>
        <w:rPr>
          <w:rFonts w:ascii="Aptos" w:hAnsi="Aptos"/>
          <w:color w:val="344054"/>
          <w:sz w:val="18"/>
        </w:rPr>
        <w:t>Normalizer maps dates, areas, names, phases and statuses into canonical fields without overwriting raw values.</w:t>
      </w:r>
    </w:p>
    <w:p>
      <w:pPr>
        <w:pStyle w:val="ListNumber"/>
        <w:spacing w:after="40"/>
      </w:pPr>
      <w:r>
        <w:rPr>
          <w:rFonts w:ascii="Aptos" w:hAnsi="Aptos"/>
          <w:color w:val="344054"/>
          <w:sz w:val="18"/>
        </w:rPr>
        <w:t>User reviews uncertain identity/fields and confirms the baseline.</w:t>
      </w:r>
    </w:p>
    <w:p>
      <w:pPr>
        <w:pStyle w:val="ListNumber"/>
        <w:spacing w:after="40"/>
      </w:pPr>
      <w:r>
        <w:rPr>
          <w:rFonts w:ascii="Aptos" w:hAnsi="Aptos"/>
          <w:color w:val="344054"/>
          <w:sz w:val="18"/>
        </w:rPr>
        <w:t>Scheduler refreshes selected sources; a new immutable snapshot is stored even when no values change, subject to retention policy.</w:t>
      </w:r>
    </w:p>
    <w:p>
      <w:pPr>
        <w:pStyle w:val="ListNumber"/>
        <w:spacing w:after="40"/>
      </w:pPr>
      <w:r>
        <w:rPr>
          <w:rFonts w:ascii="Aptos" w:hAnsi="Aptos"/>
          <w:color w:val="344054"/>
          <w:sz w:val="18"/>
        </w:rPr>
        <w:t>Deterministic diff engine compares same canonical fields and document hashes.</w:t>
      </w:r>
    </w:p>
    <w:p>
      <w:pPr>
        <w:pStyle w:val="ListNumber"/>
        <w:spacing w:after="40"/>
      </w:pPr>
      <w:r>
        <w:rPr>
          <w:rFonts w:ascii="Aptos" w:hAnsi="Aptos"/>
          <w:color w:val="344054"/>
          <w:sz w:val="18"/>
        </w:rPr>
        <w:t>Rules classify changes by type, magnitude, source, confidence, severity and review requirement.</w:t>
      </w:r>
    </w:p>
    <w:p>
      <w:pPr>
        <w:pStyle w:val="ListNumber"/>
        <w:spacing w:after="40"/>
      </w:pPr>
      <w:r>
        <w:rPr>
          <w:rFonts w:ascii="Aptos" w:hAnsi="Aptos"/>
          <w:color w:val="344054"/>
          <w:sz w:val="18"/>
        </w:rPr>
        <w:t>Evidence card links old/new snapshot, source URL, capture time, excerpt/screenshot/hash and limitations.</w:t>
      </w:r>
    </w:p>
    <w:p>
      <w:pPr>
        <w:pStyle w:val="ListNumber"/>
        <w:spacing w:after="40"/>
      </w:pPr>
      <w:r>
        <w:rPr>
          <w:rFonts w:ascii="Aptos" w:hAnsi="Aptos"/>
          <w:color w:val="344054"/>
          <w:sz w:val="18"/>
        </w:rPr>
        <w:t>User confirms, dismisses or corrects the alert; every action is audited.</w:t>
      </w:r>
    </w:p>
    <w:p>
      <w:pPr>
        <w:pStyle w:val="ListNumber"/>
        <w:spacing w:after="40"/>
      </w:pPr>
      <w:r>
        <w:rPr>
          <w:rFonts w:ascii="Aptos" w:hAnsi="Aptos"/>
          <w:color w:val="344054"/>
          <w:sz w:val="18"/>
        </w:rPr>
        <w:t>Project Truth Timeline and weekly report are updated; exports remain traceable to evidence.</w:t>
      </w:r>
    </w:p>
    <w:p>
      <w:pPr>
        <w:pStyle w:val="ListNumber"/>
        <w:spacing w:after="40"/>
      </w:pPr>
      <w:r>
        <w:rPr>
          <w:rFonts w:ascii="Aptos" w:hAnsi="Aptos"/>
          <w:color w:val="344054"/>
          <w:sz w:val="18"/>
        </w:rPr>
        <w:t>User can delete watchlists, exports and uploaded documents subject to documented retention and legal-hold rules.</w:t>
      </w:r>
    </w:p>
    <w:p>
      <w:pPr>
        <w:pStyle w:val="Heading2"/>
        <w:keepNext/>
        <w:spacing w:before="140" w:after="80"/>
      </w:pPr>
      <w:r>
        <w:t>6.3 Workflow variants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928"/>
            <w:shd w:fill="17324D"/>
            <w:tcMar>
              <w:top w:w="80" w:type="dxa"/>
              <w:start w:w="70" w:type="dxa"/>
              <w:bottom w:w="80" w:type="dxa"/>
              <w:end w:w="70" w:type="dxa"/>
            </w:tcMar>
            <w:vAlign w:val="center"/>
          </w:tcPr>
          <w:p>
            <w:pPr>
              <w:spacing w:after="0"/>
              <w:jc w:val="left"/>
            </w:pPr>
            <w:r/>
            <w:r>
              <w:rPr>
                <w:rFonts w:ascii="Aptos" w:hAnsi="Aptos"/>
                <w:b/>
                <w:color w:val="FFFFFF"/>
                <w:sz w:val="16"/>
              </w:rPr>
              <w:t>Workflow</w:t>
            </w:r>
          </w:p>
        </w:tc>
        <w:tc>
          <w:tcPr>
            <w:tcW w:type="dxa" w:w="7427"/>
            <w:shd w:fill="17324D"/>
            <w:tcMar>
              <w:top w:w="80" w:type="dxa"/>
              <w:start w:w="70" w:type="dxa"/>
              <w:bottom w:w="80" w:type="dxa"/>
              <w:end w:w="70" w:type="dxa"/>
            </w:tcMar>
            <w:vAlign w:val="center"/>
          </w:tcPr>
          <w:p>
            <w:pPr>
              <w:spacing w:after="0"/>
              <w:jc w:val="left"/>
            </w:pPr>
            <w:r/>
            <w:r>
              <w:rPr>
                <w:rFonts w:ascii="Aptos" w:hAnsi="Aptos"/>
                <w:b/>
                <w:color w:val="FFFFFF"/>
                <w:sz w:val="16"/>
              </w:rPr>
              <w:t>Behaviour</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One project</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Registration number → baseline → scheduled refresh → field changes → timeline/evidence.</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One developer</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Select canonical developer → aggregate already-tracked projects → portfolio event timeline. V2; does not imply untracked full portfolio.</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One locality</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Select supported Gurugram sectors → aggregate monitored projects/new registrations/extensions. Minimal pulse in MVP, broad market intelligence in V2.</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Brochure upload</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Virus/type/size validation → text extraction/OCR if authorised → claim extraction → official-field comparison → human-reviewed report.</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CSV import</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Template validation → row-level identity matching → dry-run review → idempotent import → error CSV.</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Regulatory update</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Collector captures notice/order → links by exact registration/project/developer identifiers → low-risk metadata alert; legal summary requires review.</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Low-confidence change</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No high-impact alert is published; user sees source, failed field and review controls.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Client report</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Select reviewed alerts/time window → render source-linked summary → approve → PDF/CSV/JSON export with disclaimer.</w:t>
            </w:r>
          </w:p>
        </w:tc>
      </w:tr>
    </w:tbl>
    <w:p>
      <w:pPr>
        <w:spacing w:after="0"/>
      </w:pPr>
    </w:p>
    <w:p>
      <w:pPr>
        <w:pStyle w:val="Heading2"/>
        <w:keepNext/>
        <w:spacing w:before="140" w:after="80"/>
      </w:pPr>
      <w:r>
        <w:t>6.4 Edge-case behaviour</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438"/>
            <w:shd w:fill="17324D"/>
            <w:tcMar>
              <w:top w:w="80" w:type="dxa"/>
              <w:start w:w="70" w:type="dxa"/>
              <w:bottom w:w="80" w:type="dxa"/>
              <w:end w:w="70" w:type="dxa"/>
            </w:tcMar>
            <w:vAlign w:val="center"/>
          </w:tcPr>
          <w:p>
            <w:pPr>
              <w:spacing w:after="0"/>
              <w:jc w:val="left"/>
            </w:pPr>
            <w:r/>
            <w:r>
              <w:rPr>
                <w:rFonts w:ascii="Aptos" w:hAnsi="Aptos"/>
                <w:b/>
                <w:color w:val="FFFFFF"/>
                <w:sz w:val="15"/>
              </w:rPr>
              <w:t>Condition</w:t>
            </w:r>
          </w:p>
        </w:tc>
        <w:tc>
          <w:tcPr>
            <w:tcW w:type="dxa" w:w="6917"/>
            <w:shd w:fill="17324D"/>
            <w:tcMar>
              <w:top w:w="80" w:type="dxa"/>
              <w:start w:w="70" w:type="dxa"/>
              <w:bottom w:w="80" w:type="dxa"/>
              <w:end w:w="70" w:type="dxa"/>
            </w:tcMar>
            <w:vAlign w:val="center"/>
          </w:tcPr>
          <w:p>
            <w:pPr>
              <w:spacing w:after="0"/>
              <w:jc w:val="left"/>
            </w:pPr>
            <w:r/>
            <w:r>
              <w:rPr>
                <w:rFonts w:ascii="Aptos" w:hAnsi="Aptos"/>
                <w:b/>
                <w:color w:val="FFFFFF"/>
                <w:sz w:val="15"/>
              </w:rPr>
              <w:t>System action</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Ambiguous/similar project name</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Require registration number or developer+location corroboration; no automatic merge.</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Registration number unavailable</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Create provisional entity labelled Unverified; monitoring disabled until a supported source is attached or manually confirmed.</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Website structure changes</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Collector stores fetch success but parser failure; opens parser-regression incident; no fabricated change.</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Source unavailable / CAPTCHA / login</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Mark source inaccessible and monitoring confidence reduced; do not bypass; prompt user for authorised manual document if appropriate.</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Source removes a value</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Record “present → absent” as a removal event, not null overwrite; require review for high-impact fields.</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Value changes then reverts</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Store both changes; timeline preserves every immutable snapshot and reversal.</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Two sources disagree</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Keep separate source facts; apply source precedence only for display; show “Conflicting sources”.</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Scanned/unreadable PDF</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Optional OCR on user-authorised file; low confidence routes to review; retain original hash.</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Multiple phases / registration numbers</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Model parent project and phase entities; never collapse registrations without review.</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Missing completion date</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Remain null/unverified; do not infer from marketing possession date.</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Developer rename</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Create alias and audited merge proposal; preserve original source value.</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Stale source</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Show freshness age and last successful fetch; stale data cannot produce a “no change means safe” conclusion.</w:t>
            </w:r>
          </w:p>
        </w:tc>
      </w:tr>
      <w:tr>
        <w:trPr>
          <w:cantSplit/>
        </w:trPr>
        <w:tc>
          <w:tcPr>
            <w:tcW w:type="dxa" w:w="2438"/>
            <w:tcMar>
              <w:top w:w="65" w:type="dxa"/>
              <w:start w:w="65" w:type="dxa"/>
              <w:bottom w:w="65" w:type="dxa"/>
              <w:end w:w="65" w:type="dxa"/>
            </w:tcMar>
            <w:vAlign w:val="top"/>
          </w:tcPr>
          <w:p>
            <w:pPr>
              <w:spacing w:after="0" w:line="240" w:lineRule="auto"/>
            </w:pPr>
            <w:r/>
            <w:r>
              <w:rPr>
                <w:rFonts w:ascii="Aptos" w:hAnsi="Aptos"/>
                <w:color w:val="344054"/>
                <w:sz w:val="15"/>
              </w:rPr>
              <w:t>Duplicate add</w:t>
            </w:r>
          </w:p>
        </w:tc>
        <w:tc>
          <w:tcPr>
            <w:tcW w:type="dxa" w:w="6917"/>
            <w:tcMar>
              <w:top w:w="65" w:type="dxa"/>
              <w:start w:w="65" w:type="dxa"/>
              <w:bottom w:w="65" w:type="dxa"/>
              <w:end w:w="65" w:type="dxa"/>
            </w:tcMar>
            <w:vAlign w:val="top"/>
          </w:tcPr>
          <w:p>
            <w:pPr>
              <w:spacing w:after="0" w:line="240" w:lineRule="auto"/>
            </w:pPr>
            <w:r/>
            <w:r>
              <w:rPr>
                <w:rFonts w:ascii="Aptos" w:hAnsi="Aptos"/>
                <w:color w:val="344054"/>
                <w:sz w:val="15"/>
              </w:rPr>
              <w:t>Idempotency key and canonical identity return existing item; user may add it to another watchlist.</w:t>
            </w:r>
          </w:p>
        </w:tc>
      </w:tr>
      <w:tr>
        <w:trPr>
          <w:cantSplit/>
        </w:trPr>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5"/>
              </w:rPr>
              <w:t>Marketing claim without official evidence</w:t>
            </w:r>
          </w:p>
        </w:tc>
        <w:tc>
          <w:tcPr>
            <w:tcW w:type="dxa" w:w="6917"/>
            <w:shd w:fill="F8FAFC"/>
            <w:tcMar>
              <w:top w:w="65" w:type="dxa"/>
              <w:start w:w="65" w:type="dxa"/>
              <w:bottom w:w="65" w:type="dxa"/>
              <w:end w:w="65" w:type="dxa"/>
            </w:tcMar>
            <w:vAlign w:val="top"/>
          </w:tcPr>
          <w:p>
            <w:pPr>
              <w:spacing w:after="0" w:line="240" w:lineRule="auto"/>
            </w:pPr>
            <w:r/>
            <w:r>
              <w:rPr>
                <w:rFonts w:ascii="Aptos" w:hAnsi="Aptos"/>
                <w:color w:val="344054"/>
                <w:sz w:val="15"/>
              </w:rPr>
              <w:t>Store as Claim only; never promote to official fact.</w:t>
            </w:r>
          </w:p>
        </w:tc>
      </w:tr>
    </w:tbl>
    <w:p>
      <w:pPr>
        <w:spacing w:after="0"/>
      </w:pPr>
    </w:p>
    <w:p>
      <w:pPr>
        <w:pStyle w:val="Heading1"/>
        <w:keepNext/>
        <w:spacing w:before="200" w:after="80"/>
      </w:pPr>
      <w:r>
        <w:t>7. Exact MVP, unique features and roadmap boundaries</w:t>
      </w:r>
    </w:p>
    <w:p>
      <w:pPr>
        <w:pStyle w:val="Heading2"/>
        <w:keepNext/>
        <w:spacing w:before="140" w:after="80"/>
      </w:pPr>
      <w:r>
        <w:t>7.1 Exact MVP scope</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MVP boundary</w:t>
            </w:r>
          </w:p>
          <w:p>
            <w:pPr>
              <w:spacing w:after="0" w:line="252" w:lineRule="auto"/>
            </w:pPr>
            <w:r>
              <w:rPr>
                <w:rFonts w:ascii="Aptos" w:hAnsi="Aptos"/>
                <w:color w:val="344054"/>
                <w:sz w:val="18"/>
              </w:rPr>
              <w:t>One regulator adapter (HRERA Gurugram), 30–40 curated projects, official HTML snapshots, user-authorised PDF/brochure comparison, deterministic changes, evidence cards, Project Truth Timeline, review queue, weekly digest and PDF/CSV/JSON export. No India-wide coverage and no purchase recommendation.</w:t>
            </w:r>
          </w:p>
        </w:tc>
      </w:tr>
    </w:tbl>
    <w:p>
      <w:pPr>
        <w:spacing w:after="0"/>
      </w:pP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24"/>
            <w:shd w:fill="17324D"/>
            <w:tcMar>
              <w:top w:w="80" w:type="dxa"/>
              <w:start w:w="70" w:type="dxa"/>
              <w:bottom w:w="80" w:type="dxa"/>
              <w:end w:w="70" w:type="dxa"/>
            </w:tcMar>
            <w:vAlign w:val="center"/>
          </w:tcPr>
          <w:p>
            <w:pPr>
              <w:spacing w:after="0"/>
              <w:jc w:val="left"/>
            </w:pPr>
            <w:r/>
            <w:r>
              <w:rPr>
                <w:rFonts w:ascii="Aptos" w:hAnsi="Aptos"/>
                <w:b/>
                <w:color w:val="FFFFFF"/>
                <w:sz w:val="16"/>
              </w:rPr>
              <w:t>Capability</w:t>
            </w:r>
          </w:p>
        </w:tc>
        <w:tc>
          <w:tcPr>
            <w:tcW w:type="dxa" w:w="7030"/>
            <w:shd w:fill="17324D"/>
            <w:tcMar>
              <w:top w:w="80" w:type="dxa"/>
              <w:start w:w="70" w:type="dxa"/>
              <w:bottom w:w="80" w:type="dxa"/>
              <w:end w:w="70" w:type="dxa"/>
            </w:tcMar>
            <w:vAlign w:val="center"/>
          </w:tcPr>
          <w:p>
            <w:pPr>
              <w:spacing w:after="0"/>
              <w:jc w:val="left"/>
            </w:pPr>
            <w:r/>
            <w:r>
              <w:rPr>
                <w:rFonts w:ascii="Aptos" w:hAnsi="Aptos"/>
                <w:b/>
                <w:color w:val="FFFFFF"/>
                <w:sz w:val="16"/>
              </w:rPr>
              <w:t>MVP acceptance rule</w:t>
            </w:r>
          </w:p>
        </w:tc>
      </w:tr>
      <w:tr>
        <w:trPr>
          <w:cantSplit/>
        </w:trPr>
        <w:tc>
          <w:tcPr>
            <w:tcW w:type="dxa" w:w="2324"/>
            <w:tcMar>
              <w:top w:w="65" w:type="dxa"/>
              <w:start w:w="65" w:type="dxa"/>
              <w:bottom w:w="65" w:type="dxa"/>
              <w:end w:w="65" w:type="dxa"/>
            </w:tcMar>
            <w:vAlign w:val="top"/>
          </w:tcPr>
          <w:p>
            <w:pPr>
              <w:spacing w:after="0" w:line="240" w:lineRule="auto"/>
            </w:pPr>
            <w:r/>
            <w:r>
              <w:rPr>
                <w:rFonts w:ascii="Aptos" w:hAnsi="Aptos"/>
                <w:color w:val="344054"/>
                <w:sz w:val="16"/>
              </w:rPr>
              <w:t>Watchlists</w:t>
            </w:r>
          </w:p>
        </w:tc>
        <w:tc>
          <w:tcPr>
            <w:tcW w:type="dxa" w:w="7030"/>
            <w:tcMar>
              <w:top w:w="65" w:type="dxa"/>
              <w:start w:w="65" w:type="dxa"/>
              <w:bottom w:w="65" w:type="dxa"/>
              <w:end w:w="65" w:type="dxa"/>
            </w:tcMar>
            <w:vAlign w:val="top"/>
          </w:tcPr>
          <w:p>
            <w:pPr>
              <w:spacing w:after="0" w:line="240" w:lineRule="auto"/>
            </w:pPr>
            <w:r/>
            <w:r>
              <w:rPr>
                <w:rFonts w:ascii="Aptos" w:hAnsi="Aptos"/>
                <w:color w:val="344054"/>
                <w:sz w:val="16"/>
              </w:rPr>
              <w:t>Create/edit/delete; add by registration number, supported official URL or reviewed CSV.</w:t>
            </w:r>
          </w:p>
        </w:tc>
      </w:tr>
      <w:tr>
        <w:trPr>
          <w:cantSplit/>
        </w:trPr>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6"/>
              </w:rPr>
              <w:t>Canonical project profile</w:t>
            </w:r>
          </w:p>
        </w:tc>
        <w:tc>
          <w:tcPr>
            <w:tcW w:type="dxa" w:w="7030"/>
            <w:shd w:fill="F8FAFC"/>
            <w:tcMar>
              <w:top w:w="65" w:type="dxa"/>
              <w:start w:w="65" w:type="dxa"/>
              <w:bottom w:w="65" w:type="dxa"/>
              <w:end w:w="65" w:type="dxa"/>
            </w:tcMar>
            <w:vAlign w:val="top"/>
          </w:tcPr>
          <w:p>
            <w:pPr>
              <w:spacing w:after="0" w:line="240" w:lineRule="auto"/>
            </w:pPr>
            <w:r/>
            <w:r>
              <w:rPr>
                <w:rFonts w:ascii="Aptos" w:hAnsi="Aptos"/>
                <w:color w:val="344054"/>
                <w:sz w:val="16"/>
              </w:rPr>
              <w:t>Core identity, promoter, location, type, phase, dates, status, units/buildings/area when supported, sources, last checked and data-quality dimensions.</w:t>
            </w:r>
          </w:p>
        </w:tc>
      </w:tr>
      <w:tr>
        <w:trPr>
          <w:cantSplit/>
        </w:trPr>
        <w:tc>
          <w:tcPr>
            <w:tcW w:type="dxa" w:w="2324"/>
            <w:tcMar>
              <w:top w:w="65" w:type="dxa"/>
              <w:start w:w="65" w:type="dxa"/>
              <w:bottom w:w="65" w:type="dxa"/>
              <w:end w:w="65" w:type="dxa"/>
            </w:tcMar>
            <w:vAlign w:val="top"/>
          </w:tcPr>
          <w:p>
            <w:pPr>
              <w:spacing w:after="0" w:line="240" w:lineRule="auto"/>
            </w:pPr>
            <w:r/>
            <w:r>
              <w:rPr>
                <w:rFonts w:ascii="Aptos" w:hAnsi="Aptos"/>
                <w:color w:val="344054"/>
                <w:sz w:val="16"/>
              </w:rPr>
              <w:t>Immutable snapshots</w:t>
            </w:r>
          </w:p>
        </w:tc>
        <w:tc>
          <w:tcPr>
            <w:tcW w:type="dxa" w:w="7030"/>
            <w:tcMar>
              <w:top w:w="65" w:type="dxa"/>
              <w:start w:w="65" w:type="dxa"/>
              <w:bottom w:w="65" w:type="dxa"/>
              <w:end w:w="65" w:type="dxa"/>
            </w:tcMar>
            <w:vAlign w:val="top"/>
          </w:tcPr>
          <w:p>
            <w:pPr>
              <w:spacing w:after="0" w:line="240" w:lineRule="auto"/>
            </w:pPr>
            <w:r/>
            <w:r>
              <w:rPr>
                <w:rFonts w:ascii="Aptos" w:hAnsi="Aptos"/>
                <w:color w:val="344054"/>
                <w:sz w:val="16"/>
              </w:rPr>
              <w:t>Source fetch metadata, raw hash/allowed evidence, parser version, source facts and capture timestamp; never edited in place.</w:t>
            </w:r>
          </w:p>
        </w:tc>
      </w:tr>
      <w:tr>
        <w:trPr>
          <w:cantSplit/>
        </w:trPr>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6"/>
              </w:rPr>
              <w:t>Change Ledger</w:t>
            </w:r>
          </w:p>
        </w:tc>
        <w:tc>
          <w:tcPr>
            <w:tcW w:type="dxa" w:w="7030"/>
            <w:shd w:fill="F8FAFC"/>
            <w:tcMar>
              <w:top w:w="65" w:type="dxa"/>
              <w:start w:w="65" w:type="dxa"/>
              <w:bottom w:w="65" w:type="dxa"/>
              <w:end w:w="65" w:type="dxa"/>
            </w:tcMar>
            <w:vAlign w:val="top"/>
          </w:tcPr>
          <w:p>
            <w:pPr>
              <w:spacing w:after="0" w:line="240" w:lineRule="auto"/>
            </w:pPr>
            <w:r/>
            <w:r>
              <w:rPr>
                <w:rFonts w:ascii="Aptos" w:hAnsi="Aptos"/>
                <w:color w:val="344054"/>
                <w:sz w:val="16"/>
              </w:rPr>
              <w:t>Old/new value, canonical field, raw value, change type/magnitude, source, confidence, severity and review status.</w:t>
            </w:r>
          </w:p>
        </w:tc>
      </w:tr>
      <w:tr>
        <w:trPr>
          <w:cantSplit/>
        </w:trPr>
        <w:tc>
          <w:tcPr>
            <w:tcW w:type="dxa" w:w="2324"/>
            <w:tcMar>
              <w:top w:w="65" w:type="dxa"/>
              <w:start w:w="65" w:type="dxa"/>
              <w:bottom w:w="65" w:type="dxa"/>
              <w:end w:w="65" w:type="dxa"/>
            </w:tcMar>
            <w:vAlign w:val="top"/>
          </w:tcPr>
          <w:p>
            <w:pPr>
              <w:spacing w:after="0" w:line="240" w:lineRule="auto"/>
            </w:pPr>
            <w:r/>
            <w:r>
              <w:rPr>
                <w:rFonts w:ascii="Aptos" w:hAnsi="Aptos"/>
                <w:color w:val="344054"/>
                <w:sz w:val="16"/>
              </w:rPr>
              <w:t>Project Truth Timeline</w:t>
            </w:r>
          </w:p>
        </w:tc>
        <w:tc>
          <w:tcPr>
            <w:tcW w:type="dxa" w:w="7030"/>
            <w:tcMar>
              <w:top w:w="65" w:type="dxa"/>
              <w:start w:w="65" w:type="dxa"/>
              <w:bottom w:w="65" w:type="dxa"/>
              <w:end w:w="65" w:type="dxa"/>
            </w:tcMar>
            <w:vAlign w:val="top"/>
          </w:tcPr>
          <w:p>
            <w:pPr>
              <w:spacing w:after="0" w:line="240" w:lineRule="auto"/>
            </w:pPr>
            <w:r/>
            <w:r>
              <w:rPr>
                <w:rFonts w:ascii="Aptos" w:hAnsi="Aptos"/>
                <w:color w:val="344054"/>
                <w:sz w:val="16"/>
              </w:rPr>
              <w:t>Registration, completion/status/QPR changes, document version, source outage and review decisions.</w:t>
            </w:r>
          </w:p>
        </w:tc>
      </w:tr>
      <w:tr>
        <w:trPr>
          <w:cantSplit/>
        </w:trPr>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6"/>
              </w:rPr>
              <w:t>Evidence cards</w:t>
            </w:r>
          </w:p>
        </w:tc>
        <w:tc>
          <w:tcPr>
            <w:tcW w:type="dxa" w:w="7030"/>
            <w:shd w:fill="F8FAFC"/>
            <w:tcMar>
              <w:top w:w="65" w:type="dxa"/>
              <w:start w:w="65" w:type="dxa"/>
              <w:bottom w:w="65" w:type="dxa"/>
              <w:end w:w="65" w:type="dxa"/>
            </w:tcMar>
            <w:vAlign w:val="top"/>
          </w:tcPr>
          <w:p>
            <w:pPr>
              <w:spacing w:after="0" w:line="240" w:lineRule="auto"/>
            </w:pPr>
            <w:r/>
            <w:r>
              <w:rPr>
                <w:rFonts w:ascii="Aptos" w:hAnsi="Aptos"/>
                <w:color w:val="344054"/>
                <w:sz w:val="16"/>
              </w:rPr>
              <w:t>What changed, old/new, source URL/date/capture, evidence excerpt/hash, confidence, limitation and suggested action.</w:t>
            </w:r>
          </w:p>
        </w:tc>
      </w:tr>
      <w:tr>
        <w:trPr>
          <w:cantSplit/>
        </w:trPr>
        <w:tc>
          <w:tcPr>
            <w:tcW w:type="dxa" w:w="2324"/>
            <w:tcMar>
              <w:top w:w="65" w:type="dxa"/>
              <w:start w:w="65" w:type="dxa"/>
              <w:bottom w:w="65" w:type="dxa"/>
              <w:end w:w="65" w:type="dxa"/>
            </w:tcMar>
            <w:vAlign w:val="top"/>
          </w:tcPr>
          <w:p>
            <w:pPr>
              <w:spacing w:after="0" w:line="240" w:lineRule="auto"/>
            </w:pPr>
            <w:r/>
            <w:r>
              <w:rPr>
                <w:rFonts w:ascii="Aptos" w:hAnsi="Aptos"/>
                <w:color w:val="344054"/>
                <w:sz w:val="16"/>
              </w:rPr>
              <w:t>Rule signals</w:t>
            </w:r>
          </w:p>
        </w:tc>
        <w:tc>
          <w:tcPr>
            <w:tcW w:type="dxa" w:w="7030"/>
            <w:tcMar>
              <w:top w:w="65" w:type="dxa"/>
              <w:start w:w="65" w:type="dxa"/>
              <w:bottom w:w="65" w:type="dxa"/>
              <w:end w:w="65" w:type="dxa"/>
            </w:tcMar>
            <w:vAlign w:val="top"/>
          </w:tcPr>
          <w:p>
            <w:pPr>
              <w:spacing w:after="0" w:line="240" w:lineRule="auto"/>
            </w:pPr>
            <w:r/>
            <w:r>
              <w:rPr>
                <w:rFonts w:ascii="Aptos" w:hAnsi="Aptos"/>
                <w:color w:val="344054"/>
                <w:sz w:val="16"/>
              </w:rPr>
              <w:t>Completion extension, repeated extension, QPR missing, lapsed/status change, source unavailable, brochure mismatch and conflict.</w:t>
            </w:r>
          </w:p>
        </w:tc>
      </w:tr>
      <w:tr>
        <w:trPr>
          <w:cantSplit/>
        </w:trPr>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6"/>
              </w:rPr>
              <w:t>Brochure comparison</w:t>
            </w:r>
          </w:p>
        </w:tc>
        <w:tc>
          <w:tcPr>
            <w:tcW w:type="dxa" w:w="7030"/>
            <w:shd w:fill="F8FAFC"/>
            <w:tcMar>
              <w:top w:w="65" w:type="dxa"/>
              <w:start w:w="65" w:type="dxa"/>
              <w:bottom w:w="65" w:type="dxa"/>
              <w:end w:w="65" w:type="dxa"/>
            </w:tcMar>
            <w:vAlign w:val="top"/>
          </w:tcPr>
          <w:p>
            <w:pPr>
              <w:spacing w:after="0" w:line="240" w:lineRule="auto"/>
            </w:pPr>
            <w:r/>
            <w:r>
              <w:rPr>
                <w:rFonts w:ascii="Aptos" w:hAnsi="Aptos"/>
                <w:color w:val="344054"/>
                <w:sz w:val="16"/>
              </w:rPr>
              <w:t>Project name, registration number, developer, completion/possession date, phase, buildings, units, project area and explicitly claimed approvals/amenities.</w:t>
            </w:r>
          </w:p>
        </w:tc>
      </w:tr>
      <w:tr>
        <w:trPr>
          <w:cantSplit/>
        </w:trPr>
        <w:tc>
          <w:tcPr>
            <w:tcW w:type="dxa" w:w="2324"/>
            <w:tcMar>
              <w:top w:w="65" w:type="dxa"/>
              <w:start w:w="65" w:type="dxa"/>
              <w:bottom w:w="65" w:type="dxa"/>
              <w:end w:w="65" w:type="dxa"/>
            </w:tcMar>
            <w:vAlign w:val="top"/>
          </w:tcPr>
          <w:p>
            <w:pPr>
              <w:spacing w:after="0" w:line="240" w:lineRule="auto"/>
            </w:pPr>
            <w:r/>
            <w:r>
              <w:rPr>
                <w:rFonts w:ascii="Aptos" w:hAnsi="Aptos"/>
                <w:color w:val="344054"/>
                <w:sz w:val="16"/>
              </w:rPr>
              <w:t>Minimal locality pulse</w:t>
            </w:r>
          </w:p>
        </w:tc>
        <w:tc>
          <w:tcPr>
            <w:tcW w:type="dxa" w:w="7030"/>
            <w:tcMar>
              <w:top w:w="65" w:type="dxa"/>
              <w:start w:w="65" w:type="dxa"/>
              <w:bottom w:w="65" w:type="dxa"/>
              <w:end w:w="65" w:type="dxa"/>
            </w:tcMar>
            <w:vAlign w:val="top"/>
          </w:tcPr>
          <w:p>
            <w:pPr>
              <w:spacing w:after="0" w:line="240" w:lineRule="auto"/>
            </w:pPr>
            <w:r/>
            <w:r>
              <w:rPr>
                <w:rFonts w:ascii="Aptos" w:hAnsi="Aptos"/>
                <w:color w:val="344054"/>
                <w:sz w:val="16"/>
              </w:rPr>
              <w:t>Counts only across monitored projects: new registrations added to dataset, active/lapsed/QPR-missing and recent reviewed changes.</w:t>
            </w:r>
          </w:p>
        </w:tc>
      </w:tr>
      <w:tr>
        <w:trPr>
          <w:cantSplit/>
        </w:trPr>
        <w:tc>
          <w:tcPr>
            <w:tcW w:type="dxa" w:w="2324"/>
            <w:shd w:fill="F8FAFC"/>
            <w:tcMar>
              <w:top w:w="65" w:type="dxa"/>
              <w:start w:w="65" w:type="dxa"/>
              <w:bottom w:w="65" w:type="dxa"/>
              <w:end w:w="65" w:type="dxa"/>
            </w:tcMar>
            <w:vAlign w:val="top"/>
          </w:tcPr>
          <w:p>
            <w:pPr>
              <w:spacing w:after="0" w:line="240" w:lineRule="auto"/>
            </w:pPr>
            <w:r/>
            <w:r>
              <w:rPr>
                <w:rFonts w:ascii="Aptos" w:hAnsi="Aptos"/>
                <w:color w:val="344054"/>
                <w:sz w:val="16"/>
              </w:rPr>
              <w:t>Reports</w:t>
            </w:r>
          </w:p>
        </w:tc>
        <w:tc>
          <w:tcPr>
            <w:tcW w:type="dxa" w:w="7030"/>
            <w:shd w:fill="F8FAFC"/>
            <w:tcMar>
              <w:top w:w="65" w:type="dxa"/>
              <w:start w:w="65" w:type="dxa"/>
              <w:bottom w:w="65" w:type="dxa"/>
              <w:end w:w="65" w:type="dxa"/>
            </w:tcMar>
            <w:vAlign w:val="top"/>
          </w:tcPr>
          <w:p>
            <w:pPr>
              <w:spacing w:after="0" w:line="240" w:lineRule="auto"/>
            </w:pPr>
            <w:r/>
            <w:r>
              <w:rPr>
                <w:rFonts w:ascii="Aptos" w:hAnsi="Aptos"/>
                <w:color w:val="344054"/>
                <w:sz w:val="16"/>
              </w:rPr>
              <w:t>Weekly dashboard digest; approved PDF, CSV and JSON export with evidence references.</w:t>
            </w:r>
          </w:p>
        </w:tc>
      </w:tr>
    </w:tbl>
    <w:p>
      <w:pPr>
        <w:spacing w:after="0"/>
      </w:pPr>
    </w:p>
    <w:p>
      <w:pPr>
        <w:pStyle w:val="Heading2"/>
        <w:keepNext/>
        <w:spacing w:before="140" w:after="80"/>
      </w:pPr>
      <w:r>
        <w:t>7.2 Unique-feature prioritisation</w:t>
      </w:r>
    </w:p>
    <w:tbl>
      <w:tblPr>
        <w:tblStyle w:val="TableGrid"/>
        <w:tblW w:type="auto" w:w="0"/>
        <w:jc w:val="center"/>
        <w:tblLayout w:type="fixed"/>
        <w:tblLook w:firstColumn="1" w:firstRow="1" w:lastColumn="0" w:lastRow="0" w:noHBand="0" w:noVBand="1" w:val="04A0"/>
      </w:tblPr>
      <w:tblGrid>
        <w:gridCol w:w="1996"/>
        <w:gridCol w:w="1996"/>
        <w:gridCol w:w="1996"/>
        <w:gridCol w:w="1996"/>
        <w:gridCol w:w="1996"/>
      </w:tblGrid>
      <w:tr>
        <w:trPr>
          <w:tblHeader w:val="true"/>
          <w:cantSplit/>
        </w:trPr>
        <w:tc>
          <w:tcPr>
            <w:tcW w:type="dxa" w:w="3458"/>
            <w:shd w:fill="17324D"/>
            <w:tcMar>
              <w:top w:w="80" w:type="dxa"/>
              <w:start w:w="70" w:type="dxa"/>
              <w:bottom w:w="80" w:type="dxa"/>
              <w:end w:w="70" w:type="dxa"/>
            </w:tcMar>
            <w:vAlign w:val="center"/>
          </w:tcPr>
          <w:p>
            <w:pPr>
              <w:spacing w:after="0"/>
              <w:jc w:val="left"/>
            </w:pPr>
            <w:r/>
            <w:r>
              <w:rPr>
                <w:rFonts w:ascii="Aptos" w:hAnsi="Aptos"/>
                <w:b/>
                <w:color w:val="FFFFFF"/>
                <w:sz w:val="15"/>
              </w:rPr>
              <w:t>Feature</w:t>
            </w:r>
          </w:p>
        </w:tc>
        <w:tc>
          <w:tcPr>
            <w:tcW w:type="dxa" w:w="1247"/>
            <w:shd w:fill="17324D"/>
            <w:tcMar>
              <w:top w:w="80" w:type="dxa"/>
              <w:start w:w="70" w:type="dxa"/>
              <w:bottom w:w="80" w:type="dxa"/>
              <w:end w:w="70" w:type="dxa"/>
            </w:tcMar>
            <w:vAlign w:val="center"/>
          </w:tcPr>
          <w:p>
            <w:pPr>
              <w:spacing w:after="0"/>
              <w:jc w:val="left"/>
            </w:pPr>
            <w:r/>
            <w:r>
              <w:rPr>
                <w:rFonts w:ascii="Aptos" w:hAnsi="Aptos"/>
                <w:b/>
                <w:color w:val="FFFFFF"/>
                <w:sz w:val="15"/>
              </w:rPr>
              <w:t>Value</w:t>
            </w:r>
          </w:p>
        </w:tc>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5"/>
              </w:rPr>
              <w:t>Feasibility</w:t>
            </w:r>
          </w:p>
        </w:tc>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5"/>
              </w:rPr>
              <w:t>Risk</w:t>
            </w:r>
          </w:p>
        </w:tc>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5"/>
              </w:rPr>
              <w:t>Decision</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Project Truth Timeline</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Very 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Change Ledger</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Very 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Claim-versus-Record Checker</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Very 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Monitoring Confidence</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Source Conflict Resolver</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Transparent delay signal components</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Project Data Quality dimensions</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MVP</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Document Revision Intelligence</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V2</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Developer Behaviour Timeline</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Medium-High</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V2</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Micro-market Change Pulse</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V2</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Evidence Graph visualisation</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V2</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Silent visual-page change detector</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V2</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Construction-progress computer vision</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Uncertain</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High</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Future/reject until labelled data</w:t>
            </w:r>
          </w:p>
        </w:tc>
      </w:tr>
      <w:tr>
        <w:trPr>
          <w:cantSplit/>
        </w:trPr>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Price prediction / investment score</w:t>
            </w:r>
          </w:p>
        </w:tc>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Low fit</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Very high</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Reject</w:t>
            </w:r>
          </w:p>
        </w:tc>
      </w:tr>
      <w:tr>
        <w:trPr>
          <w:cantSplit/>
        </w:trPr>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Fraud/scam classification</w:t>
            </w:r>
          </w:p>
        </w:tc>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Low safety</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Low</w:t>
            </w:r>
          </w:p>
        </w:tc>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Very high</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Reject</w:t>
            </w:r>
          </w:p>
        </w:tc>
      </w:tr>
    </w:tbl>
    <w:p>
      <w:pPr>
        <w:spacing w:after="0"/>
      </w:pPr>
    </w:p>
    <w:p>
      <w:pPr>
        <w:pStyle w:val="Heading2"/>
        <w:keepNext/>
        <w:spacing w:before="140" w:after="80"/>
      </w:pPr>
      <w:r>
        <w:t>7.3 Signal components — never an opaque score</w:t>
      </w:r>
    </w:p>
    <w:p>
      <w:pPr>
        <w:pStyle w:val="ListBullet"/>
        <w:spacing w:after="30" w:line="247" w:lineRule="auto"/>
        <w:ind w:left="360" w:hanging="173"/>
      </w:pPr>
      <w:r>
        <w:rPr>
          <w:rFonts w:ascii="Aptos" w:hAnsi="Aptos"/>
          <w:color w:val="344054"/>
          <w:sz w:val="18"/>
        </w:rPr>
        <w:t>Official proposed/revised completion date moved later: show day difference and exact source snapshots.</w:t>
      </w:r>
    </w:p>
    <w:p>
      <w:pPr>
        <w:pStyle w:val="ListBullet"/>
        <w:spacing w:after="30" w:line="247" w:lineRule="auto"/>
        <w:ind w:left="360" w:hanging="173"/>
      </w:pPr>
      <w:r>
        <w:rPr>
          <w:rFonts w:ascii="Aptos" w:hAnsi="Aptos"/>
          <w:color w:val="344054"/>
          <w:sz w:val="18"/>
        </w:rPr>
        <w:t>Multiple observed date extensions: show count and dates; do not infer intent.</w:t>
      </w:r>
    </w:p>
    <w:p>
      <w:pPr>
        <w:pStyle w:val="ListBullet"/>
        <w:spacing w:after="30" w:line="247" w:lineRule="auto"/>
        <w:ind w:left="360" w:hanging="173"/>
      </w:pPr>
      <w:r>
        <w:rPr>
          <w:rFonts w:ascii="Aptos" w:hAnsi="Aptos"/>
          <w:color w:val="344054"/>
          <w:sz w:val="18"/>
        </w:rPr>
        <w:t>Official list flags QPR not uploaded or project lapsed: reproduce the flag with capture date and source.</w:t>
      </w:r>
    </w:p>
    <w:p>
      <w:pPr>
        <w:pStyle w:val="ListBullet"/>
        <w:spacing w:after="30" w:line="247" w:lineRule="auto"/>
        <w:ind w:left="360" w:hanging="173"/>
      </w:pPr>
      <w:r>
        <w:rPr>
          <w:rFonts w:ascii="Aptos" w:hAnsi="Aptos"/>
          <w:color w:val="344054"/>
          <w:sz w:val="18"/>
        </w:rPr>
        <w:t>No successful progress update for configured interval: label as monitoring observation, not proof of construction inactivity.</w:t>
      </w:r>
    </w:p>
    <w:p>
      <w:pPr>
        <w:pStyle w:val="ListBullet"/>
        <w:spacing w:after="30" w:line="247" w:lineRule="auto"/>
        <w:ind w:left="360" w:hanging="173"/>
      </w:pPr>
      <w:r>
        <w:rPr>
          <w:rFonts w:ascii="Aptos" w:hAnsi="Aptos"/>
          <w:color w:val="344054"/>
          <w:sz w:val="18"/>
        </w:rPr>
        <w:t>Official and brochure dates/units/buildings/area conflict: show both values and source class.</w:t>
      </w:r>
    </w:p>
    <w:p>
      <w:pPr>
        <w:pStyle w:val="ListBullet"/>
        <w:spacing w:after="30" w:line="247" w:lineRule="auto"/>
        <w:ind w:left="360" w:hanging="173"/>
      </w:pPr>
      <w:r>
        <w:rPr>
          <w:rFonts w:ascii="Aptos" w:hAnsi="Aptos"/>
          <w:color w:val="344054"/>
          <w:sz w:val="18"/>
        </w:rPr>
        <w:t>Source inaccessible or parser degraded: reduce monitoring confidence and suppress “all clear”.</w:t>
      </w:r>
    </w:p>
    <w:p>
      <w:pPr>
        <w:pStyle w:val="ListBullet"/>
        <w:spacing w:after="30" w:line="247" w:lineRule="auto"/>
        <w:ind w:left="360" w:hanging="173"/>
      </w:pPr>
      <w:r>
        <w:rPr>
          <w:rFonts w:ascii="Aptos" w:hAnsi="Aptos"/>
          <w:color w:val="344054"/>
          <w:sz w:val="18"/>
        </w:rPr>
        <w:t>New order/notice exact-linked to registration: metadata alert first; human-reviewed summary before external report.</w:t>
      </w:r>
    </w:p>
    <w:p>
      <w:pPr>
        <w:pStyle w:val="Heading1"/>
        <w:keepNext/>
        <w:spacing w:before="200" w:after="80"/>
      </w:pPr>
      <w:r>
        <w:t>8. AI, deterministic rules, collection and human review</w:t>
      </w:r>
    </w:p>
    <w:p>
      <w:pPr>
        <w:pStyle w:val="Heading2"/>
        <w:keepNext/>
        <w:spacing w:before="140" w:after="80"/>
      </w:pPr>
      <w:r>
        <w:t>8.1 Responsibility matrix</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5"/>
              </w:rPr>
              <w:t>Method</w:t>
            </w:r>
          </w:p>
        </w:tc>
        <w:tc>
          <w:tcPr>
            <w:tcW w:type="dxa" w:w="4535"/>
            <w:shd w:fill="17324D"/>
            <w:tcMar>
              <w:top w:w="80" w:type="dxa"/>
              <w:start w:w="70" w:type="dxa"/>
              <w:bottom w:w="80" w:type="dxa"/>
              <w:end w:w="70" w:type="dxa"/>
            </w:tcMar>
            <w:vAlign w:val="center"/>
          </w:tcPr>
          <w:p>
            <w:pPr>
              <w:spacing w:after="0"/>
              <w:jc w:val="left"/>
            </w:pPr>
            <w:r/>
            <w:r>
              <w:rPr>
                <w:rFonts w:ascii="Aptos" w:hAnsi="Aptos"/>
                <w:b/>
                <w:color w:val="FFFFFF"/>
                <w:sz w:val="15"/>
              </w:rPr>
              <w:t>Use</w:t>
            </w:r>
          </w:p>
        </w:tc>
        <w:tc>
          <w:tcPr>
            <w:tcW w:type="dxa" w:w="2778"/>
            <w:shd w:fill="17324D"/>
            <w:tcMar>
              <w:top w:w="80" w:type="dxa"/>
              <w:start w:w="70" w:type="dxa"/>
              <w:bottom w:w="80" w:type="dxa"/>
              <w:end w:w="70" w:type="dxa"/>
            </w:tcMar>
            <w:vAlign w:val="center"/>
          </w:tcPr>
          <w:p>
            <w:pPr>
              <w:spacing w:after="0"/>
              <w:jc w:val="left"/>
            </w:pPr>
            <w:r/>
            <w:r>
              <w:rPr>
                <w:rFonts w:ascii="Aptos" w:hAnsi="Aptos"/>
                <w:b/>
                <w:color w:val="FFFFFF"/>
                <w:sz w:val="15"/>
              </w:rPr>
              <w:t>Boundary</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Deterministic Python</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Date/value normalization, exact diffs, counts, thresholds, freshness, reversal detection, duplicate keys, timeline/report metrics.</w:t>
            </w:r>
          </w:p>
        </w:tc>
        <w:tc>
          <w:tcPr>
            <w:tcW w:type="dxa" w:w="2778"/>
            <w:tcMar>
              <w:top w:w="65" w:type="dxa"/>
              <w:start w:w="65" w:type="dxa"/>
              <w:bottom w:w="65" w:type="dxa"/>
              <w:end w:w="65" w:type="dxa"/>
            </w:tcMar>
            <w:vAlign w:val="top"/>
          </w:tcPr>
          <w:p>
            <w:pPr>
              <w:spacing w:after="0" w:line="240" w:lineRule="auto"/>
            </w:pPr>
            <w:r/>
            <w:r>
              <w:rPr>
                <w:rFonts w:ascii="Aptos" w:hAnsi="Aptos"/>
                <w:color w:val="344054"/>
                <w:sz w:val="15"/>
              </w:rPr>
              <w:t>Never delegate to LLM.</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httpx + HTML parsing</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Fetch supported public HTML with source-specific adapters and conservative rate limits.</w:t>
            </w:r>
          </w:p>
        </w:tc>
        <w:tc>
          <w:tcPr>
            <w:tcW w:type="dxa" w:w="2778"/>
            <w:shd w:fill="F8FAFC"/>
            <w:tcMar>
              <w:top w:w="65" w:type="dxa"/>
              <w:start w:w="65" w:type="dxa"/>
              <w:bottom w:w="65" w:type="dxa"/>
              <w:end w:w="65" w:type="dxa"/>
            </w:tcMar>
            <w:vAlign w:val="top"/>
          </w:tcPr>
          <w:p>
            <w:pPr>
              <w:spacing w:after="0" w:line="240" w:lineRule="auto"/>
            </w:pPr>
            <w:r/>
            <w:r>
              <w:rPr>
                <w:rFonts w:ascii="Aptos" w:hAnsi="Aptos"/>
                <w:color w:val="344054"/>
                <w:sz w:val="15"/>
              </w:rPr>
              <w:t>Default collection path.</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Playwright</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Only when a permitted public page requires JavaScript and no simpler endpoint works.</w:t>
            </w:r>
          </w:p>
        </w:tc>
        <w:tc>
          <w:tcPr>
            <w:tcW w:type="dxa" w:w="2778"/>
            <w:tcMar>
              <w:top w:w="65" w:type="dxa"/>
              <w:start w:w="65" w:type="dxa"/>
              <w:bottom w:w="65" w:type="dxa"/>
              <w:end w:w="65" w:type="dxa"/>
            </w:tcMar>
            <w:vAlign w:val="top"/>
          </w:tcPr>
          <w:p>
            <w:pPr>
              <w:spacing w:after="0" w:line="240" w:lineRule="auto"/>
            </w:pPr>
            <w:r/>
            <w:r>
              <w:rPr>
                <w:rFonts w:ascii="Aptos" w:hAnsi="Aptos"/>
                <w:color w:val="344054"/>
                <w:sz w:val="15"/>
              </w:rPr>
              <w:t>No CAPTCHA bypass; optional adapter fallback.</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PDF extraction</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PyMuPDF/pdfplumber for user-authorised brochures and public permitted documents.</w:t>
            </w:r>
          </w:p>
        </w:tc>
        <w:tc>
          <w:tcPr>
            <w:tcW w:type="dxa" w:w="2778"/>
            <w:shd w:fill="F8FAFC"/>
            <w:tcMar>
              <w:top w:w="65" w:type="dxa"/>
              <w:start w:w="65" w:type="dxa"/>
              <w:bottom w:w="65" w:type="dxa"/>
              <w:end w:w="65" w:type="dxa"/>
            </w:tcMar>
            <w:vAlign w:val="top"/>
          </w:tcPr>
          <w:p>
            <w:pPr>
              <w:spacing w:after="0" w:line="240" w:lineRule="auto"/>
            </w:pPr>
            <w:r/>
            <w:r>
              <w:rPr>
                <w:rFonts w:ascii="Aptos" w:hAnsi="Aptos"/>
                <w:color w:val="344054"/>
                <w:sz w:val="15"/>
              </w:rPr>
              <w:t>Preserve page/coordinates/hash.</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OCR</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Only for user-authorised/scanned documents when extraction fails.</w:t>
            </w:r>
          </w:p>
        </w:tc>
        <w:tc>
          <w:tcPr>
            <w:tcW w:type="dxa" w:w="2778"/>
            <w:tcMar>
              <w:top w:w="65" w:type="dxa"/>
              <w:start w:w="65" w:type="dxa"/>
              <w:bottom w:w="65" w:type="dxa"/>
              <w:end w:w="65" w:type="dxa"/>
            </w:tcMar>
            <w:vAlign w:val="top"/>
          </w:tcPr>
          <w:p>
            <w:pPr>
              <w:spacing w:after="0" w:line="240" w:lineRule="auto"/>
            </w:pPr>
            <w:r/>
            <w:r>
              <w:rPr>
                <w:rFonts w:ascii="Aptos" w:hAnsi="Aptos"/>
                <w:color w:val="344054"/>
                <w:sz w:val="15"/>
              </w:rPr>
              <w:t>Low confidence; review mandatory for key facts.</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LLM</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Schema-constrained extraction of unstructured clauses/claims; plain-language explanation; alias suggestions.</w:t>
            </w:r>
          </w:p>
        </w:tc>
        <w:tc>
          <w:tcPr>
            <w:tcW w:type="dxa" w:w="2778"/>
            <w:shd w:fill="F8FAFC"/>
            <w:tcMar>
              <w:top w:w="65" w:type="dxa"/>
              <w:start w:w="65" w:type="dxa"/>
              <w:bottom w:w="65" w:type="dxa"/>
              <w:end w:w="65" w:type="dxa"/>
            </w:tcMar>
            <w:vAlign w:val="top"/>
          </w:tcPr>
          <w:p>
            <w:pPr>
              <w:spacing w:after="0" w:line="240" w:lineRule="auto"/>
            </w:pPr>
            <w:r/>
            <w:r>
              <w:rPr>
                <w:rFonts w:ascii="Aptos" w:hAnsi="Aptos"/>
                <w:color w:val="344054"/>
                <w:sz w:val="15"/>
              </w:rPr>
              <w:t>Optional and never source of regulated facts.</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Embeddings</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Candidate project/developer alias ranking and near-duplicate document detection.</w:t>
            </w:r>
          </w:p>
        </w:tc>
        <w:tc>
          <w:tcPr>
            <w:tcW w:type="dxa" w:w="2778"/>
            <w:tcMar>
              <w:top w:w="65" w:type="dxa"/>
              <w:start w:w="65" w:type="dxa"/>
              <w:bottom w:w="65" w:type="dxa"/>
              <w:end w:w="65" w:type="dxa"/>
            </w:tcMar>
            <w:vAlign w:val="top"/>
          </w:tcPr>
          <w:p>
            <w:pPr>
              <w:spacing w:after="0" w:line="240" w:lineRule="auto"/>
            </w:pPr>
            <w:r/>
            <w:r>
              <w:rPr>
                <w:rFonts w:ascii="Aptos" w:hAnsi="Aptos"/>
                <w:color w:val="344054"/>
                <w:sz w:val="15"/>
              </w:rPr>
              <w:t>Advisory only; human confirmation for merge.</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Traditional ML</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Not needed for MVP. Consider later only with labelled alert-quality data.</w:t>
            </w:r>
          </w:p>
        </w:tc>
        <w:tc>
          <w:tcPr>
            <w:tcW w:type="dxa" w:w="2778"/>
            <w:shd w:fill="F8FAFC"/>
            <w:tcMar>
              <w:top w:w="65" w:type="dxa"/>
              <w:start w:w="65" w:type="dxa"/>
              <w:bottom w:w="65" w:type="dxa"/>
              <w:end w:w="65" w:type="dxa"/>
            </w:tcMar>
            <w:vAlign w:val="top"/>
          </w:tcPr>
          <w:p>
            <w:pPr>
              <w:spacing w:after="0" w:line="240" w:lineRule="auto"/>
            </w:pPr>
            <w:r/>
            <w:r>
              <w:rPr>
                <w:rFonts w:ascii="Aptos" w:hAnsi="Aptos"/>
                <w:color w:val="344054"/>
                <w:sz w:val="15"/>
              </w:rPr>
              <w:t>Reject premature model training.</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Geographic analysis</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Sector/locality mapping and aggregate counts on reliably geocoded records.</w:t>
            </w:r>
          </w:p>
        </w:tc>
        <w:tc>
          <w:tcPr>
            <w:tcW w:type="dxa" w:w="2778"/>
            <w:tcMar>
              <w:top w:w="65" w:type="dxa"/>
              <w:start w:w="65" w:type="dxa"/>
              <w:bottom w:w="65" w:type="dxa"/>
              <w:end w:w="65" w:type="dxa"/>
            </w:tcMar>
            <w:vAlign w:val="top"/>
          </w:tcPr>
          <w:p>
            <w:pPr>
              <w:spacing w:after="0" w:line="240" w:lineRule="auto"/>
            </w:pPr>
            <w:r/>
            <w:r>
              <w:rPr>
                <w:rFonts w:ascii="Aptos" w:hAnsi="Aptos"/>
                <w:color w:val="344054"/>
                <w:sz w:val="15"/>
              </w:rPr>
              <w:t>Minimal MVP; V2 expansion.</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Human review</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Identity conflicts, high-impact date/status changes, legal notices, brochure mismatch, OCR and client-facing report approval.</w:t>
            </w:r>
          </w:p>
        </w:tc>
        <w:tc>
          <w:tcPr>
            <w:tcW w:type="dxa" w:w="2778"/>
            <w:shd w:fill="F8FAFC"/>
            <w:tcMar>
              <w:top w:w="65" w:type="dxa"/>
              <w:start w:w="65" w:type="dxa"/>
              <w:bottom w:w="65" w:type="dxa"/>
              <w:end w:w="65" w:type="dxa"/>
            </w:tcMar>
            <w:vAlign w:val="top"/>
          </w:tcPr>
          <w:p>
            <w:pPr>
              <w:spacing w:after="0" w:line="240" w:lineRule="auto"/>
            </w:pPr>
            <w:r/>
            <w:r>
              <w:rPr>
                <w:rFonts w:ascii="Aptos" w:hAnsi="Aptos"/>
                <w:color w:val="344054"/>
                <w:sz w:val="15"/>
              </w:rPr>
              <w:t>Mandatory safety layer.</w:t>
            </w:r>
          </w:p>
        </w:tc>
      </w:tr>
    </w:tbl>
    <w:p>
      <w:pPr>
        <w:spacing w:after="0"/>
      </w:pPr>
    </w:p>
    <w:p>
      <w:pPr>
        <w:pStyle w:val="Heading2"/>
        <w:keepNext/>
        <w:spacing w:before="140" w:after="80"/>
      </w:pPr>
      <w:r>
        <w:t>8.2 Fact separation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5"/>
              </w:rPr>
              <w:t>Layer</w:t>
            </w:r>
          </w:p>
        </w:tc>
        <w:tc>
          <w:tcPr>
            <w:tcW w:type="dxa" w:w="3515"/>
            <w:shd w:fill="17324D"/>
            <w:tcMar>
              <w:top w:w="80" w:type="dxa"/>
              <w:start w:w="70" w:type="dxa"/>
              <w:bottom w:w="80" w:type="dxa"/>
              <w:end w:w="70" w:type="dxa"/>
            </w:tcMar>
            <w:vAlign w:val="center"/>
          </w:tcPr>
          <w:p>
            <w:pPr>
              <w:spacing w:after="0"/>
              <w:jc w:val="left"/>
            </w:pPr>
            <w:r/>
            <w:r>
              <w:rPr>
                <w:rFonts w:ascii="Aptos" w:hAnsi="Aptos"/>
                <w:b/>
                <w:color w:val="FFFFFF"/>
                <w:sz w:val="15"/>
              </w:rPr>
              <w:t>Stored object</w:t>
            </w:r>
          </w:p>
        </w:tc>
        <w:tc>
          <w:tcPr>
            <w:tcW w:type="dxa" w:w="4139"/>
            <w:shd w:fill="17324D"/>
            <w:tcMar>
              <w:top w:w="80" w:type="dxa"/>
              <w:start w:w="70" w:type="dxa"/>
              <w:bottom w:w="80" w:type="dxa"/>
              <w:end w:w="70" w:type="dxa"/>
            </w:tcMar>
            <w:vAlign w:val="center"/>
          </w:tcPr>
          <w:p>
            <w:pPr>
              <w:spacing w:after="0"/>
              <w:jc w:val="left"/>
            </w:pPr>
            <w:r/>
            <w:r>
              <w:rPr>
                <w:rFonts w:ascii="Aptos" w:hAnsi="Aptos"/>
                <w:b/>
                <w:color w:val="FFFFFF"/>
                <w:sz w:val="15"/>
              </w:rPr>
              <w:t>Rule</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Raw source</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5"/>
              </w:rPr>
              <w:t>HTML/PDF metadata, content hash, permitted excerpt/screenshot and fetch status.</w:t>
            </w:r>
          </w:p>
        </w:tc>
        <w:tc>
          <w:tcPr>
            <w:tcW w:type="dxa" w:w="4139"/>
            <w:tcMar>
              <w:top w:w="65" w:type="dxa"/>
              <w:start w:w="65" w:type="dxa"/>
              <w:bottom w:w="65" w:type="dxa"/>
              <w:end w:w="65" w:type="dxa"/>
            </w:tcMar>
            <w:vAlign w:val="top"/>
          </w:tcPr>
          <w:p>
            <w:pPr>
              <w:spacing w:after="0" w:line="240" w:lineRule="auto"/>
            </w:pPr>
            <w:r/>
            <w:r>
              <w:rPr>
                <w:rFonts w:ascii="Aptos" w:hAnsi="Aptos"/>
                <w:color w:val="344054"/>
                <w:sz w:val="15"/>
              </w:rPr>
              <w:t>Immutable; access-controlled; subject to source policy.</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Source fact</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5"/>
              </w:rPr>
              <w:t>Raw label/value/page/selector, extraction method and confidence.</w:t>
            </w:r>
          </w:p>
        </w:tc>
        <w:tc>
          <w:tcPr>
            <w:tcW w:type="dxa" w:w="4139"/>
            <w:shd w:fill="F8FAFC"/>
            <w:tcMar>
              <w:top w:w="65" w:type="dxa"/>
              <w:start w:w="65" w:type="dxa"/>
              <w:bottom w:w="65" w:type="dxa"/>
              <w:end w:w="65" w:type="dxa"/>
            </w:tcMar>
            <w:vAlign w:val="top"/>
          </w:tcPr>
          <w:p>
            <w:pPr>
              <w:spacing w:after="0" w:line="240" w:lineRule="auto"/>
            </w:pPr>
            <w:r/>
            <w:r>
              <w:rPr>
                <w:rFonts w:ascii="Aptos" w:hAnsi="Aptos"/>
                <w:color w:val="344054"/>
                <w:sz w:val="15"/>
              </w:rPr>
              <w:t>Never overwritten; tied to one snapshot.</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Canonical fact</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5"/>
              </w:rPr>
              <w:t>Normalised field and unit/date representation.</w:t>
            </w:r>
          </w:p>
        </w:tc>
        <w:tc>
          <w:tcPr>
            <w:tcW w:type="dxa" w:w="4139"/>
            <w:tcMar>
              <w:top w:w="65" w:type="dxa"/>
              <w:start w:w="65" w:type="dxa"/>
              <w:bottom w:w="65" w:type="dxa"/>
              <w:end w:w="65" w:type="dxa"/>
            </w:tcMar>
            <w:vAlign w:val="top"/>
          </w:tcPr>
          <w:p>
            <w:pPr>
              <w:spacing w:after="0" w:line="240" w:lineRule="auto"/>
            </w:pPr>
            <w:r/>
            <w:r>
              <w:rPr>
                <w:rFonts w:ascii="Aptos" w:hAnsi="Aptos"/>
                <w:color w:val="344054"/>
                <w:sz w:val="15"/>
              </w:rPr>
              <w:t>Derived deterministically or review-confirmed; provenance retained.</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Claim</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5"/>
              </w:rPr>
              <w:t>Marketing/user document statement.</w:t>
            </w:r>
          </w:p>
        </w:tc>
        <w:tc>
          <w:tcPr>
            <w:tcW w:type="dxa" w:w="4139"/>
            <w:shd w:fill="F8FAFC"/>
            <w:tcMar>
              <w:top w:w="65" w:type="dxa"/>
              <w:start w:w="65" w:type="dxa"/>
              <w:bottom w:w="65" w:type="dxa"/>
              <w:end w:w="65" w:type="dxa"/>
            </w:tcMar>
            <w:vAlign w:val="top"/>
          </w:tcPr>
          <w:p>
            <w:pPr>
              <w:spacing w:after="0" w:line="240" w:lineRule="auto"/>
            </w:pPr>
            <w:r/>
            <w:r>
              <w:rPr>
                <w:rFonts w:ascii="Aptos" w:hAnsi="Aptos"/>
                <w:color w:val="344054"/>
                <w:sz w:val="15"/>
              </w:rPr>
              <w:t>Never treated as official fact.</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Change</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5"/>
              </w:rPr>
              <w:t>Comparison of old/new canonical facts.</w:t>
            </w:r>
          </w:p>
        </w:tc>
        <w:tc>
          <w:tcPr>
            <w:tcW w:type="dxa" w:w="4139"/>
            <w:tcMar>
              <w:top w:w="65" w:type="dxa"/>
              <w:start w:w="65" w:type="dxa"/>
              <w:bottom w:w="65" w:type="dxa"/>
              <w:end w:w="65" w:type="dxa"/>
            </w:tcMar>
            <w:vAlign w:val="top"/>
          </w:tcPr>
          <w:p>
            <w:pPr>
              <w:spacing w:after="0" w:line="240" w:lineRule="auto"/>
            </w:pPr>
            <w:r/>
            <w:r>
              <w:rPr>
                <w:rFonts w:ascii="Aptos" w:hAnsi="Aptos"/>
                <w:color w:val="344054"/>
                <w:sz w:val="15"/>
              </w:rPr>
              <w:t>References both snapshots.</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Signal</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5"/>
              </w:rPr>
              <w:t>Rule interpretation of one or more changes/status events.</w:t>
            </w:r>
          </w:p>
        </w:tc>
        <w:tc>
          <w:tcPr>
            <w:tcW w:type="dxa" w:w="4139"/>
            <w:shd w:fill="F8FAFC"/>
            <w:tcMar>
              <w:top w:w="65" w:type="dxa"/>
              <w:start w:w="65" w:type="dxa"/>
              <w:bottom w:w="65" w:type="dxa"/>
              <w:end w:w="65" w:type="dxa"/>
            </w:tcMar>
            <w:vAlign w:val="top"/>
          </w:tcPr>
          <w:p>
            <w:pPr>
              <w:spacing w:after="0" w:line="240" w:lineRule="auto"/>
            </w:pPr>
            <w:r/>
            <w:r>
              <w:rPr>
                <w:rFonts w:ascii="Aptos" w:hAnsi="Aptos"/>
                <w:color w:val="344054"/>
                <w:sz w:val="15"/>
              </w:rPr>
              <w:t>Transparent components; not a prediction.</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AI summary</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5"/>
              </w:rPr>
              <w:t>Plain-language explanation.</w:t>
            </w:r>
          </w:p>
        </w:tc>
        <w:tc>
          <w:tcPr>
            <w:tcW w:type="dxa" w:w="4139"/>
            <w:tcMar>
              <w:top w:w="65" w:type="dxa"/>
              <w:start w:w="65" w:type="dxa"/>
              <w:bottom w:w="65" w:type="dxa"/>
              <w:end w:w="65" w:type="dxa"/>
            </w:tcMar>
            <w:vAlign w:val="top"/>
          </w:tcPr>
          <w:p>
            <w:pPr>
              <w:spacing w:after="0" w:line="240" w:lineRule="auto"/>
            </w:pPr>
            <w:r/>
            <w:r>
              <w:rPr>
                <w:rFonts w:ascii="Aptos" w:hAnsi="Aptos"/>
                <w:color w:val="344054"/>
                <w:sz w:val="15"/>
              </w:rPr>
              <w:t>Clearly labelled derived text; regenerable; cannot change facts.</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User correction</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5"/>
              </w:rPr>
              <w:t>Reviewed correction or entity merge decision.</w:t>
            </w:r>
          </w:p>
        </w:tc>
        <w:tc>
          <w:tcPr>
            <w:tcW w:type="dxa" w:w="4139"/>
            <w:shd w:fill="F8FAFC"/>
            <w:tcMar>
              <w:top w:w="65" w:type="dxa"/>
              <w:start w:w="65" w:type="dxa"/>
              <w:bottom w:w="65" w:type="dxa"/>
              <w:end w:w="65" w:type="dxa"/>
            </w:tcMar>
            <w:vAlign w:val="top"/>
          </w:tcPr>
          <w:p>
            <w:pPr>
              <w:spacing w:after="0" w:line="240" w:lineRule="auto"/>
            </w:pPr>
            <w:r/>
            <w:r>
              <w:rPr>
                <w:rFonts w:ascii="Aptos" w:hAnsi="Aptos"/>
                <w:color w:val="344054"/>
                <w:sz w:val="15"/>
              </w:rPr>
              <w:t>Audited, reversible, never edits historical snapshot.</w:t>
            </w:r>
          </w:p>
        </w:tc>
      </w:tr>
    </w:tbl>
    <w:p>
      <w:pPr>
        <w:spacing w:after="0"/>
      </w:pPr>
    </w:p>
    <w:p>
      <w:pPr>
        <w:pStyle w:val="Heading2"/>
        <w:keepNext/>
        <w:spacing w:before="140" w:after="80"/>
      </w:pPr>
      <w:r>
        <w:t>8.3 Confidence system</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5"/>
              </w:rPr>
              <w:t>Band</w:t>
            </w:r>
          </w:p>
        </w:tc>
        <w:tc>
          <w:tcPr>
            <w:tcW w:type="dxa" w:w="4535"/>
            <w:shd w:fill="17324D"/>
            <w:tcMar>
              <w:top w:w="80" w:type="dxa"/>
              <w:start w:w="70" w:type="dxa"/>
              <w:bottom w:w="80" w:type="dxa"/>
              <w:end w:w="70" w:type="dxa"/>
            </w:tcMar>
            <w:vAlign w:val="center"/>
          </w:tcPr>
          <w:p>
            <w:pPr>
              <w:spacing w:after="0"/>
              <w:jc w:val="left"/>
            </w:pPr>
            <w:r/>
            <w:r>
              <w:rPr>
                <w:rFonts w:ascii="Aptos" w:hAnsi="Aptos"/>
                <w:b/>
                <w:color w:val="FFFFFF"/>
                <w:sz w:val="15"/>
              </w:rPr>
              <w:t>Evidence requirement</w:t>
            </w:r>
          </w:p>
        </w:tc>
        <w:tc>
          <w:tcPr>
            <w:tcW w:type="dxa" w:w="3005"/>
            <w:shd w:fill="17324D"/>
            <w:tcMar>
              <w:top w:w="80" w:type="dxa"/>
              <w:start w:w="70" w:type="dxa"/>
              <w:bottom w:w="80" w:type="dxa"/>
              <w:end w:w="70" w:type="dxa"/>
            </w:tcMar>
            <w:vAlign w:val="center"/>
          </w:tcPr>
          <w:p>
            <w:pPr>
              <w:spacing w:after="0"/>
              <w:jc w:val="left"/>
            </w:pPr>
            <w:r/>
            <w:r>
              <w:rPr>
                <w:rFonts w:ascii="Aptos" w:hAnsi="Aptos"/>
                <w:b/>
                <w:color w:val="FFFFFF"/>
                <w:sz w:val="15"/>
              </w:rPr>
              <w:t>System behaviour</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Confirmed</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Exact official registration identity; supported field extracted deterministically; evidence captured; no conflicting higher-priority source.</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May publish standard alert; high-impact fields still may require approval policy.</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High confidence</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Official source and strong parser/identity match, but one validation check is unavailable.</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Publish normal alert; human review recommended for client export.</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Probable</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Two corroborating non-official sources or one official low-structure extraction.</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Internal alert only; review before report.</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Needs review</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Ambiguous entity, OCR/LLM extraction, value removal or high-impact unexpected change.</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No external alert until reviewed.</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Unverified</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No suitable public/authorised evidence.</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Keep null/claim; no factual assertion.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Conflicting sources</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Two current sources disagree on a material field.</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Show both; no automatic winner except display precedence.</w:t>
            </w:r>
          </w:p>
        </w:tc>
      </w:tr>
    </w:tbl>
    <w:p>
      <w:pPr>
        <w:spacing w:after="0"/>
      </w:pPr>
    </w:p>
    <w:p>
      <w:pPr>
        <w:pStyle w:val="Heading2"/>
        <w:keepNext/>
        <w:spacing w:before="140" w:after="80"/>
      </w:pPr>
      <w:r>
        <w:t>8.4 Separate confidence dimensions</w:t>
      </w:r>
    </w:p>
    <w:p>
      <w:pPr>
        <w:pStyle w:val="ListBullet"/>
        <w:spacing w:after="30" w:line="247" w:lineRule="auto"/>
        <w:ind w:left="360" w:hanging="173"/>
      </w:pPr>
      <w:r>
        <w:rPr>
          <w:rFonts w:ascii="Aptos" w:hAnsi="Aptos"/>
          <w:color w:val="344054"/>
          <w:sz w:val="18"/>
        </w:rPr>
        <w:t>Source reliability: official regulator &gt; official developer for claims &gt; licensed data &gt; reputable news &gt; unknown aggregator.</w:t>
      </w:r>
    </w:p>
    <w:p>
      <w:pPr>
        <w:pStyle w:val="ListBullet"/>
        <w:spacing w:after="30" w:line="247" w:lineRule="auto"/>
        <w:ind w:left="360" w:hanging="173"/>
      </w:pPr>
      <w:r>
        <w:rPr>
          <w:rFonts w:ascii="Aptos" w:hAnsi="Aptos"/>
          <w:color w:val="344054"/>
          <w:sz w:val="18"/>
        </w:rPr>
        <w:t>Access completeness: full page/document captured, partial page, blocked, stale or unavailable.</w:t>
      </w:r>
    </w:p>
    <w:p>
      <w:pPr>
        <w:pStyle w:val="ListBullet"/>
        <w:spacing w:after="30" w:line="247" w:lineRule="auto"/>
        <w:ind w:left="360" w:hanging="173"/>
      </w:pPr>
      <w:r>
        <w:rPr>
          <w:rFonts w:ascii="Aptos" w:hAnsi="Aptos"/>
          <w:color w:val="344054"/>
          <w:sz w:val="18"/>
        </w:rPr>
        <w:t>Identity confidence: registration exact match, strong alias match, probable, ambiguous.</w:t>
      </w:r>
    </w:p>
    <w:p>
      <w:pPr>
        <w:pStyle w:val="ListBullet"/>
        <w:spacing w:after="30" w:line="247" w:lineRule="auto"/>
        <w:ind w:left="360" w:hanging="173"/>
      </w:pPr>
      <w:r>
        <w:rPr>
          <w:rFonts w:ascii="Aptos" w:hAnsi="Aptos"/>
          <w:color w:val="344054"/>
          <w:sz w:val="18"/>
        </w:rPr>
        <w:t>Extraction confidence: deterministic selector/schema, robust text parser, OCR/LLM, manual confirmation.</w:t>
      </w:r>
    </w:p>
    <w:p>
      <w:pPr>
        <w:pStyle w:val="ListBullet"/>
        <w:spacing w:after="30" w:line="247" w:lineRule="auto"/>
        <w:ind w:left="360" w:hanging="173"/>
      </w:pPr>
      <w:r>
        <w:rPr>
          <w:rFonts w:ascii="Aptos" w:hAnsi="Aptos"/>
          <w:color w:val="344054"/>
          <w:sz w:val="18"/>
        </w:rPr>
        <w:t>Change confidence: both snapshots comparable, parser-version consistency, source conflict and removal semantics.</w:t>
      </w:r>
    </w:p>
    <w:p>
      <w:pPr>
        <w:pStyle w:val="ListBullet"/>
        <w:spacing w:after="30" w:line="247" w:lineRule="auto"/>
        <w:ind w:left="360" w:hanging="173"/>
      </w:pPr>
      <w:r>
        <w:rPr>
          <w:rFonts w:ascii="Aptos" w:hAnsi="Aptos"/>
          <w:color w:val="344054"/>
          <w:sz w:val="18"/>
        </w:rPr>
        <w:t>Freshness: source-reported date, capture date, last successful check and expected update cadence.</w:t>
      </w:r>
    </w:p>
    <w:p>
      <w:pPr>
        <w:pStyle w:val="ListBullet"/>
        <w:spacing w:after="30" w:line="247" w:lineRule="auto"/>
        <w:ind w:left="360" w:hanging="173"/>
      </w:pPr>
      <w:r>
        <w:rPr>
          <w:rFonts w:ascii="Aptos" w:hAnsi="Aptos"/>
          <w:color w:val="344054"/>
          <w:sz w:val="18"/>
        </w:rPr>
        <w:t>Severity: impact policy based on field and magnitude; severity is not confidence.</w:t>
      </w:r>
    </w:p>
    <w:p>
      <w:pPr>
        <w:pStyle w:val="Heading1"/>
        <w:keepNext/>
        <w:spacing w:before="200" w:after="80"/>
      </w:pPr>
      <w:r>
        <w:t>9. Legal, ethical, privacy and source-safety rules</w:t>
      </w:r>
    </w:p>
    <w:p>
      <w:pPr>
        <w:keepNext w:val="0"/>
        <w:spacing w:after="60" w:line="259" w:lineRule="auto"/>
      </w:pPr>
      <w:r>
        <w:rPr>
          <w:rFonts w:ascii="Aptos" w:hAnsi="Aptos"/>
          <w:color w:val="344054"/>
          <w:sz w:val="19"/>
        </w:rPr>
        <w:t>RERA’s statutory purpose includes sector transparency and consumer protection, but public availability does not automatically grant unrestricted automated access or republication rights. Each source requires terms/robots/access review, conservative collection and a documented evidence-minimisation policy. [S07] [S39] [S40]</w:t>
      </w:r>
    </w:p>
    <w:p>
      <w:pPr>
        <w:keepNext w:val="0"/>
        <w:spacing w:after="60" w:line="259" w:lineRule="auto"/>
      </w:pPr>
      <w:r>
        <w:rPr>
          <w:rFonts w:ascii="Aptos" w:hAnsi="Aptos"/>
          <w:color w:val="344054"/>
          <w:sz w:val="19"/>
        </w:rPr>
        <w:t>The service will process user accounts, organisation data, uploads and audit logs, so the DPDP Act and notified Rules must be reflected through purpose limitation, clear notices, access controls, retention/deletion and incident procedures. [S37] [S38] [S44]</w:t>
      </w:r>
    </w:p>
    <w:p>
      <w:pPr>
        <w:pStyle w:val="Heading2"/>
        <w:keepNext/>
        <w:spacing w:before="140" w:after="80"/>
      </w:pPr>
      <w:r>
        <w:t>9.1 Mandatory source rules</w:t>
      </w:r>
    </w:p>
    <w:p>
      <w:pPr>
        <w:pStyle w:val="ListNumber"/>
        <w:spacing w:after="40"/>
      </w:pPr>
      <w:r>
        <w:rPr>
          <w:rFonts w:ascii="Aptos" w:hAnsi="Aptos"/>
          <w:color w:val="344054"/>
          <w:sz w:val="18"/>
        </w:rPr>
        <w:t>Use only public pages permitted for access, user-authorised uploads/URLs, or properly licensed data.</w:t>
      </w:r>
    </w:p>
    <w:p>
      <w:pPr>
        <w:pStyle w:val="ListNumber"/>
        <w:spacing w:after="40"/>
      </w:pPr>
      <w:r>
        <w:rPr>
          <w:rFonts w:ascii="Aptos" w:hAnsi="Aptos"/>
          <w:color w:val="344054"/>
          <w:sz w:val="18"/>
        </w:rPr>
        <w:t>Do not bypass CAPTCHA, authentication, paywalls, rate controls or technical restrictions.</w:t>
      </w:r>
    </w:p>
    <w:p>
      <w:pPr>
        <w:pStyle w:val="ListNumber"/>
        <w:spacing w:after="40"/>
      </w:pPr>
      <w:r>
        <w:rPr>
          <w:rFonts w:ascii="Aptos" w:hAnsi="Aptos"/>
          <w:color w:val="344054"/>
          <w:sz w:val="18"/>
        </w:rPr>
        <w:t>Review source terms and robots directives before enabling an adapter; legal review overrides technical feasibility.</w:t>
      </w:r>
    </w:p>
    <w:p>
      <w:pPr>
        <w:pStyle w:val="ListNumber"/>
        <w:spacing w:after="40"/>
      </w:pPr>
      <w:r>
        <w:rPr>
          <w:rFonts w:ascii="Aptos" w:hAnsi="Aptos"/>
          <w:color w:val="344054"/>
          <w:sz w:val="18"/>
        </w:rPr>
        <w:t>Rate-limit, cache and use conditional requests where possible; identify the service where appropriate.</w:t>
      </w:r>
    </w:p>
    <w:p>
      <w:pPr>
        <w:pStyle w:val="ListNumber"/>
        <w:spacing w:after="40"/>
      </w:pPr>
      <w:r>
        <w:rPr>
          <w:rFonts w:ascii="Aptos" w:hAnsi="Aptos"/>
          <w:color w:val="344054"/>
          <w:sz w:val="18"/>
        </w:rPr>
        <w:t>Store structured facts, hashes, timestamps and limited evidence; avoid unnecessary full-document republication.</w:t>
      </w:r>
    </w:p>
    <w:p>
      <w:pPr>
        <w:pStyle w:val="ListNumber"/>
        <w:spacing w:after="40"/>
      </w:pPr>
      <w:r>
        <w:rPr>
          <w:rFonts w:ascii="Aptos" w:hAnsi="Aptos"/>
          <w:color w:val="344054"/>
          <w:sz w:val="18"/>
        </w:rPr>
        <w:t>Distinguish official facts, developer claims, third-party context and user notes in the data model and UI.</w:t>
      </w:r>
    </w:p>
    <w:p>
      <w:pPr>
        <w:pStyle w:val="ListNumber"/>
        <w:spacing w:after="40"/>
      </w:pPr>
      <w:r>
        <w:rPr>
          <w:rFonts w:ascii="Aptos" w:hAnsi="Aptos"/>
          <w:color w:val="344054"/>
          <w:sz w:val="18"/>
        </w:rPr>
        <w:t>Do not label a project/developer fraudulent, unsafe or non-compliant beyond exact official wording.</w:t>
      </w:r>
    </w:p>
    <w:p>
      <w:pPr>
        <w:pStyle w:val="ListNumber"/>
        <w:spacing w:after="40"/>
      </w:pPr>
      <w:r>
        <w:rPr>
          <w:rFonts w:ascii="Aptos" w:hAnsi="Aptos"/>
          <w:color w:val="344054"/>
          <w:sz w:val="18"/>
        </w:rPr>
        <w:t>Do not guarantee completion, title, approvals, price, investment returns or legal status.</w:t>
      </w:r>
    </w:p>
    <w:p>
      <w:pPr>
        <w:pStyle w:val="ListNumber"/>
        <w:spacing w:after="40"/>
      </w:pPr>
      <w:r>
        <w:rPr>
          <w:rFonts w:ascii="Aptos" w:hAnsi="Aptos"/>
          <w:color w:val="344054"/>
          <w:sz w:val="18"/>
        </w:rPr>
        <w:t>Provide a correction/dispute path; preserve reviewed corrections and source history.</w:t>
      </w:r>
    </w:p>
    <w:p>
      <w:pPr>
        <w:pStyle w:val="ListNumber"/>
        <w:spacing w:after="40"/>
      </w:pPr>
      <w:r>
        <w:rPr>
          <w:rFonts w:ascii="Aptos" w:hAnsi="Aptos"/>
          <w:color w:val="344054"/>
          <w:sz w:val="18"/>
        </w:rPr>
        <w:t>Require human approval before high-impact external reports or public sharing.</w:t>
      </w:r>
    </w:p>
    <w:p>
      <w:pPr>
        <w:pStyle w:val="Heading2"/>
        <w:keepNext/>
        <w:spacing w:before="140" w:after="80"/>
      </w:pPr>
      <w:r>
        <w:t>9.2 Privacy and retention baseline</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5"/>
              </w:rPr>
              <w:t>Data</w:t>
            </w:r>
          </w:p>
        </w:tc>
        <w:tc>
          <w:tcPr>
            <w:tcW w:type="dxa" w:w="3402"/>
            <w:shd w:fill="17324D"/>
            <w:tcMar>
              <w:top w:w="80" w:type="dxa"/>
              <w:start w:w="70" w:type="dxa"/>
              <w:bottom w:w="80" w:type="dxa"/>
              <w:end w:w="70" w:type="dxa"/>
            </w:tcMar>
            <w:vAlign w:val="center"/>
          </w:tcPr>
          <w:p>
            <w:pPr>
              <w:spacing w:after="0"/>
              <w:jc w:val="left"/>
            </w:pPr>
            <w:r/>
            <w:r>
              <w:rPr>
                <w:rFonts w:ascii="Aptos" w:hAnsi="Aptos"/>
                <w:b/>
                <w:color w:val="FFFFFF"/>
                <w:sz w:val="15"/>
              </w:rPr>
              <w:t>Default rule</w:t>
            </w:r>
          </w:p>
        </w:tc>
        <w:tc>
          <w:tcPr>
            <w:tcW w:type="dxa" w:w="1984"/>
            <w:shd w:fill="17324D"/>
            <w:tcMar>
              <w:top w:w="80" w:type="dxa"/>
              <w:start w:w="70" w:type="dxa"/>
              <w:bottom w:w="80" w:type="dxa"/>
              <w:end w:w="70" w:type="dxa"/>
            </w:tcMar>
            <w:vAlign w:val="center"/>
          </w:tcPr>
          <w:p>
            <w:pPr>
              <w:spacing w:after="0"/>
              <w:jc w:val="left"/>
            </w:pPr>
            <w:r/>
            <w:r>
              <w:rPr>
                <w:rFonts w:ascii="Aptos" w:hAnsi="Aptos"/>
                <w:b/>
                <w:color w:val="FFFFFF"/>
                <w:sz w:val="15"/>
              </w:rPr>
              <w:t>Retention hypothesis</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5"/>
              </w:rPr>
              <w:t>Security</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Account/organisation</w:t>
            </w:r>
          </w:p>
        </w:tc>
        <w:tc>
          <w:tcPr>
            <w:tcW w:type="dxa" w:w="3402"/>
            <w:tcMar>
              <w:top w:w="65" w:type="dxa"/>
              <w:start w:w="65" w:type="dxa"/>
              <w:bottom w:w="65" w:type="dxa"/>
              <w:end w:w="65" w:type="dxa"/>
            </w:tcMar>
            <w:vAlign w:val="top"/>
          </w:tcPr>
          <w:p>
            <w:pPr>
              <w:spacing w:after="0" w:line="240" w:lineRule="auto"/>
            </w:pPr>
            <w:r/>
            <w:r>
              <w:rPr>
                <w:rFonts w:ascii="Aptos" w:hAnsi="Aptos"/>
                <w:color w:val="344054"/>
                <w:sz w:val="15"/>
              </w:rPr>
              <w:t>Collect minimum name/email/role needed for service.</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5"/>
              </w:rPr>
              <w:t>Account life + 30 days after deletion request unless required for security/legal.</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Hashed passwords or external auth; MFA later; tenant isolation.</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Watchlists/project notes</w:t>
            </w:r>
          </w:p>
        </w:tc>
        <w:tc>
          <w:tcPr>
            <w:tcW w:type="dxa" w:w="3402"/>
            <w:shd w:fill="F8FAFC"/>
            <w:tcMar>
              <w:top w:w="65" w:type="dxa"/>
              <w:start w:w="65" w:type="dxa"/>
              <w:bottom w:w="65" w:type="dxa"/>
              <w:end w:w="65" w:type="dxa"/>
            </w:tcMar>
            <w:vAlign w:val="top"/>
          </w:tcPr>
          <w:p>
            <w:pPr>
              <w:spacing w:after="0" w:line="240" w:lineRule="auto"/>
            </w:pPr>
            <w:r/>
            <w:r>
              <w:rPr>
                <w:rFonts w:ascii="Aptos" w:hAnsi="Aptos"/>
                <w:color w:val="344054"/>
                <w:sz w:val="15"/>
              </w:rPr>
              <w:t>Private organisation data.</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5"/>
              </w:rPr>
              <w:t>Until deletion; soft-delete 30 days then purge.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Row-level tenant checks; encrypted transport/storage.</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User uploads</w:t>
            </w:r>
          </w:p>
        </w:tc>
        <w:tc>
          <w:tcPr>
            <w:tcW w:type="dxa" w:w="3402"/>
            <w:tcMar>
              <w:top w:w="65" w:type="dxa"/>
              <w:start w:w="65" w:type="dxa"/>
              <w:bottom w:w="65" w:type="dxa"/>
              <w:end w:w="65" w:type="dxa"/>
            </w:tcMar>
            <w:vAlign w:val="top"/>
          </w:tcPr>
          <w:p>
            <w:pPr>
              <w:spacing w:after="0" w:line="240" w:lineRule="auto"/>
            </w:pPr>
            <w:r/>
            <w:r>
              <w:rPr>
                <w:rFonts w:ascii="Aptos" w:hAnsi="Aptos"/>
                <w:color w:val="344054"/>
                <w:sz w:val="15"/>
              </w:rPr>
              <w:t>Require rights attestation and purpose notice.</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5"/>
              </w:rPr>
              <w:t>Original 90 days after last use by default; configurable; extraction retained only if needed.</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Object-storage encryption, signed URLs, malware/type/size checks.</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Public snapshots</w:t>
            </w:r>
          </w:p>
        </w:tc>
        <w:tc>
          <w:tcPr>
            <w:tcW w:type="dxa" w:w="3402"/>
            <w:shd w:fill="F8FAFC"/>
            <w:tcMar>
              <w:top w:w="65" w:type="dxa"/>
              <w:start w:w="65" w:type="dxa"/>
              <w:bottom w:w="65" w:type="dxa"/>
              <w:end w:w="65" w:type="dxa"/>
            </w:tcMar>
            <w:vAlign w:val="top"/>
          </w:tcPr>
          <w:p>
            <w:pPr>
              <w:spacing w:after="0" w:line="240" w:lineRule="auto"/>
            </w:pPr>
            <w:r/>
            <w:r>
              <w:rPr>
                <w:rFonts w:ascii="Aptos" w:hAnsi="Aptos"/>
                <w:color w:val="344054"/>
                <w:sz w:val="15"/>
              </w:rPr>
              <w:t>Store only as permitted; prefer hash/structured facts/limited evidence.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5"/>
              </w:rPr>
              <w:t>12–24 months for pilot, source-policy dependent.</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Immutable IDs, access logs, encrypted backups.</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5"/>
              </w:rPr>
              <w:t>Audit/security logs</w:t>
            </w:r>
          </w:p>
        </w:tc>
        <w:tc>
          <w:tcPr>
            <w:tcW w:type="dxa" w:w="3402"/>
            <w:tcMar>
              <w:top w:w="65" w:type="dxa"/>
              <w:start w:w="65" w:type="dxa"/>
              <w:bottom w:w="65" w:type="dxa"/>
              <w:end w:w="65" w:type="dxa"/>
            </w:tcMar>
            <w:vAlign w:val="top"/>
          </w:tcPr>
          <w:p>
            <w:pPr>
              <w:spacing w:after="0" w:line="240" w:lineRule="auto"/>
            </w:pPr>
            <w:r/>
            <w:r>
              <w:rPr>
                <w:rFonts w:ascii="Aptos" w:hAnsi="Aptos"/>
                <w:color w:val="344054"/>
                <w:sz w:val="15"/>
              </w:rPr>
              <w:t>Pseudonymise where practical.</w:t>
            </w:r>
          </w:p>
        </w:tc>
        <w:tc>
          <w:tcPr>
            <w:tcW w:type="dxa" w:w="1984"/>
            <w:tcMar>
              <w:top w:w="65" w:type="dxa"/>
              <w:start w:w="65" w:type="dxa"/>
              <w:bottom w:w="65" w:type="dxa"/>
              <w:end w:w="65" w:type="dxa"/>
            </w:tcMar>
            <w:vAlign w:val="top"/>
          </w:tcPr>
          <w:p>
            <w:pPr>
              <w:spacing w:after="0" w:line="240" w:lineRule="auto"/>
            </w:pPr>
            <w:r/>
            <w:r>
              <w:rPr>
                <w:rFonts w:ascii="Aptos" w:hAnsi="Aptos"/>
                <w:color w:val="344054"/>
                <w:sz w:val="15"/>
              </w:rPr>
              <w:t>180–365 days.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5"/>
              </w:rPr>
              <w:t>Restricted admin access; tamper-evident append model.</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5"/>
              </w:rPr>
              <w:t>LLM payloads</w:t>
            </w:r>
          </w:p>
        </w:tc>
        <w:tc>
          <w:tcPr>
            <w:tcW w:type="dxa" w:w="3402"/>
            <w:shd w:fill="F8FAFC"/>
            <w:tcMar>
              <w:top w:w="65" w:type="dxa"/>
              <w:start w:w="65" w:type="dxa"/>
              <w:bottom w:w="65" w:type="dxa"/>
              <w:end w:w="65" w:type="dxa"/>
            </w:tcMar>
            <w:vAlign w:val="top"/>
          </w:tcPr>
          <w:p>
            <w:pPr>
              <w:spacing w:after="0" w:line="240" w:lineRule="auto"/>
            </w:pPr>
            <w:r/>
            <w:r>
              <w:rPr>
                <w:rFonts w:ascii="Aptos" w:hAnsi="Aptos"/>
                <w:color w:val="344054"/>
                <w:sz w:val="15"/>
              </w:rPr>
              <w:t>Send only required text; enterprise/no-training settings where available.</w:t>
            </w:r>
          </w:p>
        </w:tc>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5"/>
              </w:rPr>
              <w:t>Provider retention disabled where supported; no raw document by default.</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5"/>
              </w:rPr>
              <w:t>Redaction and provider allowlist.</w:t>
            </w:r>
          </w:p>
        </w:tc>
      </w:tr>
    </w:tbl>
    <w:p>
      <w:pPr>
        <w:spacing w:after="0"/>
      </w:pPr>
    </w:p>
    <w:p>
      <w:pPr>
        <w:pStyle w:val="Heading2"/>
        <w:keepNext/>
        <w:spacing w:before="140" w:after="80"/>
      </w:pPr>
      <w:r>
        <w:t>9.3 Marketplace disclaimer</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Recommended disclaimer</w:t>
            </w:r>
          </w:p>
          <w:p>
            <w:pPr>
              <w:spacing w:after="0" w:line="252" w:lineRule="auto"/>
            </w:pPr>
            <w:r>
              <w:rPr>
                <w:rFonts w:ascii="Aptos" w:hAnsi="Aptos"/>
                <w:color w:val="344054"/>
                <w:sz w:val="18"/>
              </w:rPr>
              <w:t>ProjectTruth Monitor provides source-linked public-information and user-authorised document monitoring for research and workflow support. It is not a broker, regulator, legal due-diligence or title-verification service, valuation authority, investment adviser, fraud investigator or completion guarantee. Sources may be incomplete, delayed, unavailable or revised. Users must verify material decisions with the relevant authority and qualified professionals. High-impact alerts require human review.</w:t>
            </w:r>
          </w:p>
        </w:tc>
      </w:tr>
    </w:tbl>
    <w:p>
      <w:pPr>
        <w:spacing w:after="0"/>
      </w:pPr>
    </w:p>
    <w:p>
      <w:pPr>
        <w:pStyle w:val="Heading1"/>
        <w:keepNext/>
        <w:spacing w:before="200" w:after="80"/>
      </w:pPr>
      <w:r>
        <w:t>10. Technical architecture, database and API design</w:t>
      </w:r>
    </w:p>
    <w:p>
      <w:pPr>
        <w:pStyle w:val="Heading2"/>
        <w:keepNext/>
        <w:spacing w:before="140" w:after="80"/>
      </w:pPr>
      <w:r>
        <w:t>10.1 Architecture decision</w:t>
      </w:r>
    </w:p>
    <w:p>
      <w:pPr>
        <w:keepNext w:val="0"/>
        <w:spacing w:after="60" w:line="259" w:lineRule="auto"/>
      </w:pPr>
      <w:r>
        <w:rPr>
          <w:rFonts w:ascii="Aptos" w:hAnsi="Aptos"/>
          <w:color w:val="344054"/>
          <w:sz w:val="19"/>
        </w:rPr>
        <w:t>Use a modular monolith. One FastAPI application, one relational database, one object store and a small background worker are sufficient. Collector/parser adapters are modular packages, not microservices. Split services only when source volume, security isolation or independent scaling proves necessary.</w:t>
      </w:r>
    </w:p>
    <w:p>
      <w:pPr>
        <w:pStyle w:val="Heading2"/>
        <w:keepNext/>
        <w:spacing w:before="140" w:after="80"/>
      </w:pPr>
      <w:r>
        <w:t>10.2 High-level architecture diagram</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361"/>
            <w:shd w:fill="17324D"/>
            <w:tcMar>
              <w:top w:w="80" w:type="dxa"/>
              <w:start w:w="70" w:type="dxa"/>
              <w:bottom w:w="80" w:type="dxa"/>
              <w:end w:w="70" w:type="dxa"/>
            </w:tcMar>
            <w:vAlign w:val="center"/>
          </w:tcPr>
          <w:p>
            <w:pPr>
              <w:spacing w:after="0"/>
              <w:jc w:val="left"/>
            </w:pPr>
            <w:r/>
            <w:r>
              <w:rPr>
                <w:rFonts w:ascii="Aptos" w:hAnsi="Aptos"/>
                <w:b/>
                <w:color w:val="FFFFFF"/>
                <w:sz w:val="15"/>
              </w:rPr>
              <w:t>Layer</w:t>
            </w:r>
          </w:p>
        </w:tc>
        <w:tc>
          <w:tcPr>
            <w:tcW w:type="dxa" w:w="4082"/>
            <w:shd w:fill="17324D"/>
            <w:tcMar>
              <w:top w:w="80" w:type="dxa"/>
              <w:start w:w="70" w:type="dxa"/>
              <w:bottom w:w="80" w:type="dxa"/>
              <w:end w:w="70" w:type="dxa"/>
            </w:tcMar>
            <w:vAlign w:val="center"/>
          </w:tcPr>
          <w:p>
            <w:pPr>
              <w:spacing w:after="0"/>
              <w:jc w:val="left"/>
            </w:pPr>
            <w:r/>
            <w:r>
              <w:rPr>
                <w:rFonts w:ascii="Aptos" w:hAnsi="Aptos"/>
                <w:b/>
                <w:color w:val="FFFFFF"/>
                <w:sz w:val="15"/>
              </w:rPr>
              <w:t>Components</w:t>
            </w:r>
          </w:p>
        </w:tc>
        <w:tc>
          <w:tcPr>
            <w:tcW w:type="dxa" w:w="3912"/>
            <w:shd w:fill="17324D"/>
            <w:tcMar>
              <w:top w:w="80" w:type="dxa"/>
              <w:start w:w="70" w:type="dxa"/>
              <w:bottom w:w="80" w:type="dxa"/>
              <w:end w:w="70" w:type="dxa"/>
            </w:tcMar>
            <w:vAlign w:val="center"/>
          </w:tcPr>
          <w:p>
            <w:pPr>
              <w:spacing w:after="0"/>
              <w:jc w:val="left"/>
            </w:pPr>
            <w:r/>
            <w:r>
              <w:rPr>
                <w:rFonts w:ascii="Aptos" w:hAnsi="Aptos"/>
                <w:b/>
                <w:color w:val="FFFFFF"/>
                <w:sz w:val="15"/>
              </w:rPr>
              <w:t>Responsibility</w:t>
            </w:r>
          </w:p>
        </w:tc>
      </w:tr>
      <w:tr>
        <w:trPr>
          <w:cantSplit/>
        </w:trPr>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Inputs</w:t>
            </w:r>
          </w:p>
        </w:tc>
        <w:tc>
          <w:tcPr>
            <w:tcW w:type="dxa" w:w="4082"/>
            <w:tcMar>
              <w:top w:w="65" w:type="dxa"/>
              <w:start w:w="65" w:type="dxa"/>
              <w:bottom w:w="65" w:type="dxa"/>
              <w:end w:w="65" w:type="dxa"/>
            </w:tcMar>
            <w:vAlign w:val="top"/>
          </w:tcPr>
          <w:p>
            <w:pPr>
              <w:spacing w:after="0" w:line="240" w:lineRule="auto"/>
            </w:pPr>
            <w:r/>
            <w:r>
              <w:rPr>
                <w:rFonts w:ascii="Aptos" w:hAnsi="Aptos"/>
                <w:color w:val="344054"/>
                <w:sz w:val="15"/>
              </w:rPr>
              <w:t>Web UI / CSV / authorised PDFs / supported official URLs</w:t>
            </w:r>
          </w:p>
        </w:tc>
        <w:tc>
          <w:tcPr>
            <w:tcW w:type="dxa" w:w="3912"/>
            <w:tcMar>
              <w:top w:w="65" w:type="dxa"/>
              <w:start w:w="65" w:type="dxa"/>
              <w:bottom w:w="65" w:type="dxa"/>
              <w:end w:w="65" w:type="dxa"/>
            </w:tcMar>
            <w:vAlign w:val="top"/>
          </w:tcPr>
          <w:p>
            <w:pPr>
              <w:spacing w:after="0" w:line="240" w:lineRule="auto"/>
            </w:pPr>
            <w:r/>
            <w:r>
              <w:rPr>
                <w:rFonts w:ascii="Aptos" w:hAnsi="Aptos"/>
                <w:color w:val="344054"/>
                <w:sz w:val="15"/>
              </w:rPr>
              <w:t>Authenticated user actions and scheduled refreshes</w:t>
            </w:r>
          </w:p>
        </w:tc>
      </w:tr>
      <w:tr>
        <w:trPr>
          <w:cantSplit/>
        </w:trPr>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Application</w:t>
            </w:r>
          </w:p>
        </w:tc>
        <w:tc>
          <w:tcPr>
            <w:tcW w:type="dxa" w:w="4082"/>
            <w:shd w:fill="F8FAFC"/>
            <w:tcMar>
              <w:top w:w="65" w:type="dxa"/>
              <w:start w:w="65" w:type="dxa"/>
              <w:bottom w:w="65" w:type="dxa"/>
              <w:end w:w="65" w:type="dxa"/>
            </w:tcMar>
            <w:vAlign w:val="top"/>
          </w:tcPr>
          <w:p>
            <w:pPr>
              <w:spacing w:after="0" w:line="240" w:lineRule="auto"/>
            </w:pPr>
            <w:r/>
            <w:r>
              <w:rPr>
                <w:rFonts w:ascii="Aptos" w:hAnsi="Aptos"/>
                <w:color w:val="344054"/>
                <w:sz w:val="15"/>
              </w:rPr>
              <w:t>FastAPI + Pydantic services</w:t>
            </w:r>
          </w:p>
        </w:tc>
        <w:tc>
          <w:tcPr>
            <w:tcW w:type="dxa" w:w="3912"/>
            <w:shd w:fill="F8FAFC"/>
            <w:tcMar>
              <w:top w:w="65" w:type="dxa"/>
              <w:start w:w="65" w:type="dxa"/>
              <w:bottom w:w="65" w:type="dxa"/>
              <w:end w:w="65" w:type="dxa"/>
            </w:tcMar>
            <w:vAlign w:val="top"/>
          </w:tcPr>
          <w:p>
            <w:pPr>
              <w:spacing w:after="0" w:line="240" w:lineRule="auto"/>
            </w:pPr>
            <w:r/>
            <w:r>
              <w:rPr>
                <w:rFonts w:ascii="Aptos" w:hAnsi="Aptos"/>
                <w:color w:val="344054"/>
                <w:sz w:val="15"/>
              </w:rPr>
              <w:t>Watchlists, identity resolution, review, reports and API</w:t>
            </w:r>
          </w:p>
        </w:tc>
      </w:tr>
      <w:tr>
        <w:trPr>
          <w:cantSplit/>
        </w:trPr>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Collection</w:t>
            </w:r>
          </w:p>
        </w:tc>
        <w:tc>
          <w:tcPr>
            <w:tcW w:type="dxa" w:w="4082"/>
            <w:tcMar>
              <w:top w:w="65" w:type="dxa"/>
              <w:start w:w="65" w:type="dxa"/>
              <w:bottom w:w="65" w:type="dxa"/>
              <w:end w:w="65" w:type="dxa"/>
            </w:tcMar>
            <w:vAlign w:val="top"/>
          </w:tcPr>
          <w:p>
            <w:pPr>
              <w:spacing w:after="0" w:line="240" w:lineRule="auto"/>
            </w:pPr>
            <w:r/>
            <w:r>
              <w:rPr>
                <w:rFonts w:ascii="Aptos" w:hAnsi="Aptos"/>
                <w:color w:val="344054"/>
                <w:sz w:val="15"/>
              </w:rPr>
              <w:t>httpx/BeautifulSoup adapters; Playwright fallback</w:t>
            </w:r>
          </w:p>
        </w:tc>
        <w:tc>
          <w:tcPr>
            <w:tcW w:type="dxa" w:w="3912"/>
            <w:tcMar>
              <w:top w:w="65" w:type="dxa"/>
              <w:start w:w="65" w:type="dxa"/>
              <w:bottom w:w="65" w:type="dxa"/>
              <w:end w:w="65" w:type="dxa"/>
            </w:tcMar>
            <w:vAlign w:val="top"/>
          </w:tcPr>
          <w:p>
            <w:pPr>
              <w:spacing w:after="0" w:line="240" w:lineRule="auto"/>
            </w:pPr>
            <w:r/>
            <w:r>
              <w:rPr>
                <w:rFonts w:ascii="Aptos" w:hAnsi="Aptos"/>
                <w:color w:val="344054"/>
                <w:sz w:val="15"/>
              </w:rPr>
              <w:t>Fetch policy, rate limits, source status, content hash</w:t>
            </w:r>
          </w:p>
        </w:tc>
      </w:tr>
      <w:tr>
        <w:trPr>
          <w:cantSplit/>
        </w:trPr>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Extraction</w:t>
            </w:r>
          </w:p>
        </w:tc>
        <w:tc>
          <w:tcPr>
            <w:tcW w:type="dxa" w:w="4082"/>
            <w:shd w:fill="F8FAFC"/>
            <w:tcMar>
              <w:top w:w="65" w:type="dxa"/>
              <w:start w:w="65" w:type="dxa"/>
              <w:bottom w:w="65" w:type="dxa"/>
              <w:end w:w="65" w:type="dxa"/>
            </w:tcMar>
            <w:vAlign w:val="top"/>
          </w:tcPr>
          <w:p>
            <w:pPr>
              <w:spacing w:after="0" w:line="240" w:lineRule="auto"/>
            </w:pPr>
            <w:r/>
            <w:r>
              <w:rPr>
                <w:rFonts w:ascii="Aptos" w:hAnsi="Aptos"/>
                <w:color w:val="344054"/>
                <w:sz w:val="15"/>
              </w:rPr>
              <w:t>HTML parser / PyMuPDF / optional OCR / optional LLM parser</w:t>
            </w:r>
          </w:p>
        </w:tc>
        <w:tc>
          <w:tcPr>
            <w:tcW w:type="dxa" w:w="3912"/>
            <w:shd w:fill="F8FAFC"/>
            <w:tcMar>
              <w:top w:w="65" w:type="dxa"/>
              <w:start w:w="65" w:type="dxa"/>
              <w:bottom w:w="65" w:type="dxa"/>
              <w:end w:w="65" w:type="dxa"/>
            </w:tcMar>
            <w:vAlign w:val="top"/>
          </w:tcPr>
          <w:p>
            <w:pPr>
              <w:spacing w:after="0" w:line="240" w:lineRule="auto"/>
            </w:pPr>
            <w:r/>
            <w:r>
              <w:rPr>
                <w:rFonts w:ascii="Aptos" w:hAnsi="Aptos"/>
                <w:color w:val="344054"/>
                <w:sz w:val="15"/>
              </w:rPr>
              <w:t>Source facts with page/selector and confidence</w:t>
            </w:r>
          </w:p>
        </w:tc>
      </w:tr>
      <w:tr>
        <w:trPr>
          <w:cantSplit/>
        </w:trPr>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Truth engine</w:t>
            </w:r>
          </w:p>
        </w:tc>
        <w:tc>
          <w:tcPr>
            <w:tcW w:type="dxa" w:w="4082"/>
            <w:tcMar>
              <w:top w:w="65" w:type="dxa"/>
              <w:start w:w="65" w:type="dxa"/>
              <w:bottom w:w="65" w:type="dxa"/>
              <w:end w:w="65" w:type="dxa"/>
            </w:tcMar>
            <w:vAlign w:val="top"/>
          </w:tcPr>
          <w:p>
            <w:pPr>
              <w:spacing w:after="0" w:line="240" w:lineRule="auto"/>
            </w:pPr>
            <w:r/>
            <w:r>
              <w:rPr>
                <w:rFonts w:ascii="Aptos" w:hAnsi="Aptos"/>
                <w:color w:val="344054"/>
                <w:sz w:val="15"/>
              </w:rPr>
              <w:t>Normalizer → immutable snapshot writer → deterministic diff → signal rules</w:t>
            </w:r>
          </w:p>
        </w:tc>
        <w:tc>
          <w:tcPr>
            <w:tcW w:type="dxa" w:w="3912"/>
            <w:tcMar>
              <w:top w:w="65" w:type="dxa"/>
              <w:start w:w="65" w:type="dxa"/>
              <w:bottom w:w="65" w:type="dxa"/>
              <w:end w:w="65" w:type="dxa"/>
            </w:tcMar>
            <w:vAlign w:val="top"/>
          </w:tcPr>
          <w:p>
            <w:pPr>
              <w:spacing w:after="0" w:line="240" w:lineRule="auto"/>
            </w:pPr>
            <w:r/>
            <w:r>
              <w:rPr>
                <w:rFonts w:ascii="Aptos" w:hAnsi="Aptos"/>
                <w:color w:val="344054"/>
                <w:sz w:val="15"/>
              </w:rPr>
              <w:t>Canonical fields, changes, timeline and evidence</w:t>
            </w:r>
          </w:p>
        </w:tc>
      </w:tr>
      <w:tr>
        <w:trPr>
          <w:cantSplit/>
        </w:trPr>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Storage</w:t>
            </w:r>
          </w:p>
        </w:tc>
        <w:tc>
          <w:tcPr>
            <w:tcW w:type="dxa" w:w="4082"/>
            <w:shd w:fill="F8FAFC"/>
            <w:tcMar>
              <w:top w:w="65" w:type="dxa"/>
              <w:start w:w="65" w:type="dxa"/>
              <w:bottom w:w="65" w:type="dxa"/>
              <w:end w:w="65" w:type="dxa"/>
            </w:tcMar>
            <w:vAlign w:val="top"/>
          </w:tcPr>
          <w:p>
            <w:pPr>
              <w:spacing w:after="0" w:line="240" w:lineRule="auto"/>
            </w:pPr>
            <w:r/>
            <w:r>
              <w:rPr>
                <w:rFonts w:ascii="Aptos" w:hAnsi="Aptos"/>
                <w:color w:val="344054"/>
                <w:sz w:val="15"/>
              </w:rPr>
              <w:t>PostgreSQL; S3-compatible object store; Redis/RQ optional</w:t>
            </w:r>
          </w:p>
        </w:tc>
        <w:tc>
          <w:tcPr>
            <w:tcW w:type="dxa" w:w="3912"/>
            <w:shd w:fill="F8FAFC"/>
            <w:tcMar>
              <w:top w:w="65" w:type="dxa"/>
              <w:start w:w="65" w:type="dxa"/>
              <w:bottom w:w="65" w:type="dxa"/>
              <w:end w:w="65" w:type="dxa"/>
            </w:tcMar>
            <w:vAlign w:val="top"/>
          </w:tcPr>
          <w:p>
            <w:pPr>
              <w:spacing w:after="0" w:line="240" w:lineRule="auto"/>
            </w:pPr>
            <w:r/>
            <w:r>
              <w:rPr>
                <w:rFonts w:ascii="Aptos" w:hAnsi="Aptos"/>
                <w:color w:val="344054"/>
                <w:sz w:val="15"/>
              </w:rPr>
              <w:t>Relational provenance, permitted documents/evidence and jobs</w:t>
            </w:r>
          </w:p>
        </w:tc>
      </w:tr>
      <w:tr>
        <w:trPr>
          <w:cantSplit/>
        </w:trPr>
        <w:tc>
          <w:tcPr>
            <w:tcW w:type="dxa" w:w="1361"/>
            <w:tcMar>
              <w:top w:w="65" w:type="dxa"/>
              <w:start w:w="65" w:type="dxa"/>
              <w:bottom w:w="65" w:type="dxa"/>
              <w:end w:w="65" w:type="dxa"/>
            </w:tcMar>
            <w:vAlign w:val="top"/>
          </w:tcPr>
          <w:p>
            <w:pPr>
              <w:spacing w:after="0" w:line="240" w:lineRule="auto"/>
            </w:pPr>
            <w:r/>
            <w:r>
              <w:rPr>
                <w:rFonts w:ascii="Aptos" w:hAnsi="Aptos"/>
                <w:color w:val="344054"/>
                <w:sz w:val="15"/>
              </w:rPr>
              <w:t>Delivery</w:t>
            </w:r>
          </w:p>
        </w:tc>
        <w:tc>
          <w:tcPr>
            <w:tcW w:type="dxa" w:w="4082"/>
            <w:tcMar>
              <w:top w:w="65" w:type="dxa"/>
              <w:start w:w="65" w:type="dxa"/>
              <w:bottom w:w="65" w:type="dxa"/>
              <w:end w:w="65" w:type="dxa"/>
            </w:tcMar>
            <w:vAlign w:val="top"/>
          </w:tcPr>
          <w:p>
            <w:pPr>
              <w:spacing w:after="0" w:line="240" w:lineRule="auto"/>
            </w:pPr>
            <w:r/>
            <w:r>
              <w:rPr>
                <w:rFonts w:ascii="Aptos" w:hAnsi="Aptos"/>
                <w:color w:val="344054"/>
                <w:sz w:val="15"/>
              </w:rPr>
              <w:t>Jinja2 + HTMX dashboard; PDF/CSV/JSON; email digest</w:t>
            </w:r>
          </w:p>
        </w:tc>
        <w:tc>
          <w:tcPr>
            <w:tcW w:type="dxa" w:w="3912"/>
            <w:tcMar>
              <w:top w:w="65" w:type="dxa"/>
              <w:start w:w="65" w:type="dxa"/>
              <w:bottom w:w="65" w:type="dxa"/>
              <w:end w:w="65" w:type="dxa"/>
            </w:tcMar>
            <w:vAlign w:val="top"/>
          </w:tcPr>
          <w:p>
            <w:pPr>
              <w:spacing w:after="0" w:line="240" w:lineRule="auto"/>
            </w:pPr>
            <w:r/>
            <w:r>
              <w:rPr>
                <w:rFonts w:ascii="Aptos" w:hAnsi="Aptos"/>
                <w:color w:val="344054"/>
                <w:sz w:val="15"/>
              </w:rPr>
              <w:t>Human review and traceable output</w:t>
            </w:r>
          </w:p>
        </w:tc>
      </w:tr>
      <w:tr>
        <w:trPr>
          <w:cantSplit/>
        </w:trPr>
        <w:tc>
          <w:tcPr>
            <w:tcW w:type="dxa" w:w="1361"/>
            <w:shd w:fill="F8FAFC"/>
            <w:tcMar>
              <w:top w:w="65" w:type="dxa"/>
              <w:start w:w="65" w:type="dxa"/>
              <w:bottom w:w="65" w:type="dxa"/>
              <w:end w:w="65" w:type="dxa"/>
            </w:tcMar>
            <w:vAlign w:val="top"/>
          </w:tcPr>
          <w:p>
            <w:pPr>
              <w:spacing w:after="0" w:line="240" w:lineRule="auto"/>
            </w:pPr>
            <w:r/>
            <w:r>
              <w:rPr>
                <w:rFonts w:ascii="Aptos" w:hAnsi="Aptos"/>
                <w:color w:val="344054"/>
                <w:sz w:val="15"/>
              </w:rPr>
              <w:t>Operations</w:t>
            </w:r>
          </w:p>
        </w:tc>
        <w:tc>
          <w:tcPr>
            <w:tcW w:type="dxa" w:w="4082"/>
            <w:shd w:fill="F8FAFC"/>
            <w:tcMar>
              <w:top w:w="65" w:type="dxa"/>
              <w:start w:w="65" w:type="dxa"/>
              <w:bottom w:w="65" w:type="dxa"/>
              <w:end w:w="65" w:type="dxa"/>
            </w:tcMar>
            <w:vAlign w:val="top"/>
          </w:tcPr>
          <w:p>
            <w:pPr>
              <w:spacing w:after="0" w:line="240" w:lineRule="auto"/>
            </w:pPr>
            <w:r/>
            <w:r>
              <w:rPr>
                <w:rFonts w:ascii="Aptos" w:hAnsi="Aptos"/>
                <w:color w:val="344054"/>
                <w:sz w:val="15"/>
              </w:rPr>
              <w:t>Alembic, pytest, Docker, structured logs, health/metrics</w:t>
            </w:r>
          </w:p>
        </w:tc>
        <w:tc>
          <w:tcPr>
            <w:tcW w:type="dxa" w:w="3912"/>
            <w:shd w:fill="F8FAFC"/>
            <w:tcMar>
              <w:top w:w="65" w:type="dxa"/>
              <w:start w:w="65" w:type="dxa"/>
              <w:bottom w:w="65" w:type="dxa"/>
              <w:end w:w="65" w:type="dxa"/>
            </w:tcMar>
            <w:vAlign w:val="top"/>
          </w:tcPr>
          <w:p>
            <w:pPr>
              <w:spacing w:after="0" w:line="240" w:lineRule="auto"/>
            </w:pPr>
            <w:r/>
            <w:r>
              <w:rPr>
                <w:rFonts w:ascii="Aptos" w:hAnsi="Aptos"/>
                <w:color w:val="344054"/>
                <w:sz w:val="15"/>
              </w:rPr>
              <w:t>Deployment, regression and observability</w:t>
            </w:r>
          </w:p>
        </w:tc>
      </w:tr>
    </w:tbl>
    <w:p>
      <w:pPr>
        <w:spacing w:after="0"/>
      </w:pPr>
    </w:p>
    <w:p>
      <w:pPr>
        <w:pStyle w:val="Heading2"/>
        <w:keepNext/>
        <w:spacing w:before="140" w:after="80"/>
      </w:pPr>
      <w:r>
        <w:t>10.3 End-to-end data flow</w:t>
      </w:r>
    </w:p>
    <w:p>
      <w:pPr>
        <w:keepNext w:val="0"/>
        <w:spacing w:after="60" w:line="259" w:lineRule="auto"/>
      </w:pPr>
      <w:r>
        <w:rPr>
          <w:rFonts w:ascii="Aptos" w:hAnsi="Aptos"/>
          <w:color w:val="344054"/>
          <w:sz w:val="19"/>
        </w:rPr>
        <w:t>Watchlist item → identity resolution → source-policy check → fetch job → raw snapshot metadata/hash → parser provider → source facts → canonical normalization → immutable snapshot → deterministic diff → change candidates → signal rules → evidence bundle → human review → timeline/report/export.</w:t>
      </w:r>
    </w:p>
    <w:p>
      <w:pPr>
        <w:pStyle w:val="Heading2"/>
        <w:keepNext/>
        <w:spacing w:before="140" w:after="80"/>
      </w:pPr>
      <w:r>
        <w:t>10.4 Component responsibilities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928"/>
            <w:shd w:fill="17324D"/>
            <w:tcMar>
              <w:top w:w="80" w:type="dxa"/>
              <w:start w:w="70" w:type="dxa"/>
              <w:bottom w:w="80" w:type="dxa"/>
              <w:end w:w="70" w:type="dxa"/>
            </w:tcMar>
            <w:vAlign w:val="center"/>
          </w:tcPr>
          <w:p>
            <w:pPr>
              <w:spacing w:after="0"/>
              <w:jc w:val="left"/>
            </w:pPr>
            <w:r/>
            <w:r>
              <w:rPr>
                <w:rFonts w:ascii="Aptos" w:hAnsi="Aptos"/>
                <w:b/>
                <w:color w:val="FFFFFF"/>
                <w:sz w:val="16"/>
              </w:rPr>
              <w:t>Module</w:t>
            </w:r>
          </w:p>
        </w:tc>
        <w:tc>
          <w:tcPr>
            <w:tcW w:type="dxa" w:w="7427"/>
            <w:shd w:fill="17324D"/>
            <w:tcMar>
              <w:top w:w="80" w:type="dxa"/>
              <w:start w:w="70" w:type="dxa"/>
              <w:bottom w:w="80" w:type="dxa"/>
              <w:end w:w="70" w:type="dxa"/>
            </w:tcMar>
            <w:vAlign w:val="center"/>
          </w:tcPr>
          <w:p>
            <w:pPr>
              <w:spacing w:after="0"/>
              <w:jc w:val="left"/>
            </w:pPr>
            <w:r/>
            <w:r>
              <w:rPr>
                <w:rFonts w:ascii="Aptos" w:hAnsi="Aptos"/>
                <w:b/>
                <w:color w:val="FFFFFF"/>
                <w:sz w:val="16"/>
              </w:rPr>
              <w:t>Responsibility</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api</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REST routes, schemas, auth/tenant checks, idempotency and error mapping.</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domain</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Project/developer/watchlist entities, enums and business invariants.</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collectors</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Source adapter interface, fetch policy, rate limits, HTTP/JS collection and source health.</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parsers</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Versioned HTML/PDF/OCR/LLM providers returning source facts only.</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identity</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Registration/project/developer alias matching and merge-review proposals.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snapshots</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Immutable source snapshot and field persistence; evidence policy.</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diff</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Typed field comparisons, removals, reversals and parser-version safeguards.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signals</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Transparent rule components and severity/review policies.</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alerts</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Deduplication, lifecycle, review actions and notification preferences.</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reports</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Approved digest/client PDF/CSV/JSON with citations and disclaimer.</w:t>
            </w:r>
          </w:p>
        </w:tc>
      </w:tr>
      <w:tr>
        <w:trPr>
          <w:cantSplit/>
        </w:trPr>
        <w:tc>
          <w:tcPr>
            <w:tcW w:type="dxa" w:w="1928"/>
            <w:tcMar>
              <w:top w:w="65" w:type="dxa"/>
              <w:start w:w="65" w:type="dxa"/>
              <w:bottom w:w="65" w:type="dxa"/>
              <w:end w:w="65" w:type="dxa"/>
            </w:tcMar>
            <w:vAlign w:val="top"/>
          </w:tcPr>
          <w:p>
            <w:pPr>
              <w:spacing w:after="0" w:line="240" w:lineRule="auto"/>
            </w:pPr>
            <w:r/>
            <w:r>
              <w:rPr>
                <w:rFonts w:ascii="Aptos" w:hAnsi="Aptos"/>
                <w:color w:val="344054"/>
                <w:sz w:val="16"/>
              </w:rPr>
              <w:t>jobs</w:t>
            </w:r>
          </w:p>
        </w:tc>
        <w:tc>
          <w:tcPr>
            <w:tcW w:type="dxa" w:w="7427"/>
            <w:tcMar>
              <w:top w:w="65" w:type="dxa"/>
              <w:start w:w="65" w:type="dxa"/>
              <w:bottom w:w="65" w:type="dxa"/>
              <w:end w:w="65" w:type="dxa"/>
            </w:tcMar>
            <w:vAlign w:val="top"/>
          </w:tcPr>
          <w:p>
            <w:pPr>
              <w:spacing w:after="0" w:line="240" w:lineRule="auto"/>
            </w:pPr>
            <w:r/>
            <w:r>
              <w:rPr>
                <w:rFonts w:ascii="Aptos" w:hAnsi="Aptos"/>
                <w:color w:val="344054"/>
                <w:sz w:val="16"/>
              </w:rPr>
              <w:t>Scheduling, retries, cancellation, locks, backoff and dead-letter review.</w:t>
            </w:r>
          </w:p>
        </w:tc>
      </w:tr>
      <w:tr>
        <w:trPr>
          <w:cantSplit/>
        </w:trPr>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6"/>
              </w:rPr>
              <w:t>audit</w:t>
            </w:r>
          </w:p>
        </w:tc>
        <w:tc>
          <w:tcPr>
            <w:tcW w:type="dxa" w:w="7427"/>
            <w:shd w:fill="F8FAFC"/>
            <w:tcMar>
              <w:top w:w="65" w:type="dxa"/>
              <w:start w:w="65" w:type="dxa"/>
              <w:bottom w:w="65" w:type="dxa"/>
              <w:end w:w="65" w:type="dxa"/>
            </w:tcMar>
            <w:vAlign w:val="top"/>
          </w:tcPr>
          <w:p>
            <w:pPr>
              <w:spacing w:after="0" w:line="240" w:lineRule="auto"/>
            </w:pPr>
            <w:r/>
            <w:r>
              <w:rPr>
                <w:rFonts w:ascii="Aptos" w:hAnsi="Aptos"/>
                <w:color w:val="344054"/>
                <w:sz w:val="16"/>
              </w:rPr>
              <w:t>Append-only user/admin/system events.</w:t>
            </w:r>
          </w:p>
        </w:tc>
      </w:tr>
    </w:tbl>
    <w:p>
      <w:pPr>
        <w:spacing w:after="0"/>
      </w:pPr>
    </w:p>
    <w:p>
      <w:pPr>
        <w:pStyle w:val="Heading2"/>
        <w:keepNext/>
        <w:spacing w:before="140" w:after="80"/>
      </w:pPr>
      <w:r>
        <w:t>10.5 Background jobs and reliability</w:t>
      </w:r>
    </w:p>
    <w:p>
      <w:pPr>
        <w:pStyle w:val="ListBullet"/>
        <w:spacing w:after="30" w:line="247" w:lineRule="auto"/>
        <w:ind w:left="360" w:hanging="173"/>
      </w:pPr>
      <w:r>
        <w:rPr>
          <w:rFonts w:ascii="Aptos" w:hAnsi="Aptos"/>
          <w:color w:val="344054"/>
          <w:sz w:val="18"/>
        </w:rPr>
        <w:t>Local/demo: APScheduler with database-backed monitoring-job rows and process lock.</w:t>
      </w:r>
    </w:p>
    <w:p>
      <w:pPr>
        <w:pStyle w:val="ListBullet"/>
        <w:spacing w:after="30" w:line="247" w:lineRule="auto"/>
        <w:ind w:left="360" w:hanging="173"/>
      </w:pPr>
      <w:r>
        <w:rPr>
          <w:rFonts w:ascii="Aptos" w:hAnsi="Aptos"/>
          <w:color w:val="344054"/>
          <w:sz w:val="18"/>
        </w:rPr>
        <w:t>Hosted pilot: Redis + RQ worker when concurrent jobs or retries exceed a single-process scheduler; keep business logic independent of queue.</w:t>
      </w:r>
    </w:p>
    <w:p>
      <w:pPr>
        <w:pStyle w:val="ListBullet"/>
        <w:spacing w:after="30" w:line="247" w:lineRule="auto"/>
        <w:ind w:left="360" w:hanging="173"/>
      </w:pPr>
      <w:r>
        <w:rPr>
          <w:rFonts w:ascii="Aptos" w:hAnsi="Aptos"/>
          <w:color w:val="344054"/>
          <w:sz w:val="18"/>
        </w:rPr>
        <w:t>One job key per source+watch item+schedule window; idempotency prevents duplicate snapshots/alerts.</w:t>
      </w:r>
    </w:p>
    <w:p>
      <w:pPr>
        <w:pStyle w:val="ListBullet"/>
        <w:spacing w:after="30" w:line="247" w:lineRule="auto"/>
        <w:ind w:left="360" w:hanging="173"/>
      </w:pPr>
      <w:r>
        <w:rPr>
          <w:rFonts w:ascii="Aptos" w:hAnsi="Aptos"/>
          <w:color w:val="344054"/>
          <w:sz w:val="18"/>
        </w:rPr>
        <w:t>Retries: network 3 attempts with exponential backoff/jitter; no retry on unsupported/auth/CAPTCHA until policy changes.</w:t>
      </w:r>
    </w:p>
    <w:p>
      <w:pPr>
        <w:pStyle w:val="ListBullet"/>
        <w:spacing w:after="30" w:line="247" w:lineRule="auto"/>
        <w:ind w:left="360" w:hanging="173"/>
      </w:pPr>
      <w:r>
        <w:rPr>
          <w:rFonts w:ascii="Aptos" w:hAnsi="Aptos"/>
          <w:color w:val="344054"/>
          <w:sz w:val="18"/>
        </w:rPr>
        <w:t>Circuit breaker per source adapter; pause after repeated parse failures and open an operator incident.</w:t>
      </w:r>
    </w:p>
    <w:p>
      <w:pPr>
        <w:pStyle w:val="ListBullet"/>
        <w:spacing w:after="30" w:line="247" w:lineRule="auto"/>
        <w:ind w:left="360" w:hanging="173"/>
      </w:pPr>
      <w:r>
        <w:rPr>
          <w:rFonts w:ascii="Aptos" w:hAnsi="Aptos"/>
          <w:color w:val="344054"/>
          <w:sz w:val="18"/>
        </w:rPr>
        <w:t>User deletion marks jobs cancelling, waits for active transaction, then purges according to retention policy.</w:t>
      </w:r>
    </w:p>
    <w:p>
      <w:pPr>
        <w:pStyle w:val="Heading2"/>
        <w:keepNext/>
        <w:spacing w:before="140" w:after="80"/>
      </w:pPr>
      <w:r>
        <w:t>10.6 Logging, monitoring and deployment</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6"/>
              </w:rPr>
              <w:t>Area</w:t>
            </w:r>
          </w:p>
        </w:tc>
        <w:tc>
          <w:tcPr>
            <w:tcW w:type="dxa" w:w="7654"/>
            <w:shd w:fill="17324D"/>
            <w:tcMar>
              <w:top w:w="80" w:type="dxa"/>
              <w:start w:w="70" w:type="dxa"/>
              <w:bottom w:w="80" w:type="dxa"/>
              <w:end w:w="70" w:type="dxa"/>
            </w:tcMar>
            <w:vAlign w:val="center"/>
          </w:tcPr>
          <w:p>
            <w:pPr>
              <w:spacing w:after="0"/>
              <w:jc w:val="left"/>
            </w:pPr>
            <w:r/>
            <w:r>
              <w:rPr>
                <w:rFonts w:ascii="Aptos" w:hAnsi="Aptos"/>
                <w:b/>
                <w:color w:val="FFFFFF"/>
                <w:sz w:val="16"/>
              </w:rPr>
              <w:t>MVP implementation</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6"/>
              </w:rPr>
              <w:t>Logging</w:t>
            </w:r>
          </w:p>
        </w:tc>
        <w:tc>
          <w:tcPr>
            <w:tcW w:type="dxa" w:w="7654"/>
            <w:tcMar>
              <w:top w:w="65" w:type="dxa"/>
              <w:start w:w="65" w:type="dxa"/>
              <w:bottom w:w="65" w:type="dxa"/>
              <w:end w:w="65" w:type="dxa"/>
            </w:tcMar>
            <w:vAlign w:val="top"/>
          </w:tcPr>
          <w:p>
            <w:pPr>
              <w:spacing w:after="0" w:line="240" w:lineRule="auto"/>
            </w:pPr>
            <w:r/>
            <w:r>
              <w:rPr>
                <w:rFonts w:ascii="Aptos" w:hAnsi="Aptos"/>
                <w:color w:val="344054"/>
                <w:sz w:val="16"/>
              </w:rPr>
              <w:t>Structured JSON with request/job/source IDs; never log document contents, credentials or raw personal data.</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6"/>
              </w:rPr>
              <w:t>Metrics</w:t>
            </w:r>
          </w:p>
        </w:tc>
        <w:tc>
          <w:tcPr>
            <w:tcW w:type="dxa" w:w="7654"/>
            <w:shd w:fill="F8FAFC"/>
            <w:tcMar>
              <w:top w:w="65" w:type="dxa"/>
              <w:start w:w="65" w:type="dxa"/>
              <w:bottom w:w="65" w:type="dxa"/>
              <w:end w:w="65" w:type="dxa"/>
            </w:tcMar>
            <w:vAlign w:val="top"/>
          </w:tcPr>
          <w:p>
            <w:pPr>
              <w:spacing w:after="0" w:line="240" w:lineRule="auto"/>
            </w:pPr>
            <w:r/>
            <w:r>
              <w:rPr>
                <w:rFonts w:ascii="Aptos" w:hAnsi="Aptos"/>
                <w:color w:val="344054"/>
                <w:sz w:val="16"/>
              </w:rPr>
              <w:t>Fetch success/latency, parse success, snapshot/change count, alert review rate, queue delay, report success, provider cost.</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6"/>
              </w:rPr>
              <w:t>Tracing</w:t>
            </w:r>
          </w:p>
        </w:tc>
        <w:tc>
          <w:tcPr>
            <w:tcW w:type="dxa" w:w="7654"/>
            <w:tcMar>
              <w:top w:w="65" w:type="dxa"/>
              <w:start w:w="65" w:type="dxa"/>
              <w:bottom w:w="65" w:type="dxa"/>
              <w:end w:w="65" w:type="dxa"/>
            </w:tcMar>
            <w:vAlign w:val="top"/>
          </w:tcPr>
          <w:p>
            <w:pPr>
              <w:spacing w:after="0" w:line="240" w:lineRule="auto"/>
            </w:pPr>
            <w:r/>
            <w:r>
              <w:rPr>
                <w:rFonts w:ascii="Aptos" w:hAnsi="Aptos"/>
                <w:color w:val="344054"/>
                <w:sz w:val="16"/>
              </w:rPr>
              <w:t>Correlation ID across API → job → source → snapshot → alert.</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6"/>
              </w:rPr>
              <w:t>Health</w:t>
            </w:r>
          </w:p>
        </w:tc>
        <w:tc>
          <w:tcPr>
            <w:tcW w:type="dxa" w:w="7654"/>
            <w:shd w:fill="F8FAFC"/>
            <w:tcMar>
              <w:top w:w="65" w:type="dxa"/>
              <w:start w:w="65" w:type="dxa"/>
              <w:bottom w:w="65" w:type="dxa"/>
              <w:end w:w="65" w:type="dxa"/>
            </w:tcMar>
            <w:vAlign w:val="top"/>
          </w:tcPr>
          <w:p>
            <w:pPr>
              <w:spacing w:after="0" w:line="240" w:lineRule="auto"/>
            </w:pPr>
            <w:r/>
            <w:r>
              <w:rPr>
                <w:rFonts w:ascii="Aptos" w:hAnsi="Aptos"/>
                <w:color w:val="344054"/>
                <w:sz w:val="16"/>
              </w:rPr>
              <w:t>/health/live, /health/ready and source-adapter status page.</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6"/>
              </w:rPr>
              <w:t>Secrets</w:t>
            </w:r>
          </w:p>
        </w:tc>
        <w:tc>
          <w:tcPr>
            <w:tcW w:type="dxa" w:w="7654"/>
            <w:tcMar>
              <w:top w:w="65" w:type="dxa"/>
              <w:start w:w="65" w:type="dxa"/>
              <w:bottom w:w="65" w:type="dxa"/>
              <w:end w:w="65" w:type="dxa"/>
            </w:tcMar>
            <w:vAlign w:val="top"/>
          </w:tcPr>
          <w:p>
            <w:pPr>
              <w:spacing w:after="0" w:line="240" w:lineRule="auto"/>
            </w:pPr>
            <w:r/>
            <w:r>
              <w:rPr>
                <w:rFonts w:ascii="Aptos" w:hAnsi="Aptos"/>
                <w:color w:val="344054"/>
                <w:sz w:val="16"/>
              </w:rPr>
              <w:t>Environment variables/managed secrets; rotate; separate dev/prod.</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6"/>
              </w:rPr>
              <w:t>Deployment</w:t>
            </w:r>
          </w:p>
        </w:tc>
        <w:tc>
          <w:tcPr>
            <w:tcW w:type="dxa" w:w="7654"/>
            <w:shd w:fill="F8FAFC"/>
            <w:tcMar>
              <w:top w:w="65" w:type="dxa"/>
              <w:start w:w="65" w:type="dxa"/>
              <w:bottom w:w="65" w:type="dxa"/>
              <w:end w:w="65" w:type="dxa"/>
            </w:tcMar>
            <w:vAlign w:val="top"/>
          </w:tcPr>
          <w:p>
            <w:pPr>
              <w:spacing w:after="0" w:line="240" w:lineRule="auto"/>
            </w:pPr>
            <w:r/>
            <w:r>
              <w:rPr>
                <w:rFonts w:ascii="Aptos" w:hAnsi="Aptos"/>
                <w:color w:val="344054"/>
                <w:sz w:val="16"/>
              </w:rPr>
              <w:t>Docker image; Render or Railway web + worker + managed Postgres + object storage; SQLite only local.</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6"/>
              </w:rPr>
              <w:t>Backups</w:t>
            </w:r>
          </w:p>
        </w:tc>
        <w:tc>
          <w:tcPr>
            <w:tcW w:type="dxa" w:w="7654"/>
            <w:tcMar>
              <w:top w:w="65" w:type="dxa"/>
              <w:start w:w="65" w:type="dxa"/>
              <w:bottom w:w="65" w:type="dxa"/>
              <w:end w:w="65" w:type="dxa"/>
            </w:tcMar>
            <w:vAlign w:val="top"/>
          </w:tcPr>
          <w:p>
            <w:pPr>
              <w:spacing w:after="0" w:line="240" w:lineRule="auto"/>
            </w:pPr>
            <w:r/>
            <w:r>
              <w:rPr>
                <w:rFonts w:ascii="Aptos" w:hAnsi="Aptos"/>
                <w:color w:val="344054"/>
                <w:sz w:val="16"/>
              </w:rPr>
              <w:t>Daily encrypted Postgres backup; object versioning where permitted; restore test before pilot.</w:t>
            </w:r>
          </w:p>
        </w:tc>
      </w:tr>
    </w:tbl>
    <w:p>
      <w:pPr>
        <w:spacing w:after="0"/>
      </w:pPr>
    </w:p>
    <w:p>
      <w:pPr>
        <w:pStyle w:val="Heading2"/>
        <w:keepNext/>
        <w:spacing w:before="140" w:after="80"/>
      </w:pPr>
      <w:r>
        <w:t>10.7 Folder structure</w:t>
      </w:r>
    </w:p>
    <w:p>
      <w:pPr>
        <w:spacing w:after="80"/>
        <w:ind w:left="454"/>
      </w:pPr>
      <w:r>
        <w:rPr>
          <w:rFonts w:ascii="Liberation Mono" w:hAnsi="Liberation Mono"/>
          <w:color w:val="344054"/>
          <w:sz w:val="16"/>
        </w:rPr>
        <w:t>app/</w:t>
        <w:br/>
        <w:t xml:space="preserve">  main.py</w:t>
        <w:br/>
        <w:t xml:space="preserve">  core/{config,security,logging,errors}.py</w:t>
        <w:br/>
        <w:t xml:space="preserve">  api/v1/{projects,developers,watchlists,sources,documents,changes,alerts,reports,markets,audit}.py</w:t>
        <w:br/>
        <w:t xml:space="preserve">  schemas/</w:t>
        <w:br/>
        <w:t xml:space="preserve">  domain/</w:t>
        <w:br/>
        <w:t xml:space="preserve">  services/{identity,snapshots,diff,signals,evidence,reports}.py</w:t>
        <w:br/>
        <w:t xml:space="preserve">  collectors/{base,hrera_gurugram,http,playwright}.py</w:t>
        <w:br/>
        <w:t xml:space="preserve">  parsers/{base,hrera_html,pdf,ocr,llm}.py</w:t>
        <w:br/>
        <w:t xml:space="preserve">  repositories/</w:t>
        <w:br/>
        <w:t xml:space="preserve">  models/</w:t>
        <w:br/>
        <w:t xml:space="preserve">  jobs/{scheduler,tasks,retries}.py</w:t>
        <w:br/>
        <w:t xml:space="preserve">  templates/  static/</w:t>
        <w:br/>
        <w:t xml:space="preserve">  prompts/  policies/</w:t>
        <w:br/>
        <w:t xml:space="preserve">  migrations/</w:t>
        <w:br/>
        <w:t>tests/{unit,integration,e2e,fixtures/html,fixtures/pdf,fixtures/csv}</w:t>
        <w:br/>
        <w:t>scripts/  docs/  docker/</w:t>
      </w:r>
    </w:p>
    <w:p>
      <w:pPr>
        <w:sectPr>
          <w:pgSz w:w="11906" w:h="16838"/>
          <w:pgMar w:top="964" w:right="964" w:bottom="907" w:left="964" w:header="397" w:footer="397" w:gutter="0"/>
          <w:cols w:space="720"/>
          <w:docGrid w:linePitch="360"/>
        </w:sectPr>
      </w:pPr>
    </w:p>
    <w:p>
      <w:pPr>
        <w:pStyle w:val="Heading1"/>
        <w:keepNext/>
        <w:spacing w:before="200" w:after="80"/>
      </w:pPr>
      <w:r>
        <w:t>10.8 Database design</w:t>
      </w:r>
    </w:p>
    <w:tbl>
      <w:tblPr>
        <w:tblStyle w:val="TableGrid"/>
        <w:tblW w:type="auto" w:w="0"/>
        <w:jc w:val="center"/>
        <w:tblLayout w:type="fixed"/>
        <w:tblLook w:firstColumn="1" w:firstRow="1" w:lastColumn="0" w:lastRow="0" w:noHBand="0" w:noVBand="1" w:val="04A0"/>
      </w:tblPr>
      <w:tblGrid>
        <w:gridCol w:w="2580"/>
        <w:gridCol w:w="2580"/>
        <w:gridCol w:w="2580"/>
        <w:gridCol w:w="2580"/>
        <w:gridCol w:w="2580"/>
        <w:gridCol w:w="2580"/>
      </w:tblGrid>
      <w:tr>
        <w:trPr>
          <w:tblHeader w:val="true"/>
          <w:cantSplit/>
        </w:trPr>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2"/>
              </w:rPr>
              <w:t>Table</w:t>
            </w:r>
          </w:p>
        </w:tc>
        <w:tc>
          <w:tcPr>
            <w:tcW w:type="dxa" w:w="3515"/>
            <w:shd w:fill="17324D"/>
            <w:tcMar>
              <w:top w:w="80" w:type="dxa"/>
              <w:start w:w="70" w:type="dxa"/>
              <w:bottom w:w="80" w:type="dxa"/>
              <w:end w:w="70" w:type="dxa"/>
            </w:tcMar>
            <w:vAlign w:val="center"/>
          </w:tcPr>
          <w:p>
            <w:pPr>
              <w:spacing w:after="0"/>
              <w:jc w:val="left"/>
            </w:pPr>
            <w:r/>
            <w:r>
              <w:rPr>
                <w:rFonts w:ascii="Aptos" w:hAnsi="Aptos"/>
                <w:b/>
                <w:color w:val="FFFFFF"/>
                <w:sz w:val="12"/>
              </w:rPr>
              <w:t>Important fields</w:t>
            </w:r>
          </w:p>
        </w:tc>
        <w:tc>
          <w:tcPr>
            <w:tcW w:type="dxa" w:w="3175"/>
            <w:shd w:fill="17324D"/>
            <w:tcMar>
              <w:top w:w="80" w:type="dxa"/>
              <w:start w:w="70" w:type="dxa"/>
              <w:bottom w:w="80" w:type="dxa"/>
              <w:end w:w="70" w:type="dxa"/>
            </w:tcMar>
            <w:vAlign w:val="center"/>
          </w:tcPr>
          <w:p>
            <w:pPr>
              <w:spacing w:after="0"/>
              <w:jc w:val="left"/>
            </w:pPr>
            <w:r/>
            <w:r>
              <w:rPr>
                <w:rFonts w:ascii="Aptos" w:hAnsi="Aptos"/>
                <w:b/>
                <w:color w:val="FFFFFF"/>
                <w:sz w:val="12"/>
              </w:rPr>
              <w:t>Relationships / indexes</w:t>
            </w:r>
          </w:p>
        </w:tc>
        <w:tc>
          <w:tcPr>
            <w:tcW w:type="dxa" w:w="3175"/>
            <w:shd w:fill="17324D"/>
            <w:tcMar>
              <w:top w:w="80" w:type="dxa"/>
              <w:start w:w="70" w:type="dxa"/>
              <w:bottom w:w="80" w:type="dxa"/>
              <w:end w:w="70" w:type="dxa"/>
            </w:tcMar>
            <w:vAlign w:val="center"/>
          </w:tcPr>
          <w:p>
            <w:pPr>
              <w:spacing w:after="0"/>
              <w:jc w:val="left"/>
            </w:pPr>
            <w:r/>
            <w:r>
              <w:rPr>
                <w:rFonts w:ascii="Aptos" w:hAnsi="Aptos"/>
                <w:b/>
                <w:color w:val="FFFFFF"/>
                <w:sz w:val="12"/>
              </w:rPr>
              <w:t>Versioning &amp; provenance</w:t>
            </w:r>
          </w:p>
        </w:tc>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2"/>
              </w:rPr>
              <w:t>Retention</w:t>
            </w:r>
          </w:p>
        </w:tc>
        <w:tc>
          <w:tcPr>
            <w:tcW w:type="dxa" w:w="2154"/>
            <w:shd w:fill="17324D"/>
            <w:tcMar>
              <w:top w:w="80" w:type="dxa"/>
              <w:start w:w="70" w:type="dxa"/>
              <w:bottom w:w="80" w:type="dxa"/>
              <w:end w:w="70" w:type="dxa"/>
            </w:tcMar>
            <w:vAlign w:val="center"/>
          </w:tcPr>
          <w:p>
            <w:pPr>
              <w:spacing w:after="0"/>
              <w:jc w:val="left"/>
            </w:pPr>
            <w:r/>
            <w:r>
              <w:rPr>
                <w:rFonts w:ascii="Aptos" w:hAnsi="Aptos"/>
                <w:b/>
                <w:color w:val="FFFFFF"/>
                <w:sz w:val="12"/>
              </w:rPr>
              <w:t>Sensitivity</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users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email, name, status, created_at</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org memberships; unique email</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Account record; audited changes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Delete/pseudonymise after account policy</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Personal; encrypted/limited</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organizations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name, plan, settings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memberships, watchlists; name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Tenant root</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Until deletion + grace</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Business data</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organization_members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org_id, user_id, role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unique pair</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Role history via audit</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Account/org life</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Access-control sensitive</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watchlists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org_id, name, cadence, status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org/name index; items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Soft-delete + audit</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Until purge</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Private business data</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watchlist_items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watchlist_id, entity_type/id, policy, status</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unique watchlist+entity</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Monitoring config version</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Until purge</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Private business data</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projects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canonical_name, primary_registration, type, status, parent_id</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registration unique where known; developer/location indexes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Canonical current view, not source truth</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Low sensitivity</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project_aliases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project_id, alias, source, confidence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normalised alias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Every merge review audited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developers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canonical_name, identifiers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name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Current canonical entity</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developer_aliases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developer_id, alias, source, confidence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normalised alias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Merge review audited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locations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state, city, locality, sector, lat/lon, precision</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state/city/locality index; geo index later</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Source precision tracked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sources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type, base_url, adapter, reliability, status</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adapter/status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Policy version reference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Long-lived</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Operational</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source_access_policies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source_id, terms_review, robots_review, allowed_modes, rate, evidence_policy</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unique source+version</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Versioned and approved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Permanent audit</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Legal/operational</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monitoring_jobs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item/source, schedule, state, attempts, lock, next_run</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state/next_run index; idempotency key</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Append attempts/events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90–180 days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Operational</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source_snapshots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source_id, entity_id, fetched_at, source_date, http/status, hash, parser_version, access_status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source+entity+fetched index; unique hash window</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Immutable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12–24 months per policy</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May contain licensed/public evidence</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snapshot_fields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snapshot_id, field_key, raw_value, canonical_value, unit, selector/page, method, confidence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snapshot+field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Immutable source fact</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Snapshot retention</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Potential personal contact fields excluded</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documents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org/source, title, type, hash, storage_uri, rights_attested</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org/hash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Original metadata immutable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90 days default user original</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Private uploads</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document_versions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document_id, version, hash, captured_at, source_snapshot_id</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unique doc+version</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Immutable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Document policy</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Private/copyright</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document_extractions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version_id, schema, extracted_json, provider, model, confidence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version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Versioned output; AI separate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Document policy</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Private; minimise LLM payload</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detected_changes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entity, field, old_snapshot, new_snapshot, type, magnitude, confidence, status</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entity+detected index; dedupe hash</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Immutable detection; review state separate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24 months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change_evidence</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change_id, snapshot_id, source_url, excerpt_ref, page/selector, hash</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change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Immutable link</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Change retention</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Copyright-minimised</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risk_signals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entity, rule_code, inputs_json, severity, status</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entity+rule+time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Rule version stored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24 months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Decision-support</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alerts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org, change/signal, severity, state, dedupe_key, delivered_at</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org+state index; unique dedupe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Lifecycle events audited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24 months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Private business workflow</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alert_reviews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alert_id, reviewer, decision, reason, created_at</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alert/time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Append-only</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24 months</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User actions</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market_snapshots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location_id, period, monitored counts/metrics, source_scope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location+period unique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Immutable aggregate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24 months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Low</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reports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org, type, period, status, storage_uri, approved_by, evidence_manifest</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org+created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Versioned exports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12 months default</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Private/client-facing</w:t>
            </w:r>
          </w:p>
        </w:tc>
      </w:tr>
      <w:tr>
        <w:trPr>
          <w:cantSplit/>
        </w:trPr>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audit_events</w:t>
            </w:r>
          </w:p>
        </w:tc>
        <w:tc>
          <w:tcPr>
            <w:tcW w:type="dxa" w:w="3515"/>
            <w:shd w:fill="F8FAFC"/>
            <w:tcMar>
              <w:top w:w="65" w:type="dxa"/>
              <w:start w:w="65" w:type="dxa"/>
              <w:bottom w:w="65" w:type="dxa"/>
              <w:end w:w="65" w:type="dxa"/>
            </w:tcMar>
            <w:vAlign w:val="top"/>
          </w:tcPr>
          <w:p>
            <w:pPr>
              <w:spacing w:after="0" w:line="240" w:lineRule="auto"/>
            </w:pPr>
            <w:r/>
            <w:r>
              <w:rPr>
                <w:rFonts w:ascii="Aptos" w:hAnsi="Aptos"/>
                <w:color w:val="344054"/>
                <w:sz w:val="12"/>
              </w:rPr>
              <w:t>id, org, actor, action, object, before/after refs, ip_hash, created_at</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org+time; object index</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Append-only/tamper-evident</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2"/>
              </w:rPr>
              <w:t>365 days</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2"/>
              </w:rPr>
              <w:t>Security sensitive</w:t>
            </w:r>
          </w:p>
        </w:tc>
      </w:tr>
      <w:tr>
        <w:trPr>
          <w:cantSplit/>
        </w:trPr>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user_corrections</w:t>
            </w:r>
          </w:p>
        </w:tc>
        <w:tc>
          <w:tcPr>
            <w:tcW w:type="dxa" w:w="3515"/>
            <w:tcMar>
              <w:top w:w="65" w:type="dxa"/>
              <w:start w:w="65" w:type="dxa"/>
              <w:bottom w:w="65" w:type="dxa"/>
              <w:end w:w="65" w:type="dxa"/>
            </w:tcMar>
            <w:vAlign w:val="top"/>
          </w:tcPr>
          <w:p>
            <w:pPr>
              <w:spacing w:after="0" w:line="240" w:lineRule="auto"/>
            </w:pPr>
            <w:r/>
            <w:r>
              <w:rPr>
                <w:rFonts w:ascii="Aptos" w:hAnsi="Aptos"/>
                <w:color w:val="344054"/>
                <w:sz w:val="12"/>
              </w:rPr>
              <w:t>id, org, object/field, proposed, reason, evidence, reviewer, state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object+field index</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Never edits old snapshot; reversible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2"/>
              </w:rPr>
              <w:t>Permanent with entity</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2"/>
              </w:rPr>
              <w:t>Private notes</w:t>
            </w:r>
          </w:p>
        </w:tc>
      </w:tr>
    </w:tbl>
    <w:p>
      <w:pPr>
        <w:spacing w:after="0"/>
      </w:pPr>
    </w:p>
    <w:p>
      <w:pPr>
        <w:pStyle w:val="Heading1"/>
        <w:keepNext/>
        <w:spacing w:before="200" w:after="80"/>
      </w:pPr>
      <w:r>
        <w:t>10.9 FastAPI endpoint design</w:t>
      </w:r>
    </w:p>
    <w:tbl>
      <w:tblPr>
        <w:tblStyle w:val="TableGrid"/>
        <w:tblW w:type="auto" w:w="0"/>
        <w:jc w:val="center"/>
        <w:tblLayout w:type="fixed"/>
        <w:tblLook w:firstColumn="1" w:firstRow="1" w:lastColumn="0" w:lastRow="0" w:noHBand="0" w:noVBand="1" w:val="04A0"/>
      </w:tblPr>
      <w:tblGrid>
        <w:gridCol w:w="2211"/>
        <w:gridCol w:w="2211"/>
        <w:gridCol w:w="2211"/>
        <w:gridCol w:w="2211"/>
        <w:gridCol w:w="2211"/>
        <w:gridCol w:w="2211"/>
        <w:gridCol w:w="2211"/>
      </w:tblGrid>
      <w:tr>
        <w:trPr>
          <w:tblHeader w:val="true"/>
          <w:cantSplit/>
        </w:trPr>
        <w:tc>
          <w:tcPr>
            <w:tcW w:type="dxa" w:w="3175"/>
            <w:shd w:fill="17324D"/>
            <w:tcMar>
              <w:top w:w="80" w:type="dxa"/>
              <w:start w:w="70" w:type="dxa"/>
              <w:bottom w:w="80" w:type="dxa"/>
              <w:end w:w="70" w:type="dxa"/>
            </w:tcMar>
            <w:vAlign w:val="center"/>
          </w:tcPr>
          <w:p>
            <w:pPr>
              <w:spacing w:after="0"/>
              <w:jc w:val="left"/>
            </w:pPr>
            <w:r/>
            <w:r>
              <w:rPr>
                <w:rFonts w:ascii="Aptos" w:hAnsi="Aptos"/>
                <w:b/>
                <w:color w:val="FFFFFF"/>
                <w:sz w:val="11"/>
              </w:rPr>
              <w:t>Method / route</w:t>
            </w:r>
          </w:p>
        </w:tc>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1"/>
              </w:rPr>
              <w:t>Request</w:t>
            </w:r>
          </w:p>
        </w:tc>
        <w:tc>
          <w:tcPr>
            <w:tcW w:type="dxa" w:w="2721"/>
            <w:shd w:fill="17324D"/>
            <w:tcMar>
              <w:top w:w="80" w:type="dxa"/>
              <w:start w:w="70" w:type="dxa"/>
              <w:bottom w:w="80" w:type="dxa"/>
              <w:end w:w="70" w:type="dxa"/>
            </w:tcMar>
            <w:vAlign w:val="center"/>
          </w:tcPr>
          <w:p>
            <w:pPr>
              <w:spacing w:after="0"/>
              <w:jc w:val="left"/>
            </w:pPr>
            <w:r/>
            <w:r>
              <w:rPr>
                <w:rFonts w:ascii="Aptos" w:hAnsi="Aptos"/>
                <w:b/>
                <w:color w:val="FFFFFF"/>
                <w:sz w:val="11"/>
              </w:rPr>
              <w:t>Response</w:t>
            </w:r>
          </w:p>
        </w:tc>
        <w:tc>
          <w:tcPr>
            <w:tcW w:type="dxa" w:w="1701"/>
            <w:shd w:fill="17324D"/>
            <w:tcMar>
              <w:top w:w="80" w:type="dxa"/>
              <w:start w:w="70" w:type="dxa"/>
              <w:bottom w:w="80" w:type="dxa"/>
              <w:end w:w="70" w:type="dxa"/>
            </w:tcMar>
            <w:vAlign w:val="center"/>
          </w:tcPr>
          <w:p>
            <w:pPr>
              <w:spacing w:after="0"/>
              <w:jc w:val="left"/>
            </w:pPr>
            <w:r/>
            <w:r>
              <w:rPr>
                <w:rFonts w:ascii="Aptos" w:hAnsi="Aptos"/>
                <w:b/>
                <w:color w:val="FFFFFF"/>
                <w:sz w:val="11"/>
              </w:rPr>
              <w:t>Auth</w:t>
            </w:r>
          </w:p>
        </w:tc>
        <w:tc>
          <w:tcPr>
            <w:tcW w:type="dxa" w:w="1928"/>
            <w:shd w:fill="17324D"/>
            <w:tcMar>
              <w:top w:w="80" w:type="dxa"/>
              <w:start w:w="70" w:type="dxa"/>
              <w:bottom w:w="80" w:type="dxa"/>
              <w:end w:w="70" w:type="dxa"/>
            </w:tcMar>
            <w:vAlign w:val="center"/>
          </w:tcPr>
          <w:p>
            <w:pPr>
              <w:spacing w:after="0"/>
              <w:jc w:val="left"/>
            </w:pPr>
            <w:r/>
            <w:r>
              <w:rPr>
                <w:rFonts w:ascii="Aptos" w:hAnsi="Aptos"/>
                <w:b/>
                <w:color w:val="FFFFFF"/>
                <w:sz w:val="11"/>
              </w:rPr>
              <w:t>Idempotency</w:t>
            </w:r>
          </w:p>
        </w:tc>
        <w:tc>
          <w:tcPr>
            <w:tcW w:type="dxa" w:w="2438"/>
            <w:shd w:fill="17324D"/>
            <w:tcMar>
              <w:top w:w="80" w:type="dxa"/>
              <w:start w:w="70" w:type="dxa"/>
              <w:bottom w:w="80" w:type="dxa"/>
              <w:end w:w="70" w:type="dxa"/>
            </w:tcMar>
            <w:vAlign w:val="center"/>
          </w:tcPr>
          <w:p>
            <w:pPr>
              <w:spacing w:after="0"/>
              <w:jc w:val="left"/>
            </w:pPr>
            <w:r/>
            <w:r>
              <w:rPr>
                <w:rFonts w:ascii="Aptos" w:hAnsi="Aptos"/>
                <w:b/>
                <w:color w:val="FFFFFF"/>
                <w:sz w:val="11"/>
              </w:rPr>
              <w:t>Errors</w:t>
            </w:r>
          </w:p>
        </w:tc>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1"/>
              </w:rPr>
              <w:t>Approval</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/v1/projects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registration/name/url + source</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ProjectRead + identity confidence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422 unsupported/ambiguous; 409 duplicate</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Ambiguous → review</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/v1/projects/{id}</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Project profile + provenance summary</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404/403</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DELETE /v1/projects/{id}</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delete mode</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DeletionJob</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admin</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Idempotent</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409 active dependencies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Admin confirmation</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/v1/developers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name/identifier</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DeveloperRead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409 duplicate; 422 ambiguous</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Merge review</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/v1/watchlists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name, cadence, alerts</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WatchlistRead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409 name conflict</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/v1/watchlists/{id}</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Watchlist + items/status</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404/403</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DELETE /v1/watchlists/{id}</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delete_exports flag</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DeletionJob</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admin</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Idempotent</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409 report hold</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Admin confirmation</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/v1/watchlists/{id}/items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project/developer/location ref + policy</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WatchlistItemRead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409 existing; 422 unsupported</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Identity if provisional</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DELETE /v1/watchlists/{id}/items/{item}</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204</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Idempotent</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404</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/v1/sources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entity, URL, source type</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SourceRead + policy status</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422 unsupported/restricted</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Admin/source review</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/v1/documents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multipart + rights_attested</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DocumentRead + job</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content hash</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413/415/422/malware</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Rights attestation</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/v1/imports/projects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CSV + dry_run</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ImportPreview/Job</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file hash</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422 row errors</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Confirm commit</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/v1/watchlist-items/{id}/refresh</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force flag</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MonitoringRunRead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window key</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409 running; 429</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Force limited</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/v1/monitoring-runs/{id}</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Run status/errors</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GET /v1/projects/{id}/timeline</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filters/cursor</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TimelinePage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404</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/v1/projects/{id}/changes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filters/cursor</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ChangePage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GET /v1/changes/{id}/evidence</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EvidenceRead + signed links</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404/410 expired</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/v1/projects/{id}/signals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status/window</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SignalPage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GET /v1/alerts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state/severity/cursor</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AlertPage</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None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/v1/alerts/{id}/review</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decision/reason</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AlertRead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reviewer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review idempotency</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409 already final; 422</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Reviewer role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/v1/alerts/{id}/dismiss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reason/false-positive code</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AlertRead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reviewer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Idempotent</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409</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Reviewer role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POST /v1/corrections</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object/field/value/reason/evidence</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CorrectionRead</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reviewer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Idempotency-Key</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422/409</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Second review for identity/date</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POST /v1/reports</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type/scope/window/format</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ReportJob</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request hash</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422 unreviewed high alerts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Approval before final</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/v1/reports/{id}</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ReportRead / signed link</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404/410</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Only approved final</w:t>
            </w:r>
          </w:p>
        </w:tc>
      </w:tr>
      <w:tr>
        <w:trPr>
          <w:cantSplit/>
        </w:trPr>
        <w:tc>
          <w:tcPr>
            <w:tcW w:type="dxa" w:w="3175"/>
            <w:tcMar>
              <w:top w:w="65" w:type="dxa"/>
              <w:start w:w="65" w:type="dxa"/>
              <w:bottom w:w="65" w:type="dxa"/>
              <w:end w:w="65" w:type="dxa"/>
            </w:tcMar>
            <w:vAlign w:val="top"/>
          </w:tcPr>
          <w:p>
            <w:pPr>
              <w:spacing w:after="0" w:line="240" w:lineRule="auto"/>
            </w:pPr>
            <w:r/>
            <w:r>
              <w:rPr>
                <w:rFonts w:ascii="Aptos" w:hAnsi="Aptos"/>
                <w:color w:val="344054"/>
                <w:sz w:val="11"/>
              </w:rPr>
              <w:t>GET /v1/markets/{location}/summary</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1"/>
              </w:rPr>
              <w:t>period/scope</w:t>
            </w:r>
          </w:p>
        </w:tc>
        <w:tc>
          <w:tcPr>
            <w:tcW w:type="dxa" w:w="2721"/>
            <w:tcMar>
              <w:top w:w="65" w:type="dxa"/>
              <w:start w:w="65" w:type="dxa"/>
              <w:bottom w:w="65" w:type="dxa"/>
              <w:end w:w="65" w:type="dxa"/>
            </w:tcMar>
            <w:vAlign w:val="top"/>
          </w:tcPr>
          <w:p>
            <w:pPr>
              <w:spacing w:after="0" w:line="240" w:lineRule="auto"/>
            </w:pPr>
            <w:r/>
            <w:r>
              <w:rPr>
                <w:rFonts w:ascii="Aptos" w:hAnsi="Aptos"/>
                <w:color w:val="344054"/>
                <w:sz w:val="11"/>
              </w:rPr>
              <w:t>MarketSummaryRead</w:t>
            </w:r>
          </w:p>
        </w:tc>
        <w:tc>
          <w:tcPr>
            <w:tcW w:type="dxa" w:w="1701"/>
            <w:tcMar>
              <w:top w:w="65" w:type="dxa"/>
              <w:start w:w="65" w:type="dxa"/>
              <w:bottom w:w="65" w:type="dxa"/>
              <w:end w:w="65" w:type="dxa"/>
            </w:tcMar>
            <w:vAlign w:val="top"/>
          </w:tcPr>
          <w:p>
            <w:pPr>
              <w:spacing w:after="0" w:line="240" w:lineRule="auto"/>
            </w:pPr>
            <w:r/>
            <w:r>
              <w:rPr>
                <w:rFonts w:ascii="Aptos" w:hAnsi="Aptos"/>
                <w:color w:val="344054"/>
                <w:sz w:val="11"/>
              </w:rPr>
              <w:t>org member</w:t>
            </w:r>
          </w:p>
        </w:tc>
        <w:tc>
          <w:tcPr>
            <w:tcW w:type="dxa" w:w="1928"/>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tcMar>
              <w:top w:w="65" w:type="dxa"/>
              <w:start w:w="65" w:type="dxa"/>
              <w:bottom w:w="65" w:type="dxa"/>
              <w:end w:w="65" w:type="dxa"/>
            </w:tcMar>
            <w:vAlign w:val="top"/>
          </w:tcPr>
          <w:p>
            <w:pPr>
              <w:spacing w:after="0" w:line="240" w:lineRule="auto"/>
            </w:pPr>
            <w:r/>
            <w:r>
              <w:rPr>
                <w:rFonts w:ascii="Aptos" w:hAnsi="Aptos"/>
                <w:color w:val="344054"/>
                <w:sz w:val="11"/>
              </w:rPr>
              <w:t>422 unsupported geography</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1"/>
              </w:rPr>
              <w:t>Scope disclosure</w:t>
            </w:r>
          </w:p>
        </w:tc>
      </w:tr>
      <w:tr>
        <w:trPr>
          <w:cantSplit/>
        </w:trPr>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1"/>
              </w:rPr>
              <w:t>GET /v1/audit</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1"/>
              </w:rPr>
              <w:t>object/action/time/cursor</w:t>
            </w:r>
          </w:p>
        </w:tc>
        <w:tc>
          <w:tcPr>
            <w:tcW w:type="dxa" w:w="2721"/>
            <w:shd w:fill="F8FAFC"/>
            <w:tcMar>
              <w:top w:w="65" w:type="dxa"/>
              <w:start w:w="65" w:type="dxa"/>
              <w:bottom w:w="65" w:type="dxa"/>
              <w:end w:w="65" w:type="dxa"/>
            </w:tcMar>
            <w:vAlign w:val="top"/>
          </w:tcPr>
          <w:p>
            <w:pPr>
              <w:spacing w:after="0" w:line="240" w:lineRule="auto"/>
            </w:pPr>
            <w:r/>
            <w:r>
              <w:rPr>
                <w:rFonts w:ascii="Aptos" w:hAnsi="Aptos"/>
                <w:color w:val="344054"/>
                <w:sz w:val="11"/>
              </w:rPr>
              <w:t>AuditPage</w:t>
            </w:r>
          </w:p>
        </w:tc>
        <w:tc>
          <w:tcPr>
            <w:tcW w:type="dxa" w:w="1701"/>
            <w:shd w:fill="F8FAFC"/>
            <w:tcMar>
              <w:top w:w="65" w:type="dxa"/>
              <w:start w:w="65" w:type="dxa"/>
              <w:bottom w:w="65" w:type="dxa"/>
              <w:end w:w="65" w:type="dxa"/>
            </w:tcMar>
            <w:vAlign w:val="top"/>
          </w:tcPr>
          <w:p>
            <w:pPr>
              <w:spacing w:after="0" w:line="240" w:lineRule="auto"/>
            </w:pPr>
            <w:r/>
            <w:r>
              <w:rPr>
                <w:rFonts w:ascii="Aptos" w:hAnsi="Aptos"/>
                <w:color w:val="344054"/>
                <w:sz w:val="11"/>
              </w:rPr>
              <w:t>org admin/auditor</w:t>
            </w:r>
          </w:p>
        </w:tc>
        <w:tc>
          <w:tcPr>
            <w:tcW w:type="dxa" w:w="1928"/>
            <w:shd w:fill="F8FAFC"/>
            <w:tcMar>
              <w:top w:w="65" w:type="dxa"/>
              <w:start w:w="65" w:type="dxa"/>
              <w:bottom w:w="65" w:type="dxa"/>
              <w:end w:w="65" w:type="dxa"/>
            </w:tcMar>
            <w:vAlign w:val="top"/>
          </w:tcPr>
          <w:p>
            <w:pPr>
              <w:spacing w:after="0" w:line="240" w:lineRule="auto"/>
            </w:pPr>
            <w:r/>
            <w:r>
              <w:rPr>
                <w:rFonts w:ascii="Aptos" w:hAnsi="Aptos"/>
                <w:color w:val="344054"/>
                <w:sz w:val="11"/>
              </w:rPr>
              <w:t>N/A</w:t>
            </w:r>
          </w:p>
        </w:tc>
        <w:tc>
          <w:tcPr>
            <w:tcW w:type="dxa" w:w="2438"/>
            <w:shd w:fill="F8FAFC"/>
            <w:tcMar>
              <w:top w:w="65" w:type="dxa"/>
              <w:start w:w="65" w:type="dxa"/>
              <w:bottom w:w="65" w:type="dxa"/>
              <w:end w:w="65" w:type="dxa"/>
            </w:tcMar>
            <w:vAlign w:val="top"/>
          </w:tcPr>
          <w:p>
            <w:pPr>
              <w:spacing w:after="0" w:line="240" w:lineRule="auto"/>
            </w:pPr>
            <w:r/>
            <w:r>
              <w:rPr>
                <w:rFonts w:ascii="Aptos" w:hAnsi="Aptos"/>
                <w:color w:val="344054"/>
                <w:sz w:val="11"/>
              </w:rPr>
              <w:t>403</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1"/>
              </w:rPr>
              <w:t>Restricted</w:t>
            </w:r>
          </w:p>
        </w:tc>
      </w:tr>
    </w:tbl>
    <w:p>
      <w:pPr>
        <w:spacing w:after="0"/>
      </w:pPr>
    </w:p>
    <w:p>
      <w:pPr>
        <w:sectPr>
          <w:pgSz w:w="16838" w:h="11906" w:orient="landscape"/>
          <w:pgMar w:top="794" w:right="680" w:bottom="794" w:left="680" w:header="397" w:footer="397" w:gutter="0"/>
          <w:cols w:space="720"/>
          <w:docGrid w:linePitch="360"/>
        </w:sectPr>
      </w:pPr>
    </w:p>
    <w:p>
      <w:pPr>
        <w:pStyle w:val="Heading1"/>
        <w:keepNext/>
        <w:spacing w:before="200" w:after="80"/>
      </w:pPr>
      <w:r>
        <w:t>11. Validation, testing and failure handling</w:t>
      </w:r>
    </w:p>
    <w:p>
      <w:pPr>
        <w:pStyle w:val="Heading2"/>
        <w:keepNext/>
        <w:spacing w:before="140" w:after="80"/>
      </w:pPr>
      <w:r>
        <w:t>11.1 Frozen test fixtures</w:t>
      </w:r>
    </w:p>
    <w:p>
      <w:pPr>
        <w:pStyle w:val="ListBullet"/>
        <w:spacing w:after="30" w:line="247" w:lineRule="auto"/>
        <w:ind w:left="360" w:hanging="173"/>
      </w:pPr>
      <w:r>
        <w:rPr>
          <w:rFonts w:ascii="Aptos" w:hAnsi="Aptos"/>
          <w:color w:val="344054"/>
          <w:sz w:val="18"/>
        </w:rPr>
        <w:t>Clean official project page with all supported fields.</w:t>
      </w:r>
    </w:p>
    <w:p>
      <w:pPr>
        <w:pStyle w:val="ListBullet"/>
        <w:spacing w:after="30" w:line="247" w:lineRule="auto"/>
        <w:ind w:left="360" w:hanging="173"/>
      </w:pPr>
      <w:r>
        <w:rPr>
          <w:rFonts w:ascii="Aptos" w:hAnsi="Aptos"/>
          <w:color w:val="344054"/>
          <w:sz w:val="18"/>
        </w:rPr>
        <w:t>Completion date changed between two snapshots.</w:t>
      </w:r>
    </w:p>
    <w:p>
      <w:pPr>
        <w:pStyle w:val="ListBullet"/>
        <w:spacing w:after="30" w:line="247" w:lineRule="auto"/>
        <w:ind w:left="360" w:hanging="173"/>
      </w:pPr>
      <w:r>
        <w:rPr>
          <w:rFonts w:ascii="Aptos" w:hAnsi="Aptos"/>
          <w:color w:val="344054"/>
          <w:sz w:val="18"/>
        </w:rPr>
        <w:t>Multiple phases and multiple registration numbers.</w:t>
      </w:r>
    </w:p>
    <w:p>
      <w:pPr>
        <w:pStyle w:val="ListBullet"/>
        <w:spacing w:after="30" w:line="247" w:lineRule="auto"/>
        <w:ind w:left="360" w:hanging="173"/>
      </w:pPr>
      <w:r>
        <w:rPr>
          <w:rFonts w:ascii="Aptos" w:hAnsi="Aptos"/>
          <w:color w:val="344054"/>
          <w:sz w:val="18"/>
        </w:rPr>
        <w:t>Similar project names and developer aliases.</w:t>
      </w:r>
    </w:p>
    <w:p>
      <w:pPr>
        <w:pStyle w:val="ListBullet"/>
        <w:spacing w:after="30" w:line="247" w:lineRule="auto"/>
        <w:ind w:left="360" w:hanging="173"/>
      </w:pPr>
      <w:r>
        <w:rPr>
          <w:rFonts w:ascii="Aptos" w:hAnsi="Aptos"/>
          <w:color w:val="344054"/>
          <w:sz w:val="18"/>
        </w:rPr>
        <w:t>Removed page, timeout and HTTP rate limit.</w:t>
      </w:r>
    </w:p>
    <w:p>
      <w:pPr>
        <w:pStyle w:val="ListBullet"/>
        <w:spacing w:after="30" w:line="247" w:lineRule="auto"/>
        <w:ind w:left="360" w:hanging="173"/>
      </w:pPr>
      <w:r>
        <w:rPr>
          <w:rFonts w:ascii="Aptos" w:hAnsi="Aptos"/>
          <w:color w:val="344054"/>
          <w:sz w:val="18"/>
        </w:rPr>
        <w:t>HTML layout change and parser partial output.</w:t>
      </w:r>
    </w:p>
    <w:p>
      <w:pPr>
        <w:pStyle w:val="ListBullet"/>
        <w:spacing w:after="30" w:line="247" w:lineRule="auto"/>
        <w:ind w:left="360" w:hanging="173"/>
      </w:pPr>
      <w:r>
        <w:rPr>
          <w:rFonts w:ascii="Aptos" w:hAnsi="Aptos"/>
          <w:color w:val="344054"/>
          <w:sz w:val="18"/>
        </w:rPr>
        <w:t>Official-versus-developer conflict.</w:t>
      </w:r>
    </w:p>
    <w:p>
      <w:pPr>
        <w:pStyle w:val="ListBullet"/>
        <w:spacing w:after="30" w:line="247" w:lineRule="auto"/>
        <w:ind w:left="360" w:hanging="173"/>
      </w:pPr>
      <w:r>
        <w:rPr>
          <w:rFonts w:ascii="Aptos" w:hAnsi="Aptos"/>
          <w:color w:val="344054"/>
          <w:sz w:val="18"/>
        </w:rPr>
        <w:t>Scanned brochure requiring OCR and low confidence.</w:t>
      </w:r>
    </w:p>
    <w:p>
      <w:pPr>
        <w:pStyle w:val="ListBullet"/>
        <w:spacing w:after="30" w:line="247" w:lineRule="auto"/>
        <w:ind w:left="360" w:hanging="173"/>
      </w:pPr>
      <w:r>
        <w:rPr>
          <w:rFonts w:ascii="Aptos" w:hAnsi="Aptos"/>
          <w:color w:val="344054"/>
          <w:sz w:val="18"/>
        </w:rPr>
        <w:t>Revised brochure with one material and several cosmetic changes.</w:t>
      </w:r>
    </w:p>
    <w:p>
      <w:pPr>
        <w:pStyle w:val="ListBullet"/>
        <w:spacing w:after="30" w:line="247" w:lineRule="auto"/>
        <w:ind w:left="360" w:hanging="173"/>
      </w:pPr>
      <w:r>
        <w:rPr>
          <w:rFonts w:ascii="Aptos" w:hAnsi="Aptos"/>
          <w:color w:val="344054"/>
          <w:sz w:val="18"/>
        </w:rPr>
        <w:t>Duplicate project and idempotent CSV import.</w:t>
      </w:r>
    </w:p>
    <w:p>
      <w:pPr>
        <w:pStyle w:val="ListBullet"/>
        <w:spacing w:after="30" w:line="247" w:lineRule="auto"/>
        <w:ind w:left="360" w:hanging="173"/>
      </w:pPr>
      <w:r>
        <w:rPr>
          <w:rFonts w:ascii="Aptos" w:hAnsi="Aptos"/>
          <w:color w:val="344054"/>
          <w:sz w:val="18"/>
        </w:rPr>
        <w:t>Missing registration number and provisional identity.</w:t>
      </w:r>
    </w:p>
    <w:p>
      <w:pPr>
        <w:pStyle w:val="ListBullet"/>
        <w:spacing w:after="30" w:line="247" w:lineRule="auto"/>
        <w:ind w:left="360" w:hanging="173"/>
      </w:pPr>
      <w:r>
        <w:rPr>
          <w:rFonts w:ascii="Aptos" w:hAnsi="Aptos"/>
          <w:color w:val="344054"/>
          <w:sz w:val="18"/>
        </w:rPr>
        <w:t>Stale page/no update, repeated extension and source outage.</w:t>
      </w:r>
    </w:p>
    <w:p>
      <w:pPr>
        <w:pStyle w:val="ListBullet"/>
        <w:spacing w:after="30" w:line="247" w:lineRule="auto"/>
        <w:ind w:left="360" w:hanging="173"/>
      </w:pPr>
      <w:r>
        <w:rPr>
          <w:rFonts w:ascii="Aptos" w:hAnsi="Aptos"/>
          <w:color w:val="344054"/>
          <w:sz w:val="18"/>
        </w:rPr>
        <w:t>New official notice exact-linked to registration.</w:t>
      </w:r>
    </w:p>
    <w:p>
      <w:pPr>
        <w:pStyle w:val="ListBullet"/>
        <w:spacing w:after="30" w:line="247" w:lineRule="auto"/>
        <w:ind w:left="360" w:hanging="173"/>
      </w:pPr>
      <w:r>
        <w:rPr>
          <w:rFonts w:ascii="Aptos" w:hAnsi="Aptos"/>
          <w:color w:val="344054"/>
          <w:sz w:val="18"/>
        </w:rPr>
        <w:t>Marketing claim mismatch and project status change/reversal.</w:t>
      </w:r>
    </w:p>
    <w:p>
      <w:pPr>
        <w:pStyle w:val="Heading2"/>
        <w:keepNext/>
        <w:spacing w:before="140" w:after="80"/>
      </w:pPr>
      <w:r>
        <w:t>11.2 Evaluation metrics and internal release targets</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5"/>
              </w:rPr>
              <w:t>Metric</w:t>
            </w:r>
          </w:p>
        </w:tc>
        <w:tc>
          <w:tcPr>
            <w:tcW w:type="dxa" w:w="5216"/>
            <w:shd w:fill="17324D"/>
            <w:tcMar>
              <w:top w:w="80" w:type="dxa"/>
              <w:start w:w="70" w:type="dxa"/>
              <w:bottom w:w="80" w:type="dxa"/>
              <w:end w:w="70" w:type="dxa"/>
            </w:tcMar>
            <w:vAlign w:val="center"/>
          </w:tcPr>
          <w:p>
            <w:pPr>
              <w:spacing w:after="0"/>
              <w:jc w:val="left"/>
            </w:pPr>
            <w:r/>
            <w:r>
              <w:rPr>
                <w:rFonts w:ascii="Aptos" w:hAnsi="Aptos"/>
                <w:b/>
                <w:color w:val="FFFFFF"/>
                <w:sz w:val="15"/>
              </w:rPr>
              <w:t>Target (not a guarantee)</w:t>
            </w:r>
          </w:p>
        </w:tc>
        <w:tc>
          <w:tcPr>
            <w:tcW w:type="dxa" w:w="1304"/>
            <w:shd w:fill="17324D"/>
            <w:tcMar>
              <w:top w:w="80" w:type="dxa"/>
              <w:start w:w="70" w:type="dxa"/>
              <w:bottom w:w="80" w:type="dxa"/>
              <w:end w:w="70" w:type="dxa"/>
            </w:tcMar>
            <w:vAlign w:val="center"/>
          </w:tcPr>
          <w:p>
            <w:pPr>
              <w:spacing w:after="0"/>
              <w:jc w:val="left"/>
            </w:pPr>
            <w:r/>
            <w:r>
              <w:rPr>
                <w:rFonts w:ascii="Aptos" w:hAnsi="Aptos"/>
                <w:b/>
                <w:color w:val="FFFFFF"/>
                <w:sz w:val="15"/>
              </w:rPr>
              <w:t>Gate</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Registration-number extraction</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≥99.5% exact on supported frozen/representative pages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Completion-date extraction</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≥98% exact on supported HTML; OCR cases reported separately</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Project matching precision</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≥99% with registration ID; ≥95% name+developer+location</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Developer matching precision</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≥97% on curated alias set; merges require review</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Change precision</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≥98% for supported typed fields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Change recall</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≥95% for seeded supported changes</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High</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False high-severity alert rate</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&lt;2% in pilot; zero unsupported factual assertions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Evidence completeness</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100% of surfaced changes link old/new snapshots and source</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Critical</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Source refresh success</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≥95% weekly on supported adapter excluding declared outages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High</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Document comparison accuracy</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≥90% precision on reviewed core claims; recall reported</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Medium-High</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Human correction rate</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&lt;10% of surfaced core-field alerts after first two pilot weeks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Medium</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Monitoring latency</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&lt;24 h daily policy; &lt;7 days weekly policy, source permitting</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Report generation success</w:t>
            </w:r>
          </w:p>
        </w:tc>
        <w:tc>
          <w:tcPr>
            <w:tcW w:type="dxa" w:w="5216"/>
            <w:tcMar>
              <w:top w:w="65" w:type="dxa"/>
              <w:start w:w="65" w:type="dxa"/>
              <w:bottom w:w="65" w:type="dxa"/>
              <w:end w:w="65" w:type="dxa"/>
            </w:tcMar>
            <w:vAlign w:val="top"/>
          </w:tcPr>
          <w:p>
            <w:pPr>
              <w:spacing w:after="0" w:line="240" w:lineRule="auto"/>
            </w:pPr>
            <w:r/>
            <w:r>
              <w:rPr>
                <w:rFonts w:ascii="Aptos" w:hAnsi="Aptos"/>
                <w:color w:val="344054"/>
                <w:sz w:val="15"/>
              </w:rPr>
              <w:t>≥99% on valid approved input</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5"/>
              </w:rPr>
              <w:t>High</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Processing cost</w:t>
            </w:r>
          </w:p>
        </w:tc>
        <w:tc>
          <w:tcPr>
            <w:tcW w:type="dxa" w:w="5216"/>
            <w:shd w:fill="F8FAFC"/>
            <w:tcMar>
              <w:top w:w="65" w:type="dxa"/>
              <w:start w:w="65" w:type="dxa"/>
              <w:bottom w:w="65" w:type="dxa"/>
              <w:end w:w="65" w:type="dxa"/>
            </w:tcMar>
            <w:vAlign w:val="top"/>
          </w:tcPr>
          <w:p>
            <w:pPr>
              <w:spacing w:after="0" w:line="240" w:lineRule="auto"/>
            </w:pPr>
            <w:r/>
            <w:r>
              <w:rPr>
                <w:rFonts w:ascii="Aptos" w:hAnsi="Aptos"/>
                <w:color w:val="344054"/>
                <w:sz w:val="15"/>
              </w:rPr>
              <w:t>Measure per refresh/document; enforce monthly budget ceiling</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5"/>
              </w:rPr>
              <w:t>Medium</w:t>
            </w:r>
          </w:p>
        </w:tc>
      </w:tr>
    </w:tbl>
    <w:p>
      <w:pPr>
        <w:spacing w:after="0"/>
      </w:pPr>
    </w:p>
    <w:p>
      <w:pPr>
        <w:pStyle w:val="Heading2"/>
        <w:keepNext/>
        <w:spacing w:before="140" w:after="80"/>
      </w:pPr>
      <w:r>
        <w:t>11.3 Test plan</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757"/>
            <w:shd w:fill="17324D"/>
            <w:tcMar>
              <w:top w:w="80" w:type="dxa"/>
              <w:start w:w="70" w:type="dxa"/>
              <w:bottom w:w="80" w:type="dxa"/>
              <w:end w:w="70" w:type="dxa"/>
            </w:tcMar>
            <w:vAlign w:val="center"/>
          </w:tcPr>
          <w:p>
            <w:pPr>
              <w:spacing w:after="0"/>
              <w:jc w:val="left"/>
            </w:pPr>
            <w:r/>
            <w:r>
              <w:rPr>
                <w:rFonts w:ascii="Aptos" w:hAnsi="Aptos"/>
                <w:b/>
                <w:color w:val="FFFFFF"/>
                <w:sz w:val="15"/>
              </w:rPr>
              <w:t>Plan</w:t>
            </w:r>
          </w:p>
        </w:tc>
        <w:tc>
          <w:tcPr>
            <w:tcW w:type="dxa" w:w="4989"/>
            <w:shd w:fill="17324D"/>
            <w:tcMar>
              <w:top w:w="80" w:type="dxa"/>
              <w:start w:w="70" w:type="dxa"/>
              <w:bottom w:w="80" w:type="dxa"/>
              <w:end w:w="70" w:type="dxa"/>
            </w:tcMar>
            <w:vAlign w:val="center"/>
          </w:tcPr>
          <w:p>
            <w:pPr>
              <w:spacing w:after="0"/>
              <w:jc w:val="left"/>
            </w:pPr>
            <w:r/>
            <w:r>
              <w:rPr>
                <w:rFonts w:ascii="Aptos" w:hAnsi="Aptos"/>
                <w:b/>
                <w:color w:val="FFFFFF"/>
                <w:sz w:val="15"/>
              </w:rPr>
              <w:t>Coverage</w:t>
            </w:r>
          </w:p>
        </w:tc>
        <w:tc>
          <w:tcPr>
            <w:tcW w:type="dxa" w:w="2608"/>
            <w:shd w:fill="17324D"/>
            <w:tcMar>
              <w:top w:w="80" w:type="dxa"/>
              <w:start w:w="70" w:type="dxa"/>
              <w:bottom w:w="80" w:type="dxa"/>
              <w:end w:w="70" w:type="dxa"/>
            </w:tcMar>
            <w:vAlign w:val="center"/>
          </w:tcPr>
          <w:p>
            <w:pPr>
              <w:spacing w:after="0"/>
              <w:jc w:val="left"/>
            </w:pPr>
            <w:r/>
            <w:r>
              <w:rPr>
                <w:rFonts w:ascii="Aptos" w:hAnsi="Aptos"/>
                <w:b/>
                <w:color w:val="FFFFFF"/>
                <w:sz w:val="15"/>
              </w:rPr>
              <w:t>Exit criterion</w:t>
            </w:r>
          </w:p>
        </w:tc>
      </w:tr>
      <w:tr>
        <w:trPr>
          <w:cantSplit/>
        </w:trPr>
        <w:tc>
          <w:tcPr>
            <w:tcW w:type="dxa" w:w="1757"/>
            <w:tcMar>
              <w:top w:w="65" w:type="dxa"/>
              <w:start w:w="65" w:type="dxa"/>
              <w:bottom w:w="65" w:type="dxa"/>
              <w:end w:w="65" w:type="dxa"/>
            </w:tcMar>
            <w:vAlign w:val="top"/>
          </w:tcPr>
          <w:p>
            <w:pPr>
              <w:spacing w:after="0" w:line="240" w:lineRule="auto"/>
            </w:pPr>
            <w:r/>
            <w:r>
              <w:rPr>
                <w:rFonts w:ascii="Aptos" w:hAnsi="Aptos"/>
                <w:color w:val="344054"/>
                <w:sz w:val="15"/>
              </w:rPr>
              <w:t>Unit</w:t>
            </w:r>
          </w:p>
        </w:tc>
        <w:tc>
          <w:tcPr>
            <w:tcW w:type="dxa" w:w="4989"/>
            <w:tcMar>
              <w:top w:w="65" w:type="dxa"/>
              <w:start w:w="65" w:type="dxa"/>
              <w:bottom w:w="65" w:type="dxa"/>
              <w:end w:w="65" w:type="dxa"/>
            </w:tcMar>
            <w:vAlign w:val="top"/>
          </w:tcPr>
          <w:p>
            <w:pPr>
              <w:spacing w:after="0" w:line="240" w:lineRule="auto"/>
            </w:pPr>
            <w:r/>
            <w:r>
              <w:rPr>
                <w:rFonts w:ascii="Aptos" w:hAnsi="Aptos"/>
                <w:color w:val="344054"/>
                <w:sz w:val="15"/>
              </w:rPr>
              <w:t>Normalisers, typed comparators, date math, removal/reversal, rule thresholds, confidence, dedupe and permissions.</w:t>
            </w:r>
          </w:p>
        </w:tc>
        <w:tc>
          <w:tcPr>
            <w:tcW w:type="dxa" w:w="2608"/>
            <w:tcMar>
              <w:top w:w="65" w:type="dxa"/>
              <w:start w:w="65" w:type="dxa"/>
              <w:bottom w:w="65" w:type="dxa"/>
              <w:end w:w="65" w:type="dxa"/>
            </w:tcMar>
            <w:vAlign w:val="top"/>
          </w:tcPr>
          <w:p>
            <w:pPr>
              <w:spacing w:after="0" w:line="240" w:lineRule="auto"/>
            </w:pPr>
            <w:r/>
            <w:r>
              <w:rPr>
                <w:rFonts w:ascii="Aptos" w:hAnsi="Aptos"/>
                <w:color w:val="344054"/>
                <w:sz w:val="15"/>
              </w:rPr>
              <w:t>Every PR; ≥85% meaningful coverage for core modules.</w:t>
            </w:r>
          </w:p>
        </w:tc>
      </w:tr>
      <w:tr>
        <w:trPr>
          <w:cantSplit/>
        </w:trPr>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5"/>
              </w:rPr>
              <w:t>Parser regression</w:t>
            </w:r>
          </w:p>
        </w:tc>
        <w:tc>
          <w:tcPr>
            <w:tcW w:type="dxa" w:w="4989"/>
            <w:shd w:fill="F8FAFC"/>
            <w:tcMar>
              <w:top w:w="65" w:type="dxa"/>
              <w:start w:w="65" w:type="dxa"/>
              <w:bottom w:w="65" w:type="dxa"/>
              <w:end w:w="65" w:type="dxa"/>
            </w:tcMar>
            <w:vAlign w:val="top"/>
          </w:tcPr>
          <w:p>
            <w:pPr>
              <w:spacing w:after="0" w:line="240" w:lineRule="auto"/>
            </w:pPr>
            <w:r/>
            <w:r>
              <w:rPr>
                <w:rFonts w:ascii="Aptos" w:hAnsi="Aptos"/>
                <w:color w:val="344054"/>
                <w:sz w:val="15"/>
              </w:rPr>
              <w:t>Frozen HTML/PDF fixtures for every adapter/parser version; selector and schema snapshots.</w:t>
            </w:r>
          </w:p>
        </w:tc>
        <w:tc>
          <w:tcPr>
            <w:tcW w:type="dxa" w:w="2608"/>
            <w:shd w:fill="F8FAFC"/>
            <w:tcMar>
              <w:top w:w="65" w:type="dxa"/>
              <w:start w:w="65" w:type="dxa"/>
              <w:bottom w:w="65" w:type="dxa"/>
              <w:end w:w="65" w:type="dxa"/>
            </w:tcMar>
            <w:vAlign w:val="top"/>
          </w:tcPr>
          <w:p>
            <w:pPr>
              <w:spacing w:after="0" w:line="240" w:lineRule="auto"/>
            </w:pPr>
            <w:r/>
            <w:r>
              <w:rPr>
                <w:rFonts w:ascii="Aptos" w:hAnsi="Aptos"/>
                <w:color w:val="344054"/>
                <w:sz w:val="15"/>
              </w:rPr>
              <w:t>Blocking for supported fields.</w:t>
            </w:r>
          </w:p>
        </w:tc>
      </w:tr>
      <w:tr>
        <w:trPr>
          <w:cantSplit/>
        </w:trPr>
        <w:tc>
          <w:tcPr>
            <w:tcW w:type="dxa" w:w="1757"/>
            <w:tcMar>
              <w:top w:w="65" w:type="dxa"/>
              <w:start w:w="65" w:type="dxa"/>
              <w:bottom w:w="65" w:type="dxa"/>
              <w:end w:w="65" w:type="dxa"/>
            </w:tcMar>
            <w:vAlign w:val="top"/>
          </w:tcPr>
          <w:p>
            <w:pPr>
              <w:spacing w:after="0" w:line="240" w:lineRule="auto"/>
            </w:pPr>
            <w:r/>
            <w:r>
              <w:rPr>
                <w:rFonts w:ascii="Aptos" w:hAnsi="Aptos"/>
                <w:color w:val="344054"/>
                <w:sz w:val="15"/>
              </w:rPr>
              <w:t>Integration</w:t>
            </w:r>
          </w:p>
        </w:tc>
        <w:tc>
          <w:tcPr>
            <w:tcW w:type="dxa" w:w="4989"/>
            <w:tcMar>
              <w:top w:w="65" w:type="dxa"/>
              <w:start w:w="65" w:type="dxa"/>
              <w:bottom w:w="65" w:type="dxa"/>
              <w:end w:w="65" w:type="dxa"/>
            </w:tcMar>
            <w:vAlign w:val="top"/>
          </w:tcPr>
          <w:p>
            <w:pPr>
              <w:spacing w:after="0" w:line="240" w:lineRule="auto"/>
            </w:pPr>
            <w:r/>
            <w:r>
              <w:rPr>
                <w:rFonts w:ascii="Aptos" w:hAnsi="Aptos"/>
                <w:color w:val="344054"/>
                <w:sz w:val="15"/>
              </w:rPr>
              <w:t>HTTP mock → collector → parser → DB snapshot → diff → alert; object store; queue; report.</w:t>
            </w:r>
          </w:p>
        </w:tc>
        <w:tc>
          <w:tcPr>
            <w:tcW w:type="dxa" w:w="2608"/>
            <w:tcMar>
              <w:top w:w="65" w:type="dxa"/>
              <w:start w:w="65" w:type="dxa"/>
              <w:bottom w:w="65" w:type="dxa"/>
              <w:end w:w="65" w:type="dxa"/>
            </w:tcMar>
            <w:vAlign w:val="top"/>
          </w:tcPr>
          <w:p>
            <w:pPr>
              <w:spacing w:after="0" w:line="240" w:lineRule="auto"/>
            </w:pPr>
            <w:r/>
            <w:r>
              <w:rPr>
                <w:rFonts w:ascii="Aptos" w:hAnsi="Aptos"/>
                <w:color w:val="344054"/>
                <w:sz w:val="15"/>
              </w:rPr>
              <w:t>CI with Postgres.</w:t>
            </w:r>
          </w:p>
        </w:tc>
      </w:tr>
      <w:tr>
        <w:trPr>
          <w:cantSplit/>
        </w:trPr>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5"/>
              </w:rPr>
              <w:t>End-to-end</w:t>
            </w:r>
          </w:p>
        </w:tc>
        <w:tc>
          <w:tcPr>
            <w:tcW w:type="dxa" w:w="4989"/>
            <w:shd w:fill="F8FAFC"/>
            <w:tcMar>
              <w:top w:w="65" w:type="dxa"/>
              <w:start w:w="65" w:type="dxa"/>
              <w:bottom w:w="65" w:type="dxa"/>
              <w:end w:w="65" w:type="dxa"/>
            </w:tcMar>
            <w:vAlign w:val="top"/>
          </w:tcPr>
          <w:p>
            <w:pPr>
              <w:spacing w:after="0" w:line="240" w:lineRule="auto"/>
            </w:pPr>
            <w:r/>
            <w:r>
              <w:rPr>
                <w:rFonts w:ascii="Aptos" w:hAnsi="Aptos"/>
                <w:color w:val="344054"/>
                <w:sz w:val="15"/>
              </w:rPr>
              <w:t>Create watchlist, import, baseline, simulated refresh, review, report and deletion.</w:t>
            </w:r>
          </w:p>
        </w:tc>
        <w:tc>
          <w:tcPr>
            <w:tcW w:type="dxa" w:w="2608"/>
            <w:shd w:fill="F8FAFC"/>
            <w:tcMar>
              <w:top w:w="65" w:type="dxa"/>
              <w:start w:w="65" w:type="dxa"/>
              <w:bottom w:w="65" w:type="dxa"/>
              <w:end w:w="65" w:type="dxa"/>
            </w:tcMar>
            <w:vAlign w:val="top"/>
          </w:tcPr>
          <w:p>
            <w:pPr>
              <w:spacing w:after="0" w:line="240" w:lineRule="auto"/>
            </w:pPr>
            <w:r/>
            <w:r>
              <w:rPr>
                <w:rFonts w:ascii="Aptos" w:hAnsi="Aptos"/>
                <w:color w:val="344054"/>
                <w:sz w:val="15"/>
              </w:rPr>
              <w:t>Four demo cases plus failure paths.</w:t>
            </w:r>
          </w:p>
        </w:tc>
      </w:tr>
      <w:tr>
        <w:trPr>
          <w:cantSplit/>
        </w:trPr>
        <w:tc>
          <w:tcPr>
            <w:tcW w:type="dxa" w:w="1757"/>
            <w:tcMar>
              <w:top w:w="65" w:type="dxa"/>
              <w:start w:w="65" w:type="dxa"/>
              <w:bottom w:w="65" w:type="dxa"/>
              <w:end w:w="65" w:type="dxa"/>
            </w:tcMar>
            <w:vAlign w:val="top"/>
          </w:tcPr>
          <w:p>
            <w:pPr>
              <w:spacing w:after="0" w:line="240" w:lineRule="auto"/>
            </w:pPr>
            <w:r/>
            <w:r>
              <w:rPr>
                <w:rFonts w:ascii="Aptos" w:hAnsi="Aptos"/>
                <w:color w:val="344054"/>
                <w:sz w:val="15"/>
              </w:rPr>
              <w:t>Security</w:t>
            </w:r>
          </w:p>
        </w:tc>
        <w:tc>
          <w:tcPr>
            <w:tcW w:type="dxa" w:w="4989"/>
            <w:tcMar>
              <w:top w:w="65" w:type="dxa"/>
              <w:start w:w="65" w:type="dxa"/>
              <w:bottom w:w="65" w:type="dxa"/>
              <w:end w:w="65" w:type="dxa"/>
            </w:tcMar>
            <w:vAlign w:val="top"/>
          </w:tcPr>
          <w:p>
            <w:pPr>
              <w:spacing w:after="0" w:line="240" w:lineRule="auto"/>
            </w:pPr>
            <w:r/>
            <w:r>
              <w:rPr>
                <w:rFonts w:ascii="Aptos" w:hAnsi="Aptos"/>
                <w:color w:val="344054"/>
                <w:sz w:val="15"/>
              </w:rPr>
              <w:t>Tenant isolation, authz, IDOR, upload malware/type/size, SSRF, signed URL, secrets, rate limit and audit.</w:t>
            </w:r>
          </w:p>
        </w:tc>
        <w:tc>
          <w:tcPr>
            <w:tcW w:type="dxa" w:w="2608"/>
            <w:tcMar>
              <w:top w:w="65" w:type="dxa"/>
              <w:start w:w="65" w:type="dxa"/>
              <w:bottom w:w="65" w:type="dxa"/>
              <w:end w:w="65" w:type="dxa"/>
            </w:tcMar>
            <w:vAlign w:val="top"/>
          </w:tcPr>
          <w:p>
            <w:pPr>
              <w:spacing w:after="0" w:line="240" w:lineRule="auto"/>
            </w:pPr>
            <w:r/>
            <w:r>
              <w:rPr>
                <w:rFonts w:ascii="Aptos" w:hAnsi="Aptos"/>
                <w:color w:val="344054"/>
                <w:sz w:val="15"/>
              </w:rPr>
              <w:t>No critical/high open finding before pilot.</w:t>
            </w:r>
          </w:p>
        </w:tc>
      </w:tr>
      <w:tr>
        <w:trPr>
          <w:cantSplit/>
        </w:trPr>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5"/>
              </w:rPr>
              <w:t>Human evaluation</w:t>
            </w:r>
          </w:p>
        </w:tc>
        <w:tc>
          <w:tcPr>
            <w:tcW w:type="dxa" w:w="4989"/>
            <w:shd w:fill="F8FAFC"/>
            <w:tcMar>
              <w:top w:w="65" w:type="dxa"/>
              <w:start w:w="65" w:type="dxa"/>
              <w:bottom w:w="65" w:type="dxa"/>
              <w:end w:w="65" w:type="dxa"/>
            </w:tcMar>
            <w:vAlign w:val="top"/>
          </w:tcPr>
          <w:p>
            <w:pPr>
              <w:spacing w:after="0" w:line="240" w:lineRule="auto"/>
            </w:pPr>
            <w:r/>
            <w:r>
              <w:rPr>
                <w:rFonts w:ascii="Aptos" w:hAnsi="Aptos"/>
                <w:color w:val="344054"/>
                <w:sz w:val="15"/>
              </w:rPr>
              <w:t>Two domain reviewers label identity, facts, changes, claim mismatch and severity.</w:t>
            </w:r>
          </w:p>
        </w:tc>
        <w:tc>
          <w:tcPr>
            <w:tcW w:type="dxa" w:w="2608"/>
            <w:shd w:fill="F8FAFC"/>
            <w:tcMar>
              <w:top w:w="65" w:type="dxa"/>
              <w:start w:w="65" w:type="dxa"/>
              <w:bottom w:w="65" w:type="dxa"/>
              <w:end w:w="65" w:type="dxa"/>
            </w:tcMar>
            <w:vAlign w:val="top"/>
          </w:tcPr>
          <w:p>
            <w:pPr>
              <w:spacing w:after="0" w:line="240" w:lineRule="auto"/>
            </w:pPr>
            <w:r/>
            <w:r>
              <w:rPr>
                <w:rFonts w:ascii="Aptos" w:hAnsi="Aptos"/>
                <w:color w:val="344054"/>
                <w:sz w:val="15"/>
              </w:rPr>
              <w:t>Resolve disagreements; record gold set.</w:t>
            </w:r>
          </w:p>
        </w:tc>
      </w:tr>
      <w:tr>
        <w:trPr>
          <w:cantSplit/>
        </w:trPr>
        <w:tc>
          <w:tcPr>
            <w:tcW w:type="dxa" w:w="1757"/>
            <w:tcMar>
              <w:top w:w="65" w:type="dxa"/>
              <w:start w:w="65" w:type="dxa"/>
              <w:bottom w:w="65" w:type="dxa"/>
              <w:end w:w="65" w:type="dxa"/>
            </w:tcMar>
            <w:vAlign w:val="top"/>
          </w:tcPr>
          <w:p>
            <w:pPr>
              <w:spacing w:after="0" w:line="240" w:lineRule="auto"/>
            </w:pPr>
            <w:r/>
            <w:r>
              <w:rPr>
                <w:rFonts w:ascii="Aptos" w:hAnsi="Aptos"/>
                <w:color w:val="344054"/>
                <w:sz w:val="15"/>
              </w:rPr>
              <w:t>Source-change drills</w:t>
            </w:r>
          </w:p>
        </w:tc>
        <w:tc>
          <w:tcPr>
            <w:tcW w:type="dxa" w:w="4989"/>
            <w:tcMar>
              <w:top w:w="65" w:type="dxa"/>
              <w:start w:w="65" w:type="dxa"/>
              <w:bottom w:w="65" w:type="dxa"/>
              <w:end w:w="65" w:type="dxa"/>
            </w:tcMar>
            <w:vAlign w:val="top"/>
          </w:tcPr>
          <w:p>
            <w:pPr>
              <w:spacing w:after="0" w:line="240" w:lineRule="auto"/>
            </w:pPr>
            <w:r/>
            <w:r>
              <w:rPr>
                <w:rFonts w:ascii="Aptos" w:hAnsi="Aptos"/>
                <w:color w:val="344054"/>
                <w:sz w:val="15"/>
              </w:rPr>
              <w:t>Mutate fixture layout, remove fields, introduce CAPTCHA/403 and stale content.</w:t>
            </w:r>
          </w:p>
        </w:tc>
        <w:tc>
          <w:tcPr>
            <w:tcW w:type="dxa" w:w="2608"/>
            <w:tcMar>
              <w:top w:w="65" w:type="dxa"/>
              <w:start w:w="65" w:type="dxa"/>
              <w:bottom w:w="65" w:type="dxa"/>
              <w:end w:w="65" w:type="dxa"/>
            </w:tcMar>
            <w:vAlign w:val="top"/>
          </w:tcPr>
          <w:p>
            <w:pPr>
              <w:spacing w:after="0" w:line="240" w:lineRule="auto"/>
            </w:pPr>
            <w:r/>
            <w:r>
              <w:rPr>
                <w:rFonts w:ascii="Aptos" w:hAnsi="Aptos"/>
                <w:color w:val="344054"/>
                <w:sz w:val="15"/>
              </w:rPr>
              <w:t>No silent fabrication; source degraded visibly.</w:t>
            </w:r>
          </w:p>
        </w:tc>
      </w:tr>
    </w:tbl>
    <w:p>
      <w:pPr>
        <w:spacing w:after="0"/>
      </w:pPr>
    </w:p>
    <w:p>
      <w:pPr>
        <w:pStyle w:val="Heading2"/>
        <w:keepNext/>
        <w:spacing w:before="140" w:after="80"/>
      </w:pPr>
      <w:r>
        <w:t>11.4 Failure handling matrix</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5"/>
              </w:rPr>
              <w:t>Failure</w:t>
            </w:r>
          </w:p>
        </w:tc>
        <w:tc>
          <w:tcPr>
            <w:tcW w:type="dxa" w:w="3855"/>
            <w:shd w:fill="17324D"/>
            <w:tcMar>
              <w:top w:w="80" w:type="dxa"/>
              <w:start w:w="70" w:type="dxa"/>
              <w:bottom w:w="80" w:type="dxa"/>
              <w:end w:w="70" w:type="dxa"/>
            </w:tcMar>
            <w:vAlign w:val="center"/>
          </w:tcPr>
          <w:p>
            <w:pPr>
              <w:spacing w:after="0"/>
              <w:jc w:val="left"/>
            </w:pPr>
            <w:r/>
            <w:r>
              <w:rPr>
                <w:rFonts w:ascii="Aptos" w:hAnsi="Aptos"/>
                <w:b/>
                <w:color w:val="FFFFFF"/>
                <w:sz w:val="15"/>
              </w:rPr>
              <w:t>Internal response</w:t>
            </w:r>
          </w:p>
        </w:tc>
        <w:tc>
          <w:tcPr>
            <w:tcW w:type="dxa" w:w="3458"/>
            <w:shd w:fill="17324D"/>
            <w:tcMar>
              <w:top w:w="80" w:type="dxa"/>
              <w:start w:w="70" w:type="dxa"/>
              <w:bottom w:w="80" w:type="dxa"/>
              <w:end w:w="70" w:type="dxa"/>
            </w:tcMar>
            <w:vAlign w:val="center"/>
          </w:tcPr>
          <w:p>
            <w:pPr>
              <w:spacing w:after="0"/>
              <w:jc w:val="left"/>
            </w:pPr>
            <w:r/>
            <w:r>
              <w:rPr>
                <w:rFonts w:ascii="Aptos" w:hAnsi="Aptos"/>
                <w:b/>
                <w:color w:val="FFFFFF"/>
                <w:sz w:val="15"/>
              </w:rPr>
              <w:t>User message</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Unsupported URL</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Reject before fetch; show supported sources and upload option.</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“This source is not supported yet. Add an official HRERA URL or upload an authorised document.”</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CAPTCHA/login</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Stop adapter and mark restricted; no bypass.</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“Automatic access is blocked. No data was changed. You may upload an authorised copy.”</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Rate limit/timeout</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Retry with backoff; retain prior snapshot; mark check delayed.</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“The source could not be checked yet. Last verified data remains visible with its date.”</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Layout changed</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Fetch snapshot, parser fails validation, open source incident.</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“The source format changed. This check needs maintenance; no alert was generated.”</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PDF/OCR failed</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Store hash/status; no facts; allow replacement/manual review.</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“We could not reliably read this document. Upload a clearer copy or review manually.”</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Identity conflict</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Block monitoring publication until review.</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“Two possible projects match. Select the correct registration before monitoring.”</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Conflicting sources</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Preserve both; status Conflicting; high-impact review.</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“Current sources disagree. Review both records before using this value.”</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Removed value</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Record removal event and review; never infer zero.</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“A previously displayed value is no longer present. This may be a source change.”</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Corrupted/suspicious upload</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Quarantine/delete, no parsing.</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“The file failed safety checks and was not processed.”</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Background job failed</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Retry/dead-letter; alert operator and expose status.</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“This monitoring run failed. Your previous verified snapshot is unchanged.”</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Partial snapshot</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Store access facts, but suppress unsupported diffs.</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“Only part of the source was readable. Some fields could not be verified.”</w:t>
            </w:r>
          </w:p>
        </w:tc>
      </w:tr>
      <w:tr>
        <w:trPr>
          <w:cantSplit/>
        </w:trPr>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5"/>
              </w:rPr>
              <w:t>Database/report error</w:t>
            </w:r>
          </w:p>
        </w:tc>
        <w:tc>
          <w:tcPr>
            <w:tcW w:type="dxa" w:w="3855"/>
            <w:shd w:fill="F8FAFC"/>
            <w:tcMar>
              <w:top w:w="65" w:type="dxa"/>
              <w:start w:w="65" w:type="dxa"/>
              <w:bottom w:w="65" w:type="dxa"/>
              <w:end w:w="65" w:type="dxa"/>
            </w:tcMar>
            <w:vAlign w:val="top"/>
          </w:tcPr>
          <w:p>
            <w:pPr>
              <w:spacing w:after="0" w:line="240" w:lineRule="auto"/>
            </w:pPr>
            <w:r/>
            <w:r>
              <w:rPr>
                <w:rFonts w:ascii="Aptos" w:hAnsi="Aptos"/>
                <w:color w:val="344054"/>
                <w:sz w:val="15"/>
              </w:rPr>
              <w:t>Rollback transaction; preserve audit; retry report.</w:t>
            </w:r>
          </w:p>
        </w:tc>
        <w:tc>
          <w:tcPr>
            <w:tcW w:type="dxa" w:w="3458"/>
            <w:shd w:fill="F8FAFC"/>
            <w:tcMar>
              <w:top w:w="65" w:type="dxa"/>
              <w:start w:w="65" w:type="dxa"/>
              <w:bottom w:w="65" w:type="dxa"/>
              <w:end w:w="65" w:type="dxa"/>
            </w:tcMar>
            <w:vAlign w:val="top"/>
          </w:tcPr>
          <w:p>
            <w:pPr>
              <w:spacing w:after="0" w:line="240" w:lineRule="auto"/>
            </w:pPr>
            <w:r/>
            <w:r>
              <w:rPr>
                <w:rFonts w:ascii="Aptos" w:hAnsi="Aptos"/>
                <w:color w:val="344054"/>
                <w:sz w:val="15"/>
              </w:rPr>
              <w:t>“The action was not completed. No partial report was published.”</w:t>
            </w:r>
          </w:p>
        </w:tc>
      </w:tr>
      <w:tr>
        <w:trPr>
          <w:cantSplit/>
        </w:trPr>
        <w:tc>
          <w:tcPr>
            <w:tcW w:type="dxa" w:w="2041"/>
            <w:tcMar>
              <w:top w:w="65" w:type="dxa"/>
              <w:start w:w="65" w:type="dxa"/>
              <w:bottom w:w="65" w:type="dxa"/>
              <w:end w:w="65" w:type="dxa"/>
            </w:tcMar>
            <w:vAlign w:val="top"/>
          </w:tcPr>
          <w:p>
            <w:pPr>
              <w:spacing w:after="0" w:line="240" w:lineRule="auto"/>
            </w:pPr>
            <w:r/>
            <w:r>
              <w:rPr>
                <w:rFonts w:ascii="Aptos" w:hAnsi="Aptos"/>
                <w:color w:val="344054"/>
                <w:sz w:val="15"/>
              </w:rPr>
              <w:t>Deletion during job</w:t>
            </w:r>
          </w:p>
        </w:tc>
        <w:tc>
          <w:tcPr>
            <w:tcW w:type="dxa" w:w="3855"/>
            <w:tcMar>
              <w:top w:w="65" w:type="dxa"/>
              <w:start w:w="65" w:type="dxa"/>
              <w:bottom w:w="65" w:type="dxa"/>
              <w:end w:w="65" w:type="dxa"/>
            </w:tcMar>
            <w:vAlign w:val="top"/>
          </w:tcPr>
          <w:p>
            <w:pPr>
              <w:spacing w:after="0" w:line="240" w:lineRule="auto"/>
            </w:pPr>
            <w:r/>
            <w:r>
              <w:rPr>
                <w:rFonts w:ascii="Aptos" w:hAnsi="Aptos"/>
                <w:color w:val="344054"/>
                <w:sz w:val="15"/>
              </w:rPr>
              <w:t>Cancel/mark deleting; complete transaction safely; purge.</w:t>
            </w:r>
          </w:p>
        </w:tc>
        <w:tc>
          <w:tcPr>
            <w:tcW w:type="dxa" w:w="3458"/>
            <w:tcMar>
              <w:top w:w="65" w:type="dxa"/>
              <w:start w:w="65" w:type="dxa"/>
              <w:bottom w:w="65" w:type="dxa"/>
              <w:end w:w="65" w:type="dxa"/>
            </w:tcMar>
            <w:vAlign w:val="top"/>
          </w:tcPr>
          <w:p>
            <w:pPr>
              <w:spacing w:after="0" w:line="240" w:lineRule="auto"/>
            </w:pPr>
            <w:r/>
            <w:r>
              <w:rPr>
                <w:rFonts w:ascii="Aptos" w:hAnsi="Aptos"/>
                <w:color w:val="344054"/>
                <w:sz w:val="15"/>
              </w:rPr>
              <w:t>“Deletion is in progress; monitoring and new reports are disabled.”</w:t>
            </w:r>
          </w:p>
        </w:tc>
      </w:tr>
    </w:tbl>
    <w:p>
      <w:pPr>
        <w:spacing w:after="0"/>
      </w:pPr>
    </w:p>
    <w:p>
      <w:pPr>
        <w:pStyle w:val="Heading1"/>
        <w:keepNext/>
        <w:spacing w:before="200" w:after="80"/>
      </w:pPr>
      <w:r>
        <w:t>12. Suproc Marketplace packaging, onboarding and pricing</w:t>
      </w:r>
    </w:p>
    <w:p>
      <w:pPr>
        <w:pStyle w:val="Heading2"/>
        <w:keepNext/>
        <w:spacing w:before="140" w:after="80"/>
      </w:pPr>
      <w:r>
        <w:t>12.1 Listing copy</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984"/>
            <w:shd w:fill="17324D"/>
            <w:tcMar>
              <w:top w:w="80" w:type="dxa"/>
              <w:start w:w="70" w:type="dxa"/>
              <w:bottom w:w="80" w:type="dxa"/>
              <w:end w:w="70" w:type="dxa"/>
            </w:tcMar>
            <w:vAlign w:val="center"/>
          </w:tcPr>
          <w:p>
            <w:pPr>
              <w:spacing w:after="0"/>
              <w:jc w:val="left"/>
            </w:pPr>
            <w:r/>
            <w:r>
              <w:rPr>
                <w:rFonts w:ascii="Aptos" w:hAnsi="Aptos"/>
                <w:b/>
                <w:color w:val="FFFFFF"/>
                <w:sz w:val="16"/>
              </w:rPr>
              <w:t>Field</w:t>
            </w:r>
          </w:p>
        </w:tc>
        <w:tc>
          <w:tcPr>
            <w:tcW w:type="dxa" w:w="7370"/>
            <w:shd w:fill="17324D"/>
            <w:tcMar>
              <w:top w:w="80" w:type="dxa"/>
              <w:start w:w="70" w:type="dxa"/>
              <w:bottom w:w="80" w:type="dxa"/>
              <w:end w:w="70" w:type="dxa"/>
            </w:tcMar>
            <w:vAlign w:val="center"/>
          </w:tcPr>
          <w:p>
            <w:pPr>
              <w:spacing w:after="0"/>
              <w:jc w:val="left"/>
            </w:pPr>
            <w:r/>
            <w:r>
              <w:rPr>
                <w:rFonts w:ascii="Aptos" w:hAnsi="Aptos"/>
                <w:b/>
                <w:color w:val="FFFFFF"/>
                <w:sz w:val="16"/>
              </w:rPr>
              <w:t>Copy</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6"/>
              </w:rPr>
              <w:t>Headline</w:t>
            </w:r>
          </w:p>
        </w:tc>
        <w:tc>
          <w:tcPr>
            <w:tcW w:type="dxa" w:w="7370"/>
            <w:tcMar>
              <w:top w:w="65" w:type="dxa"/>
              <w:start w:w="65" w:type="dxa"/>
              <w:bottom w:w="65" w:type="dxa"/>
              <w:end w:w="65" w:type="dxa"/>
            </w:tcMar>
            <w:vAlign w:val="top"/>
          </w:tcPr>
          <w:p>
            <w:pPr>
              <w:spacing w:after="0" w:line="240" w:lineRule="auto"/>
            </w:pPr>
            <w:r/>
            <w:r>
              <w:rPr>
                <w:rFonts w:ascii="Aptos" w:hAnsi="Aptos"/>
                <w:color w:val="344054"/>
                <w:sz w:val="16"/>
              </w:rPr>
              <w:t>Track what changed across RERA projects—and show the evidence.</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6"/>
              </w:rPr>
              <w:t>Short description</w:t>
            </w:r>
          </w:p>
        </w:tc>
        <w:tc>
          <w:tcPr>
            <w:tcW w:type="dxa" w:w="7370"/>
            <w:shd w:fill="F8FAFC"/>
            <w:tcMar>
              <w:top w:w="65" w:type="dxa"/>
              <w:start w:w="65" w:type="dxa"/>
              <w:bottom w:w="65" w:type="dxa"/>
              <w:end w:w="65" w:type="dxa"/>
            </w:tcMar>
            <w:vAlign w:val="top"/>
          </w:tcPr>
          <w:p>
            <w:pPr>
              <w:spacing w:after="0" w:line="240" w:lineRule="auto"/>
            </w:pPr>
            <w:r/>
            <w:r>
              <w:rPr>
                <w:rFonts w:ascii="Aptos" w:hAnsi="Aptos"/>
                <w:color w:val="344054"/>
                <w:sz w:val="16"/>
              </w:rPr>
              <w:t>Monitor selected real-estate projects, preserve official baselines, detect field-level changes, compare brochures with records and create reviewable timelines and reports.</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6"/>
              </w:rPr>
              <w:t>Inputs</w:t>
            </w:r>
          </w:p>
        </w:tc>
        <w:tc>
          <w:tcPr>
            <w:tcW w:type="dxa" w:w="7370"/>
            <w:tcMar>
              <w:top w:w="65" w:type="dxa"/>
              <w:start w:w="65" w:type="dxa"/>
              <w:bottom w:w="65" w:type="dxa"/>
              <w:end w:w="65" w:type="dxa"/>
            </w:tcMar>
            <w:vAlign w:val="top"/>
          </w:tcPr>
          <w:p>
            <w:pPr>
              <w:spacing w:after="0" w:line="240" w:lineRule="auto"/>
            </w:pPr>
            <w:r/>
            <w:r>
              <w:rPr>
                <w:rFonts w:ascii="Aptos" w:hAnsi="Aptos"/>
                <w:color w:val="344054"/>
                <w:sz w:val="16"/>
              </w:rPr>
              <w:t>Supported HRERA registration number/official URL, project CSV, authorised brochure/PDF, monitoring cadence and alert preferences.</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6"/>
              </w:rPr>
              <w:t>Outputs</w:t>
            </w:r>
          </w:p>
        </w:tc>
        <w:tc>
          <w:tcPr>
            <w:tcW w:type="dxa" w:w="7370"/>
            <w:shd w:fill="F8FAFC"/>
            <w:tcMar>
              <w:top w:w="65" w:type="dxa"/>
              <w:start w:w="65" w:type="dxa"/>
              <w:bottom w:w="65" w:type="dxa"/>
              <w:end w:w="65" w:type="dxa"/>
            </w:tcMar>
            <w:vAlign w:val="top"/>
          </w:tcPr>
          <w:p>
            <w:pPr>
              <w:spacing w:after="0" w:line="240" w:lineRule="auto"/>
            </w:pPr>
            <w:r/>
            <w:r>
              <w:rPr>
                <w:rFonts w:ascii="Aptos" w:hAnsi="Aptos"/>
                <w:color w:val="344054"/>
                <w:sz w:val="16"/>
              </w:rPr>
              <w:t>Canonical project profile, source snapshots, Change Ledger, evidence cards, Project Truth Timeline, reviewed signals and PDF/CSV/JSON reports.</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6"/>
              </w:rPr>
              <w:t>Best use cases</w:t>
            </w:r>
          </w:p>
        </w:tc>
        <w:tc>
          <w:tcPr>
            <w:tcW w:type="dxa" w:w="7370"/>
            <w:tcMar>
              <w:top w:w="65" w:type="dxa"/>
              <w:start w:w="65" w:type="dxa"/>
              <w:bottom w:w="65" w:type="dxa"/>
              <w:end w:w="65" w:type="dxa"/>
            </w:tcMar>
            <w:vAlign w:val="top"/>
          </w:tcPr>
          <w:p>
            <w:pPr>
              <w:spacing w:after="0" w:line="240" w:lineRule="auto"/>
            </w:pPr>
            <w:r/>
            <w:r>
              <w:rPr>
                <w:rFonts w:ascii="Aptos" w:hAnsi="Aptos"/>
                <w:color w:val="344054"/>
                <w:sz w:val="16"/>
              </w:rPr>
              <w:t>Broker research watchlist; client-update QA; completion-date monitoring; brochure review; developer/project portfolio review; locality pulse.</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6"/>
              </w:rPr>
              <w:t>Privacy</w:t>
            </w:r>
          </w:p>
        </w:tc>
        <w:tc>
          <w:tcPr>
            <w:tcW w:type="dxa" w:w="7370"/>
            <w:shd w:fill="F8FAFC"/>
            <w:tcMar>
              <w:top w:w="65" w:type="dxa"/>
              <w:start w:w="65" w:type="dxa"/>
              <w:bottom w:w="65" w:type="dxa"/>
              <w:end w:w="65" w:type="dxa"/>
            </w:tcMar>
            <w:vAlign w:val="top"/>
          </w:tcPr>
          <w:p>
            <w:pPr>
              <w:spacing w:after="0" w:line="240" w:lineRule="auto"/>
            </w:pPr>
            <w:r/>
            <w:r>
              <w:rPr>
                <w:rFonts w:ascii="Aptos" w:hAnsi="Aptos"/>
                <w:color w:val="344054"/>
                <w:sz w:val="16"/>
              </w:rPr>
              <w:t>Private organisation workspaces, minimum account data, encrypted transport/storage, rights attestation for uploads, configurable deletion and no sale of customer documents.</w:t>
            </w:r>
          </w:p>
        </w:tc>
      </w:tr>
      <w:tr>
        <w:trPr>
          <w:cantSplit/>
        </w:trPr>
        <w:tc>
          <w:tcPr>
            <w:tcW w:type="dxa" w:w="1984"/>
            <w:tcMar>
              <w:top w:w="65" w:type="dxa"/>
              <w:start w:w="65" w:type="dxa"/>
              <w:bottom w:w="65" w:type="dxa"/>
              <w:end w:w="65" w:type="dxa"/>
            </w:tcMar>
            <w:vAlign w:val="top"/>
          </w:tcPr>
          <w:p>
            <w:pPr>
              <w:spacing w:after="0" w:line="240" w:lineRule="auto"/>
            </w:pPr>
            <w:r/>
            <w:r>
              <w:rPr>
                <w:rFonts w:ascii="Aptos" w:hAnsi="Aptos"/>
                <w:color w:val="344054"/>
                <w:sz w:val="16"/>
              </w:rPr>
              <w:t>Source policy</w:t>
            </w:r>
          </w:p>
        </w:tc>
        <w:tc>
          <w:tcPr>
            <w:tcW w:type="dxa" w:w="7370"/>
            <w:tcMar>
              <w:top w:w="65" w:type="dxa"/>
              <w:start w:w="65" w:type="dxa"/>
              <w:bottom w:w="65" w:type="dxa"/>
              <w:end w:w="65" w:type="dxa"/>
            </w:tcMar>
            <w:vAlign w:val="top"/>
          </w:tcPr>
          <w:p>
            <w:pPr>
              <w:spacing w:after="0" w:line="240" w:lineRule="auto"/>
            </w:pPr>
            <w:r/>
            <w:r>
              <w:rPr>
                <w:rFonts w:ascii="Aptos" w:hAnsi="Aptos"/>
                <w:color w:val="344054"/>
                <w:sz w:val="16"/>
              </w:rPr>
              <w:t>Public permitted, user-authorised or licensed sources only; no CAPTCHA/paywall/auth bypass.</w:t>
            </w:r>
          </w:p>
        </w:tc>
      </w:tr>
      <w:tr>
        <w:trPr>
          <w:cantSplit/>
        </w:trPr>
        <w:tc>
          <w:tcPr>
            <w:tcW w:type="dxa" w:w="1984"/>
            <w:shd w:fill="F8FAFC"/>
            <w:tcMar>
              <w:top w:w="65" w:type="dxa"/>
              <w:start w:w="65" w:type="dxa"/>
              <w:bottom w:w="65" w:type="dxa"/>
              <w:end w:w="65" w:type="dxa"/>
            </w:tcMar>
            <w:vAlign w:val="top"/>
          </w:tcPr>
          <w:p>
            <w:pPr>
              <w:spacing w:after="0" w:line="240" w:lineRule="auto"/>
            </w:pPr>
            <w:r/>
            <w:r>
              <w:rPr>
                <w:rFonts w:ascii="Aptos" w:hAnsi="Aptos"/>
                <w:color w:val="344054"/>
                <w:sz w:val="16"/>
              </w:rPr>
              <w:t>Limitations</w:t>
            </w:r>
          </w:p>
        </w:tc>
        <w:tc>
          <w:tcPr>
            <w:tcW w:type="dxa" w:w="7370"/>
            <w:shd w:fill="F8FAFC"/>
            <w:tcMar>
              <w:top w:w="65" w:type="dxa"/>
              <w:start w:w="65" w:type="dxa"/>
              <w:bottom w:w="65" w:type="dxa"/>
              <w:end w:w="65" w:type="dxa"/>
            </w:tcMar>
            <w:vAlign w:val="top"/>
          </w:tcPr>
          <w:p>
            <w:pPr>
              <w:spacing w:after="0" w:line="240" w:lineRule="auto"/>
            </w:pPr>
            <w:r/>
            <w:r>
              <w:rPr>
                <w:rFonts w:ascii="Aptos" w:hAnsi="Aptos"/>
                <w:color w:val="344054"/>
                <w:sz w:val="16"/>
              </w:rPr>
              <w:t>Gurugram/HRERA pilot only; source availability varies; not legal/title/valuation/investment/fraud/completion advice.</w:t>
            </w:r>
          </w:p>
        </w:tc>
      </w:tr>
    </w:tbl>
    <w:p>
      <w:pPr>
        <w:spacing w:after="0"/>
      </w:pPr>
    </w:p>
    <w:p>
      <w:pPr>
        <w:pStyle w:val="Heading2"/>
        <w:keepNext/>
        <w:spacing w:before="140" w:after="80"/>
      </w:pPr>
      <w:r>
        <w:t>12.2 Onboarding questions</w:t>
      </w:r>
    </w:p>
    <w:p>
      <w:pPr>
        <w:pStyle w:val="ListNumber"/>
        <w:spacing w:after="40"/>
      </w:pPr>
      <w:r>
        <w:rPr>
          <w:rFonts w:ascii="Aptos" w:hAnsi="Aptos"/>
          <w:color w:val="344054"/>
          <w:sz w:val="18"/>
        </w:rPr>
        <w:t>Which Gurugram projects or HRERA registration numbers do you monitor?</w:t>
      </w:r>
    </w:p>
    <w:p>
      <w:pPr>
        <w:pStyle w:val="ListNumber"/>
        <w:spacing w:after="40"/>
      </w:pPr>
      <w:r>
        <w:rPr>
          <w:rFonts w:ascii="Aptos" w:hAnsi="Aptos"/>
          <w:color w:val="344054"/>
          <w:sz w:val="18"/>
        </w:rPr>
        <w:t>Who uses the output: internal research, broker/client updates, developer intelligence or compliance review?</w:t>
      </w:r>
    </w:p>
    <w:p>
      <w:pPr>
        <w:pStyle w:val="ListNumber"/>
        <w:spacing w:after="40"/>
      </w:pPr>
      <w:r>
        <w:rPr>
          <w:rFonts w:ascii="Aptos" w:hAnsi="Aptos"/>
          <w:color w:val="344054"/>
          <w:sz w:val="18"/>
        </w:rPr>
        <w:t>How often should each project be checked: daily or weekly?</w:t>
      </w:r>
    </w:p>
    <w:p>
      <w:pPr>
        <w:pStyle w:val="ListNumber"/>
        <w:spacing w:after="40"/>
      </w:pPr>
      <w:r>
        <w:rPr>
          <w:rFonts w:ascii="Aptos" w:hAnsi="Aptos"/>
          <w:color w:val="344054"/>
          <w:sz w:val="18"/>
        </w:rPr>
        <w:t>Which alerts require email and which should remain dashboard-only?</w:t>
      </w:r>
    </w:p>
    <w:p>
      <w:pPr>
        <w:pStyle w:val="ListNumber"/>
        <w:spacing w:after="40"/>
      </w:pPr>
      <w:r>
        <w:rPr>
          <w:rFonts w:ascii="Aptos" w:hAnsi="Aptos"/>
          <w:color w:val="344054"/>
          <w:sz w:val="18"/>
        </w:rPr>
        <w:t>Do you have authority to upload and process each brochure/document?</w:t>
      </w:r>
    </w:p>
    <w:p>
      <w:pPr>
        <w:pStyle w:val="ListNumber"/>
        <w:spacing w:after="40"/>
      </w:pPr>
      <w:r>
        <w:rPr>
          <w:rFonts w:ascii="Aptos" w:hAnsi="Aptos"/>
          <w:color w:val="344054"/>
          <w:sz w:val="18"/>
        </w:rPr>
        <w:t>Who may approve high-impact alerts and client-facing reports?</w:t>
      </w:r>
    </w:p>
    <w:p>
      <w:pPr>
        <w:pStyle w:val="ListNumber"/>
        <w:spacing w:after="40"/>
      </w:pPr>
      <w:r>
        <w:rPr>
          <w:rFonts w:ascii="Aptos" w:hAnsi="Aptos"/>
          <w:color w:val="344054"/>
          <w:sz w:val="18"/>
        </w:rPr>
        <w:t>How long should original uploads and exports be retained?</w:t>
      </w:r>
    </w:p>
    <w:p>
      <w:pPr>
        <w:pStyle w:val="ListNumber"/>
        <w:spacing w:after="40"/>
      </w:pPr>
      <w:r>
        <w:rPr>
          <w:rFonts w:ascii="Aptos" w:hAnsi="Aptos"/>
          <w:color w:val="344054"/>
          <w:sz w:val="18"/>
        </w:rPr>
        <w:t>Which core fields matter most: completion, status/QPR, phase, units/buildings, area or documents?</w:t>
      </w:r>
    </w:p>
    <w:p>
      <w:pPr>
        <w:pStyle w:val="Heading2"/>
        <w:keepNext/>
        <w:spacing w:before="140" w:after="80"/>
      </w:pPr>
      <w:r>
        <w:t>12.3 FAQ</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6"/>
              </w:rPr>
              <w:t>Question</w:t>
            </w:r>
          </w:p>
        </w:tc>
        <w:tc>
          <w:tcPr>
            <w:tcW w:type="dxa" w:w="6520"/>
            <w:shd w:fill="17324D"/>
            <w:tcMar>
              <w:top w:w="80" w:type="dxa"/>
              <w:start w:w="70" w:type="dxa"/>
              <w:bottom w:w="80" w:type="dxa"/>
              <w:end w:w="70" w:type="dxa"/>
            </w:tcMar>
            <w:vAlign w:val="center"/>
          </w:tcPr>
          <w:p>
            <w:pPr>
              <w:spacing w:after="0"/>
              <w:jc w:val="left"/>
            </w:pPr>
            <w:r/>
            <w:r>
              <w:rPr>
                <w:rFonts w:ascii="Aptos" w:hAnsi="Aptos"/>
                <w:b/>
                <w:color w:val="FFFFFF"/>
                <w:sz w:val="16"/>
              </w:rPr>
              <w:t>Answer</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Does it tell me which property to buy?</w:t>
            </w:r>
          </w:p>
        </w:tc>
        <w:tc>
          <w:tcPr>
            <w:tcW w:type="dxa" w:w="6520"/>
            <w:tcMar>
              <w:top w:w="65" w:type="dxa"/>
              <w:start w:w="65" w:type="dxa"/>
              <w:bottom w:w="65" w:type="dxa"/>
              <w:end w:w="65" w:type="dxa"/>
            </w:tcMar>
            <w:vAlign w:val="top"/>
          </w:tcPr>
          <w:p>
            <w:pPr>
              <w:spacing w:after="0" w:line="240" w:lineRule="auto"/>
            </w:pPr>
            <w:r/>
            <w:r>
              <w:rPr>
                <w:rFonts w:ascii="Aptos" w:hAnsi="Aptos"/>
                <w:color w:val="344054"/>
                <w:sz w:val="16"/>
              </w:rPr>
              <w:t>No. It organises source-backed project changes and review tasks.</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Is every alert legally verified?</w:t>
            </w:r>
          </w:p>
        </w:tc>
        <w:tc>
          <w:tcPr>
            <w:tcW w:type="dxa" w:w="6520"/>
            <w:shd w:fill="F8FAFC"/>
            <w:tcMar>
              <w:top w:w="65" w:type="dxa"/>
              <w:start w:w="65" w:type="dxa"/>
              <w:bottom w:w="65" w:type="dxa"/>
              <w:end w:w="65" w:type="dxa"/>
            </w:tcMar>
            <w:vAlign w:val="top"/>
          </w:tcPr>
          <w:p>
            <w:pPr>
              <w:spacing w:after="0" w:line="240" w:lineRule="auto"/>
            </w:pPr>
            <w:r/>
            <w:r>
              <w:rPr>
                <w:rFonts w:ascii="Aptos" w:hAnsi="Aptos"/>
                <w:color w:val="344054"/>
                <w:sz w:val="16"/>
              </w:rPr>
              <w:t>No. The tool links the source and confidence; legal conclusions require qualified review.</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Does it bypass RERA CAPTCHA?</w:t>
            </w:r>
          </w:p>
        </w:tc>
        <w:tc>
          <w:tcPr>
            <w:tcW w:type="dxa" w:w="6520"/>
            <w:tcMar>
              <w:top w:w="65" w:type="dxa"/>
              <w:start w:w="65" w:type="dxa"/>
              <w:bottom w:w="65" w:type="dxa"/>
              <w:end w:w="65" w:type="dxa"/>
            </w:tcMar>
            <w:vAlign w:val="top"/>
          </w:tcPr>
          <w:p>
            <w:pPr>
              <w:spacing w:after="0" w:line="240" w:lineRule="auto"/>
            </w:pPr>
            <w:r/>
            <w:r>
              <w:rPr>
                <w:rFonts w:ascii="Aptos" w:hAnsi="Aptos"/>
                <w:color w:val="344054"/>
                <w:sz w:val="16"/>
              </w:rPr>
              <w:t>No. Restricted sources are not automated.</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Can it track all India?</w:t>
            </w:r>
          </w:p>
        </w:tc>
        <w:tc>
          <w:tcPr>
            <w:tcW w:type="dxa" w:w="6520"/>
            <w:shd w:fill="F8FAFC"/>
            <w:tcMar>
              <w:top w:w="65" w:type="dxa"/>
              <w:start w:w="65" w:type="dxa"/>
              <w:bottom w:w="65" w:type="dxa"/>
              <w:end w:w="65" w:type="dxa"/>
            </w:tcMar>
            <w:vAlign w:val="top"/>
          </w:tcPr>
          <w:p>
            <w:pPr>
              <w:spacing w:after="0" w:line="240" w:lineRule="auto"/>
            </w:pPr>
            <w:r/>
            <w:r>
              <w:rPr>
                <w:rFonts w:ascii="Aptos" w:hAnsi="Aptos"/>
                <w:color w:val="344054"/>
                <w:sz w:val="16"/>
              </w:rPr>
              <w:t>Not in MVP. Gurugram is the supported pilot; each new state needs a separate source/legal/parser release.</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Does AI decide whether a developer is risky?</w:t>
            </w:r>
          </w:p>
        </w:tc>
        <w:tc>
          <w:tcPr>
            <w:tcW w:type="dxa" w:w="6520"/>
            <w:tcMar>
              <w:top w:w="65" w:type="dxa"/>
              <w:start w:w="65" w:type="dxa"/>
              <w:bottom w:w="65" w:type="dxa"/>
              <w:end w:w="65" w:type="dxa"/>
            </w:tcMar>
            <w:vAlign w:val="top"/>
          </w:tcPr>
          <w:p>
            <w:pPr>
              <w:spacing w:after="0" w:line="240" w:lineRule="auto"/>
            </w:pPr>
            <w:r/>
            <w:r>
              <w:rPr>
                <w:rFonts w:ascii="Aptos" w:hAnsi="Aptos"/>
                <w:color w:val="344054"/>
                <w:sz w:val="16"/>
              </w:rPr>
              <w:t>No. Deterministic signal components show observed events; users make decisions.</w:t>
            </w:r>
          </w:p>
        </w:tc>
      </w:tr>
      <w:tr>
        <w:trPr>
          <w:cantSplit/>
        </w:trPr>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6"/>
              </w:rPr>
              <w:t>Can I correct a wrong match?</w:t>
            </w:r>
          </w:p>
        </w:tc>
        <w:tc>
          <w:tcPr>
            <w:tcW w:type="dxa" w:w="6520"/>
            <w:shd w:fill="F8FAFC"/>
            <w:tcMar>
              <w:top w:w="65" w:type="dxa"/>
              <w:start w:w="65" w:type="dxa"/>
              <w:bottom w:w="65" w:type="dxa"/>
              <w:end w:w="65" w:type="dxa"/>
            </w:tcMar>
            <w:vAlign w:val="top"/>
          </w:tcPr>
          <w:p>
            <w:pPr>
              <w:spacing w:after="0" w:line="240" w:lineRule="auto"/>
            </w:pPr>
            <w:r/>
            <w:r>
              <w:rPr>
                <w:rFonts w:ascii="Aptos" w:hAnsi="Aptos"/>
                <w:color w:val="344054"/>
                <w:sz w:val="16"/>
              </w:rPr>
              <w:t>Yes. Corrections and merge decisions are audited and historical snapshots remain unchanged.</w:t>
            </w:r>
          </w:p>
        </w:tc>
      </w:tr>
      <w:tr>
        <w:trPr>
          <w:cantSplit/>
        </w:trPr>
        <w:tc>
          <w:tcPr>
            <w:tcW w:type="dxa" w:w="2835"/>
            <w:tcMar>
              <w:top w:w="65" w:type="dxa"/>
              <w:start w:w="65" w:type="dxa"/>
              <w:bottom w:w="65" w:type="dxa"/>
              <w:end w:w="65" w:type="dxa"/>
            </w:tcMar>
            <w:vAlign w:val="top"/>
          </w:tcPr>
          <w:p>
            <w:pPr>
              <w:spacing w:after="0" w:line="240" w:lineRule="auto"/>
            </w:pPr>
            <w:r/>
            <w:r>
              <w:rPr>
                <w:rFonts w:ascii="Aptos" w:hAnsi="Aptos"/>
                <w:color w:val="344054"/>
                <w:sz w:val="16"/>
              </w:rPr>
              <w:t>Can I delete my data?</w:t>
            </w:r>
          </w:p>
        </w:tc>
        <w:tc>
          <w:tcPr>
            <w:tcW w:type="dxa" w:w="6520"/>
            <w:tcMar>
              <w:top w:w="65" w:type="dxa"/>
              <w:start w:w="65" w:type="dxa"/>
              <w:bottom w:w="65" w:type="dxa"/>
              <w:end w:w="65" w:type="dxa"/>
            </w:tcMar>
            <w:vAlign w:val="top"/>
          </w:tcPr>
          <w:p>
            <w:pPr>
              <w:spacing w:after="0" w:line="240" w:lineRule="auto"/>
            </w:pPr>
            <w:r/>
            <w:r>
              <w:rPr>
                <w:rFonts w:ascii="Aptos" w:hAnsi="Aptos"/>
                <w:color w:val="344054"/>
                <w:sz w:val="16"/>
              </w:rPr>
              <w:t>Yes, subject to disclosed retention/security/legal-hold policy.</w:t>
            </w:r>
          </w:p>
        </w:tc>
      </w:tr>
    </w:tbl>
    <w:p>
      <w:pPr>
        <w:spacing w:after="0"/>
      </w:pPr>
    </w:p>
    <w:p>
      <w:pPr>
        <w:pStyle w:val="Heading2"/>
        <w:keepNext/>
        <w:spacing w:before="140" w:after="80"/>
      </w:pPr>
      <w:r>
        <w:t>12.4 Early pricing experiment — hypothesis only</w:t>
      </w:r>
    </w:p>
    <w:tbl>
      <w:tblPr>
        <w:tblStyle w:val="TableGrid"/>
        <w:tblW w:type="auto" w:w="0"/>
        <w:jc w:val="center"/>
        <w:tblLayout w:type="fixed"/>
        <w:tblLook w:firstColumn="1" w:firstRow="1" w:lastColumn="0" w:lastRow="0" w:noHBand="0" w:noVBand="1" w:val="04A0"/>
      </w:tblPr>
      <w:tblGrid>
        <w:gridCol w:w="3326"/>
        <w:gridCol w:w="3326"/>
        <w:gridCol w:w="3326"/>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5"/>
              </w:rPr>
              <w:t>Experiment</w:t>
            </w:r>
          </w:p>
        </w:tc>
        <w:tc>
          <w:tcPr>
            <w:tcW w:type="dxa" w:w="4535"/>
            <w:shd w:fill="17324D"/>
            <w:tcMar>
              <w:top w:w="80" w:type="dxa"/>
              <w:start w:w="70" w:type="dxa"/>
              <w:bottom w:w="80" w:type="dxa"/>
              <w:end w:w="70" w:type="dxa"/>
            </w:tcMar>
            <w:vAlign w:val="center"/>
          </w:tcPr>
          <w:p>
            <w:pPr>
              <w:spacing w:after="0"/>
              <w:jc w:val="left"/>
            </w:pPr>
            <w:r/>
            <w:r>
              <w:rPr>
                <w:rFonts w:ascii="Aptos" w:hAnsi="Aptos"/>
                <w:b/>
                <w:color w:val="FFFFFF"/>
                <w:sz w:val="15"/>
              </w:rPr>
              <w:t>Hypothesis</w:t>
            </w:r>
          </w:p>
        </w:tc>
        <w:tc>
          <w:tcPr>
            <w:tcW w:type="dxa" w:w="3005"/>
            <w:shd w:fill="17324D"/>
            <w:tcMar>
              <w:top w:w="80" w:type="dxa"/>
              <w:start w:w="70" w:type="dxa"/>
              <w:bottom w:w="80" w:type="dxa"/>
              <w:end w:w="70" w:type="dxa"/>
            </w:tcMar>
            <w:vAlign w:val="center"/>
          </w:tcPr>
          <w:p>
            <w:pPr>
              <w:spacing w:after="0"/>
              <w:jc w:val="left"/>
            </w:pPr>
            <w:r/>
            <w:r>
              <w:rPr>
                <w:rFonts w:ascii="Aptos" w:hAnsi="Aptos"/>
                <w:b/>
                <w:color w:val="FFFFFF"/>
                <w:sz w:val="15"/>
              </w:rPr>
              <w:t>What to learn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Free trial</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3 projects, weekly checks, 14 days, dashboard only</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Activation and evidence-card comprehension.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Solo</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₹2,999/month; up to 20 projects; weekly; 5 reports</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Broker/adviser willingness to pay.</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Pro</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₹7,999/month; up to 75 projects; daily/weekly; 3 users; brochure compare</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Core design-partner plan.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Team</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₹14,999/month; up to 200 projects; 8 users; approval workflow</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Later pilot; support burden test.</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Report credits</w:t>
            </w:r>
          </w:p>
        </w:tc>
        <w:tc>
          <w:tcPr>
            <w:tcW w:type="dxa" w:w="4535"/>
            <w:tcMar>
              <w:top w:w="65" w:type="dxa"/>
              <w:start w:w="65" w:type="dxa"/>
              <w:bottom w:w="65" w:type="dxa"/>
              <w:end w:w="65" w:type="dxa"/>
            </w:tcMar>
            <w:vAlign w:val="top"/>
          </w:tcPr>
          <w:p>
            <w:pPr>
              <w:spacing w:after="0" w:line="240" w:lineRule="auto"/>
            </w:pPr>
            <w:r/>
            <w:r>
              <w:rPr>
                <w:rFonts w:ascii="Aptos" w:hAnsi="Aptos"/>
                <w:color w:val="344054"/>
                <w:sz w:val="15"/>
              </w:rPr>
              <w:t>₹499–₹999 per approved evidence package</w:t>
            </w:r>
          </w:p>
        </w:tc>
        <w:tc>
          <w:tcPr>
            <w:tcW w:type="dxa" w:w="3005"/>
            <w:tcMar>
              <w:top w:w="65" w:type="dxa"/>
              <w:start w:w="65" w:type="dxa"/>
              <w:bottom w:w="65" w:type="dxa"/>
              <w:end w:w="65" w:type="dxa"/>
            </w:tcMar>
            <w:vAlign w:val="top"/>
          </w:tcPr>
          <w:p>
            <w:pPr>
              <w:spacing w:after="0" w:line="240" w:lineRule="auto"/>
            </w:pPr>
            <w:r/>
            <w:r>
              <w:rPr>
                <w:rFonts w:ascii="Aptos" w:hAnsi="Aptos"/>
                <w:color w:val="344054"/>
                <w:sz w:val="15"/>
              </w:rPr>
              <w:t>Consultants with occasional demand.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Private/API</w:t>
            </w:r>
          </w:p>
        </w:tc>
        <w:tc>
          <w:tcPr>
            <w:tcW w:type="dxa" w:w="4535"/>
            <w:shd w:fill="F8FAFC"/>
            <w:tcMar>
              <w:top w:w="65" w:type="dxa"/>
              <w:start w:w="65" w:type="dxa"/>
              <w:bottom w:w="65" w:type="dxa"/>
              <w:end w:w="65" w:type="dxa"/>
            </w:tcMar>
            <w:vAlign w:val="top"/>
          </w:tcPr>
          <w:p>
            <w:pPr>
              <w:spacing w:after="0" w:line="240" w:lineRule="auto"/>
            </w:pPr>
            <w:r/>
            <w:r>
              <w:rPr>
                <w:rFonts w:ascii="Aptos" w:hAnsi="Aptos"/>
                <w:color w:val="344054"/>
                <w:sz w:val="15"/>
              </w:rPr>
              <w:t>Quote only after stable product and licensing review</w:t>
            </w:r>
          </w:p>
        </w:tc>
        <w:tc>
          <w:tcPr>
            <w:tcW w:type="dxa" w:w="3005"/>
            <w:shd w:fill="F8FAFC"/>
            <w:tcMar>
              <w:top w:w="65" w:type="dxa"/>
              <w:start w:w="65" w:type="dxa"/>
              <w:bottom w:w="65" w:type="dxa"/>
              <w:end w:w="65" w:type="dxa"/>
            </w:tcMar>
            <w:vAlign w:val="top"/>
          </w:tcPr>
          <w:p>
            <w:pPr>
              <w:spacing w:after="0" w:line="240" w:lineRule="auto"/>
            </w:pPr>
            <w:r/>
            <w:r>
              <w:rPr>
                <w:rFonts w:ascii="Aptos" w:hAnsi="Aptos"/>
                <w:color w:val="344054"/>
                <w:sz w:val="15"/>
              </w:rPr>
              <w:t>Do not promise in Marketplace MVP.</w:t>
            </w:r>
          </w:p>
        </w:tc>
      </w:tr>
    </w:tbl>
    <w:p>
      <w:pPr>
        <w:spacing w:after="0"/>
      </w:pPr>
    </w:p>
    <w:p>
      <w:pPr>
        <w:keepNext w:val="0"/>
        <w:spacing w:after="60" w:line="259" w:lineRule="auto"/>
      </w:pPr>
      <w:r>
        <w:rPr>
          <w:rFonts w:ascii="Aptos" w:hAnsi="Aptos"/>
          <w:color w:val="344054"/>
          <w:sz w:val="19"/>
        </w:rPr>
        <w:t>Pricing is not a verified market fact. Test with 10 customer interviews, 3 design partners and paid conversion after the four-week pilot. Prefer a project-count subscription because monitoring cost and value scale with tracked projects; do not launch a complex credit/API/private-deployment menu initially.</w:t>
      </w:r>
    </w:p>
    <w:p>
      <w:pPr>
        <w:pStyle w:val="Heading2"/>
        <w:keepNext/>
        <w:spacing w:before="140" w:after="80"/>
      </w:pPr>
      <w:r>
        <w:t>12.5 Suggested dashboard/demo sections</w:t>
      </w:r>
    </w:p>
    <w:p>
      <w:pPr>
        <w:pStyle w:val="ListBullet"/>
        <w:spacing w:after="30" w:line="247" w:lineRule="auto"/>
        <w:ind w:left="360" w:hanging="173"/>
      </w:pPr>
      <w:r>
        <w:rPr>
          <w:rFonts w:ascii="Aptos" w:hAnsi="Aptos"/>
          <w:color w:val="344054"/>
          <w:sz w:val="18"/>
        </w:rPr>
        <w:t>Watchlist health: projects, last checked, sources degraded, alerts awaiting review.</w:t>
      </w:r>
    </w:p>
    <w:p>
      <w:pPr>
        <w:pStyle w:val="ListBullet"/>
        <w:spacing w:after="30" w:line="247" w:lineRule="auto"/>
        <w:ind w:left="360" w:hanging="173"/>
      </w:pPr>
      <w:r>
        <w:rPr>
          <w:rFonts w:ascii="Aptos" w:hAnsi="Aptos"/>
          <w:color w:val="344054"/>
          <w:sz w:val="18"/>
        </w:rPr>
        <w:t>Project profile: official facts and separate marketing claims.</w:t>
      </w:r>
    </w:p>
    <w:p>
      <w:pPr>
        <w:pStyle w:val="ListBullet"/>
        <w:spacing w:after="30" w:line="247" w:lineRule="auto"/>
        <w:ind w:left="360" w:hanging="173"/>
      </w:pPr>
      <w:r>
        <w:rPr>
          <w:rFonts w:ascii="Aptos" w:hAnsi="Aptos"/>
          <w:color w:val="344054"/>
          <w:sz w:val="18"/>
        </w:rPr>
        <w:t>Project Truth Timeline: chronological event rail.</w:t>
      </w:r>
    </w:p>
    <w:p>
      <w:pPr>
        <w:pStyle w:val="ListBullet"/>
        <w:spacing w:after="30" w:line="247" w:lineRule="auto"/>
        <w:ind w:left="360" w:hanging="173"/>
      </w:pPr>
      <w:r>
        <w:rPr>
          <w:rFonts w:ascii="Aptos" w:hAnsi="Aptos"/>
          <w:color w:val="344054"/>
          <w:sz w:val="18"/>
        </w:rPr>
        <w:t>Change Ledger: typed before/after rows with evidence.</w:t>
      </w:r>
    </w:p>
    <w:p>
      <w:pPr>
        <w:pStyle w:val="ListBullet"/>
        <w:spacing w:after="30" w:line="247" w:lineRule="auto"/>
        <w:ind w:left="360" w:hanging="173"/>
      </w:pPr>
      <w:r>
        <w:rPr>
          <w:rFonts w:ascii="Aptos" w:hAnsi="Aptos"/>
          <w:color w:val="344054"/>
          <w:sz w:val="18"/>
        </w:rPr>
        <w:t>Evidence drawer: source, capture, excerpt/page, hash and limitation.</w:t>
      </w:r>
    </w:p>
    <w:p>
      <w:pPr>
        <w:pStyle w:val="ListBullet"/>
        <w:spacing w:after="30" w:line="247" w:lineRule="auto"/>
        <w:ind w:left="360" w:hanging="173"/>
      </w:pPr>
      <w:r>
        <w:rPr>
          <w:rFonts w:ascii="Aptos" w:hAnsi="Aptos"/>
          <w:color w:val="344054"/>
          <w:sz w:val="18"/>
        </w:rPr>
        <w:t>Brochure comparison: matched, conflicting, unverified and marketing-only claims.</w:t>
      </w:r>
    </w:p>
    <w:p>
      <w:pPr>
        <w:pStyle w:val="ListBullet"/>
        <w:spacing w:after="30" w:line="247" w:lineRule="auto"/>
        <w:ind w:left="360" w:hanging="173"/>
      </w:pPr>
      <w:r>
        <w:rPr>
          <w:rFonts w:ascii="Aptos" w:hAnsi="Aptos"/>
          <w:color w:val="344054"/>
          <w:sz w:val="18"/>
        </w:rPr>
        <w:t>Locality pulse: monitored scope, new registration, active/lapsed/QPR-missing counts.</w:t>
      </w:r>
    </w:p>
    <w:p>
      <w:pPr>
        <w:pStyle w:val="ListBullet"/>
        <w:spacing w:after="30" w:line="247" w:lineRule="auto"/>
        <w:ind w:left="360" w:hanging="173"/>
      </w:pPr>
      <w:r>
        <w:rPr>
          <w:rFonts w:ascii="Aptos" w:hAnsi="Aptos"/>
          <w:color w:val="344054"/>
          <w:sz w:val="18"/>
        </w:rPr>
        <w:t>Report builder: reviewed items only, approval and export.</w:t>
      </w:r>
    </w:p>
    <w:p>
      <w:pPr>
        <w:pStyle w:val="Heading1"/>
        <w:keepNext/>
        <w:spacing w:before="200" w:after="80"/>
      </w:pPr>
      <w:r>
        <w:t>13. Ten-week solo-developer roadmap</w:t>
      </w:r>
    </w:p>
    <w:tbl>
      <w:tblPr>
        <w:tblStyle w:val="TableGrid"/>
        <w:tblW w:type="auto" w:w="0"/>
        <w:jc w:val="center"/>
        <w:tblLayout w:type="fixed"/>
        <w:tblLook w:firstColumn="1" w:firstRow="1" w:lastColumn="0" w:lastRow="0" w:noHBand="0" w:noVBand="1" w:val="04A0"/>
      </w:tblPr>
      <w:tblGrid>
        <w:gridCol w:w="1663"/>
        <w:gridCol w:w="1663"/>
        <w:gridCol w:w="1663"/>
        <w:gridCol w:w="1663"/>
        <w:gridCol w:w="1663"/>
        <w:gridCol w:w="1663"/>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3"/>
              </w:rPr>
              <w:t>Week</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3"/>
              </w:rPr>
              <w:t>Deliverables</w:t>
            </w:r>
          </w:p>
        </w:tc>
        <w:tc>
          <w:tcPr>
            <w:tcW w:type="dxa" w:w="1757"/>
            <w:shd w:fill="17324D"/>
            <w:tcMar>
              <w:top w:w="80" w:type="dxa"/>
              <w:start w:w="70" w:type="dxa"/>
              <w:bottom w:w="80" w:type="dxa"/>
              <w:end w:w="70" w:type="dxa"/>
            </w:tcMar>
            <w:vAlign w:val="center"/>
          </w:tcPr>
          <w:p>
            <w:pPr>
              <w:spacing w:after="0"/>
              <w:jc w:val="left"/>
            </w:pPr>
            <w:r/>
            <w:r>
              <w:rPr>
                <w:rFonts w:ascii="Aptos" w:hAnsi="Aptos"/>
                <w:b/>
                <w:color w:val="FFFFFF"/>
                <w:sz w:val="13"/>
              </w:rPr>
              <w:t>Modules/files</w:t>
            </w:r>
          </w:p>
        </w:tc>
        <w:tc>
          <w:tcPr>
            <w:tcW w:type="dxa" w:w="1587"/>
            <w:shd w:fill="17324D"/>
            <w:tcMar>
              <w:top w:w="80" w:type="dxa"/>
              <w:start w:w="70" w:type="dxa"/>
              <w:bottom w:w="80" w:type="dxa"/>
              <w:end w:w="70" w:type="dxa"/>
            </w:tcMar>
            <w:vAlign w:val="center"/>
          </w:tcPr>
          <w:p>
            <w:pPr>
              <w:spacing w:after="0"/>
              <w:jc w:val="left"/>
            </w:pPr>
            <w:r/>
            <w:r>
              <w:rPr>
                <w:rFonts w:ascii="Aptos" w:hAnsi="Aptos"/>
                <w:b/>
                <w:color w:val="FFFFFF"/>
                <w:sz w:val="13"/>
              </w:rPr>
              <w:t>Tests</w:t>
            </w:r>
          </w:p>
        </w:tc>
        <w:tc>
          <w:tcPr>
            <w:tcW w:type="dxa" w:w="1474"/>
            <w:shd w:fill="17324D"/>
            <w:tcMar>
              <w:top w:w="80" w:type="dxa"/>
              <w:start w:w="70" w:type="dxa"/>
              <w:bottom w:w="80" w:type="dxa"/>
              <w:end w:w="70" w:type="dxa"/>
            </w:tcMar>
            <w:vAlign w:val="center"/>
          </w:tcPr>
          <w:p>
            <w:pPr>
              <w:spacing w:after="0"/>
              <w:jc w:val="left"/>
            </w:pPr>
            <w:r/>
            <w:r>
              <w:rPr>
                <w:rFonts w:ascii="Aptos" w:hAnsi="Aptos"/>
                <w:b/>
                <w:color w:val="FFFFFF"/>
                <w:sz w:val="13"/>
              </w:rPr>
              <w:t>Main risk</w:t>
            </w:r>
          </w:p>
        </w:tc>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3"/>
              </w:rPr>
              <w:t>Exit criterion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Week 1 — source/legal spike</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Confirm HRERA terms/robots/access; map 30 projects; Suproc listing assumptions; interview script.</w:t>
            </w:r>
          </w:p>
        </w:tc>
        <w:tc>
          <w:tcPr>
            <w:tcW w:type="dxa" w:w="1757"/>
            <w:tcMar>
              <w:top w:w="65" w:type="dxa"/>
              <w:start w:w="65" w:type="dxa"/>
              <w:bottom w:w="65" w:type="dxa"/>
              <w:end w:w="65" w:type="dxa"/>
            </w:tcMar>
            <w:vAlign w:val="top"/>
          </w:tcPr>
          <w:p>
            <w:pPr>
              <w:spacing w:after="0" w:line="240" w:lineRule="auto"/>
            </w:pPr>
            <w:r/>
            <w:r>
              <w:rPr>
                <w:rFonts w:ascii="Aptos" w:hAnsi="Aptos"/>
                <w:color w:val="344054"/>
                <w:sz w:val="13"/>
              </w:rPr>
              <w:t>docs/source-register.md; policies/hrera.yaml; fixtures inventory.</w:t>
            </w:r>
          </w:p>
        </w:tc>
        <w:tc>
          <w:tcPr>
            <w:tcW w:type="dxa" w:w="1587"/>
            <w:tcMar>
              <w:top w:w="65" w:type="dxa"/>
              <w:start w:w="65" w:type="dxa"/>
              <w:bottom w:w="65" w:type="dxa"/>
              <w:end w:w="65" w:type="dxa"/>
            </w:tcMar>
            <w:vAlign w:val="top"/>
          </w:tcPr>
          <w:p>
            <w:pPr>
              <w:spacing w:after="0" w:line="240" w:lineRule="auto"/>
            </w:pPr>
            <w:r/>
            <w:r>
              <w:rPr>
                <w:rFonts w:ascii="Aptos" w:hAnsi="Aptos"/>
                <w:color w:val="344054"/>
                <w:sz w:val="13"/>
              </w:rPr>
              <w:t>Manual fetch tests, legal checklist.</w:t>
            </w:r>
          </w:p>
        </w:tc>
        <w:tc>
          <w:tcPr>
            <w:tcW w:type="dxa" w:w="1474"/>
            <w:tcMar>
              <w:top w:w="65" w:type="dxa"/>
              <w:start w:w="65" w:type="dxa"/>
              <w:bottom w:w="65" w:type="dxa"/>
              <w:end w:w="65" w:type="dxa"/>
            </w:tcMar>
            <w:vAlign w:val="top"/>
          </w:tcPr>
          <w:p>
            <w:pPr>
              <w:spacing w:after="0" w:line="240" w:lineRule="auto"/>
            </w:pPr>
            <w:r/>
            <w:r>
              <w:rPr>
                <w:rFonts w:ascii="Aptos" w:hAnsi="Aptos"/>
                <w:color w:val="344054"/>
                <w:sz w:val="13"/>
              </w:rPr>
              <w:t>Portal restriction; insufficient stable fields.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3"/>
              </w:rPr>
              <w:t>Signed source decision and supported-field list.</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Week 2 — domain and fixtures</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Canonical schemas, identity/phase model, synthetic/frozen HTML/PDF/CSV fixtures.</w:t>
            </w:r>
          </w:p>
        </w:tc>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3"/>
              </w:rPr>
              <w:t>domain/, schemas/, tests/fixtures/.</w:t>
            </w:r>
          </w:p>
        </w:tc>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3"/>
              </w:rPr>
              <w:t>Schema/unit tests; gold labels.</w:t>
            </w:r>
          </w:p>
        </w:tc>
        <w:tc>
          <w:tcPr>
            <w:tcW w:type="dxa" w:w="1474"/>
            <w:shd w:fill="F8FAFC"/>
            <w:tcMar>
              <w:top w:w="65" w:type="dxa"/>
              <w:start w:w="65" w:type="dxa"/>
              <w:bottom w:w="65" w:type="dxa"/>
              <w:end w:w="65" w:type="dxa"/>
            </w:tcMar>
            <w:vAlign w:val="top"/>
          </w:tcPr>
          <w:p>
            <w:pPr>
              <w:spacing w:after="0" w:line="240" w:lineRule="auto"/>
            </w:pPr>
            <w:r/>
            <w:r>
              <w:rPr>
                <w:rFonts w:ascii="Aptos" w:hAnsi="Aptos"/>
                <w:color w:val="344054"/>
                <w:sz w:val="13"/>
              </w:rPr>
              <w:t>Over-broad model.</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3"/>
              </w:rPr>
              <w:t>Core project/snapshot/change schemas frozen.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Week 3 — app foundation</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FastAPI, Pydantic, SQLAlchemy/Alembic, org/watchlist/project CRUD, auth stub, HTMX shell.</w:t>
            </w:r>
          </w:p>
        </w:tc>
        <w:tc>
          <w:tcPr>
            <w:tcW w:type="dxa" w:w="1757"/>
            <w:tcMar>
              <w:top w:w="65" w:type="dxa"/>
              <w:start w:w="65" w:type="dxa"/>
              <w:bottom w:w="65" w:type="dxa"/>
              <w:end w:w="65" w:type="dxa"/>
            </w:tcMar>
            <w:vAlign w:val="top"/>
          </w:tcPr>
          <w:p>
            <w:pPr>
              <w:spacing w:after="0" w:line="240" w:lineRule="auto"/>
            </w:pPr>
            <w:r/>
            <w:r>
              <w:rPr>
                <w:rFonts w:ascii="Aptos" w:hAnsi="Aptos"/>
                <w:color w:val="344054"/>
                <w:sz w:val="13"/>
              </w:rPr>
              <w:t>api/, models/, migrations/, templates/.</w:t>
            </w:r>
          </w:p>
        </w:tc>
        <w:tc>
          <w:tcPr>
            <w:tcW w:type="dxa" w:w="1587"/>
            <w:tcMar>
              <w:top w:w="65" w:type="dxa"/>
              <w:start w:w="65" w:type="dxa"/>
              <w:bottom w:w="65" w:type="dxa"/>
              <w:end w:w="65" w:type="dxa"/>
            </w:tcMar>
            <w:vAlign w:val="top"/>
          </w:tcPr>
          <w:p>
            <w:pPr>
              <w:spacing w:after="0" w:line="240" w:lineRule="auto"/>
            </w:pPr>
            <w:r/>
            <w:r>
              <w:rPr>
                <w:rFonts w:ascii="Aptos" w:hAnsi="Aptos"/>
                <w:color w:val="344054"/>
                <w:sz w:val="13"/>
              </w:rPr>
              <w:t>CRUD, tenancy and migration tests.</w:t>
            </w:r>
          </w:p>
        </w:tc>
        <w:tc>
          <w:tcPr>
            <w:tcW w:type="dxa" w:w="1474"/>
            <w:tcMar>
              <w:top w:w="65" w:type="dxa"/>
              <w:start w:w="65" w:type="dxa"/>
              <w:bottom w:w="65" w:type="dxa"/>
              <w:end w:w="65" w:type="dxa"/>
            </w:tcMar>
            <w:vAlign w:val="top"/>
          </w:tcPr>
          <w:p>
            <w:pPr>
              <w:spacing w:after="0" w:line="240" w:lineRule="auto"/>
            </w:pPr>
            <w:r/>
            <w:r>
              <w:rPr>
                <w:rFonts w:ascii="Aptos" w:hAnsi="Aptos"/>
                <w:color w:val="344054"/>
                <w:sz w:val="13"/>
              </w:rPr>
              <w:t>Auth scope creep.</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3"/>
              </w:rPr>
              <w:t>Create watchlist and add reviewed project.</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Week 4 — HRERA collector</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httpx/BS4 adapter, policy/rate controls, source health, immutable snapshots.</w:t>
            </w:r>
          </w:p>
        </w:tc>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3"/>
              </w:rPr>
              <w:t>collectors/hrera_gurugram.py; snapshots service.</w:t>
            </w:r>
          </w:p>
        </w:tc>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3"/>
              </w:rPr>
              <w:t>Frozen/live-smoke tests; no CAPTCHA path.</w:t>
            </w:r>
          </w:p>
        </w:tc>
        <w:tc>
          <w:tcPr>
            <w:tcW w:type="dxa" w:w="1474"/>
            <w:shd w:fill="F8FAFC"/>
            <w:tcMar>
              <w:top w:w="65" w:type="dxa"/>
              <w:start w:w="65" w:type="dxa"/>
              <w:bottom w:w="65" w:type="dxa"/>
              <w:end w:w="65" w:type="dxa"/>
            </w:tcMar>
            <w:vAlign w:val="top"/>
          </w:tcPr>
          <w:p>
            <w:pPr>
              <w:spacing w:after="0" w:line="240" w:lineRule="auto"/>
            </w:pPr>
            <w:r/>
            <w:r>
              <w:rPr>
                <w:rFonts w:ascii="Aptos" w:hAnsi="Aptos"/>
                <w:color w:val="344054"/>
                <w:sz w:val="13"/>
              </w:rPr>
              <w:t>Layout/terms change.</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3"/>
              </w:rPr>
              <w:t>Baseline captured for 30 projects.</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Week 5 — diff/evidence</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Typed normalisation, changes, reversals, evidence cards and review queue.</w:t>
            </w:r>
          </w:p>
        </w:tc>
        <w:tc>
          <w:tcPr>
            <w:tcW w:type="dxa" w:w="1757"/>
            <w:tcMar>
              <w:top w:w="65" w:type="dxa"/>
              <w:start w:w="65" w:type="dxa"/>
              <w:bottom w:w="65" w:type="dxa"/>
              <w:end w:w="65" w:type="dxa"/>
            </w:tcMar>
            <w:vAlign w:val="top"/>
          </w:tcPr>
          <w:p>
            <w:pPr>
              <w:spacing w:after="0" w:line="240" w:lineRule="auto"/>
            </w:pPr>
            <w:r/>
            <w:r>
              <w:rPr>
                <w:rFonts w:ascii="Aptos" w:hAnsi="Aptos"/>
                <w:color w:val="344054"/>
                <w:sz w:val="13"/>
              </w:rPr>
              <w:t>services/diff.py; signals.py; evidence.py.</w:t>
            </w:r>
          </w:p>
        </w:tc>
        <w:tc>
          <w:tcPr>
            <w:tcW w:type="dxa" w:w="1587"/>
            <w:tcMar>
              <w:top w:w="65" w:type="dxa"/>
              <w:start w:w="65" w:type="dxa"/>
              <w:bottom w:w="65" w:type="dxa"/>
              <w:end w:w="65" w:type="dxa"/>
            </w:tcMar>
            <w:vAlign w:val="top"/>
          </w:tcPr>
          <w:p>
            <w:pPr>
              <w:spacing w:after="0" w:line="240" w:lineRule="auto"/>
            </w:pPr>
            <w:r/>
            <w:r>
              <w:rPr>
                <w:rFonts w:ascii="Aptos" w:hAnsi="Aptos"/>
                <w:color w:val="344054"/>
                <w:sz w:val="13"/>
              </w:rPr>
              <w:t>Seeded change precision/recall.</w:t>
            </w:r>
          </w:p>
        </w:tc>
        <w:tc>
          <w:tcPr>
            <w:tcW w:type="dxa" w:w="1474"/>
            <w:tcMar>
              <w:top w:w="65" w:type="dxa"/>
              <w:start w:w="65" w:type="dxa"/>
              <w:bottom w:w="65" w:type="dxa"/>
              <w:end w:w="65" w:type="dxa"/>
            </w:tcMar>
            <w:vAlign w:val="top"/>
          </w:tcPr>
          <w:p>
            <w:pPr>
              <w:spacing w:after="0" w:line="240" w:lineRule="auto"/>
            </w:pPr>
            <w:r/>
            <w:r>
              <w:rPr>
                <w:rFonts w:ascii="Aptos" w:hAnsi="Aptos"/>
                <w:color w:val="344054"/>
                <w:sz w:val="13"/>
              </w:rPr>
              <w:t>Parser-induced false changes.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3"/>
              </w:rPr>
              <w:t>Case A works end-to-end.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Week 6 — document comparison</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Secure upload, PyMuPDF, optional OCR, schema-constrained claims and claim-vs-record.</w:t>
            </w:r>
          </w:p>
        </w:tc>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3"/>
              </w:rPr>
              <w:t>documents/, parsers/pdf.py, prompts/.</w:t>
            </w:r>
          </w:p>
        </w:tc>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3"/>
              </w:rPr>
              <w:t>PDF fixtures and malware/type tests.</w:t>
            </w:r>
          </w:p>
        </w:tc>
        <w:tc>
          <w:tcPr>
            <w:tcW w:type="dxa" w:w="1474"/>
            <w:shd w:fill="F8FAFC"/>
            <w:tcMar>
              <w:top w:w="65" w:type="dxa"/>
              <w:start w:w="65" w:type="dxa"/>
              <w:bottom w:w="65" w:type="dxa"/>
              <w:end w:w="65" w:type="dxa"/>
            </w:tcMar>
            <w:vAlign w:val="top"/>
          </w:tcPr>
          <w:p>
            <w:pPr>
              <w:spacing w:after="0" w:line="240" w:lineRule="auto"/>
            </w:pPr>
            <w:r/>
            <w:r>
              <w:rPr>
                <w:rFonts w:ascii="Aptos" w:hAnsi="Aptos"/>
                <w:color w:val="344054"/>
                <w:sz w:val="13"/>
              </w:rPr>
              <w:t>Copyright/privacy/LLM error.</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3"/>
              </w:rPr>
              <w:t>Case B works with review.</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Week 7 — timeline/signals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Project Truth Timeline, QPR/lapse/date/conflict/source-health rules, alert review.</w:t>
            </w:r>
          </w:p>
        </w:tc>
        <w:tc>
          <w:tcPr>
            <w:tcW w:type="dxa" w:w="1757"/>
            <w:tcMar>
              <w:top w:w="65" w:type="dxa"/>
              <w:start w:w="65" w:type="dxa"/>
              <w:bottom w:w="65" w:type="dxa"/>
              <w:end w:w="65" w:type="dxa"/>
            </w:tcMar>
            <w:vAlign w:val="top"/>
          </w:tcPr>
          <w:p>
            <w:pPr>
              <w:spacing w:after="0" w:line="240" w:lineRule="auto"/>
            </w:pPr>
            <w:r/>
            <w:r>
              <w:rPr>
                <w:rFonts w:ascii="Aptos" w:hAnsi="Aptos"/>
                <w:color w:val="344054"/>
                <w:sz w:val="13"/>
              </w:rPr>
              <w:t>timeline and alerts modules.</w:t>
            </w:r>
          </w:p>
        </w:tc>
        <w:tc>
          <w:tcPr>
            <w:tcW w:type="dxa" w:w="1587"/>
            <w:tcMar>
              <w:top w:w="65" w:type="dxa"/>
              <w:start w:w="65" w:type="dxa"/>
              <w:bottom w:w="65" w:type="dxa"/>
              <w:end w:w="65" w:type="dxa"/>
            </w:tcMar>
            <w:vAlign w:val="top"/>
          </w:tcPr>
          <w:p>
            <w:pPr>
              <w:spacing w:after="0" w:line="240" w:lineRule="auto"/>
            </w:pPr>
            <w:r/>
            <w:r>
              <w:rPr>
                <w:rFonts w:ascii="Aptos" w:hAnsi="Aptos"/>
                <w:color w:val="344054"/>
                <w:sz w:val="13"/>
              </w:rPr>
              <w:t>Rule, dedupe and permission tests.</w:t>
            </w:r>
          </w:p>
        </w:tc>
        <w:tc>
          <w:tcPr>
            <w:tcW w:type="dxa" w:w="1474"/>
            <w:tcMar>
              <w:top w:w="65" w:type="dxa"/>
              <w:start w:w="65" w:type="dxa"/>
              <w:bottom w:w="65" w:type="dxa"/>
              <w:end w:w="65" w:type="dxa"/>
            </w:tcMar>
            <w:vAlign w:val="top"/>
          </w:tcPr>
          <w:p>
            <w:pPr>
              <w:spacing w:after="0" w:line="240" w:lineRule="auto"/>
            </w:pPr>
            <w:r/>
            <w:r>
              <w:rPr>
                <w:rFonts w:ascii="Aptos" w:hAnsi="Aptos"/>
                <w:color w:val="344054"/>
                <w:sz w:val="13"/>
              </w:rPr>
              <w:t>Overstated risk labels.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3"/>
              </w:rPr>
              <w:t>Transparent signals, no opaque score.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Week 8 — reports/pulse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Weekly digest, approved PDF/CSV/JSON, minimal locality aggregate, CSV import.</w:t>
            </w:r>
          </w:p>
        </w:tc>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3"/>
              </w:rPr>
              <w:t>reports/, markets/, import service.</w:t>
            </w:r>
          </w:p>
        </w:tc>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3"/>
              </w:rPr>
              <w:t>Report/evidence completeness.</w:t>
            </w:r>
          </w:p>
        </w:tc>
        <w:tc>
          <w:tcPr>
            <w:tcW w:type="dxa" w:w="1474"/>
            <w:shd w:fill="F8FAFC"/>
            <w:tcMar>
              <w:top w:w="65" w:type="dxa"/>
              <w:start w:w="65" w:type="dxa"/>
              <w:bottom w:w="65" w:type="dxa"/>
              <w:end w:w="65" w:type="dxa"/>
            </w:tcMar>
            <w:vAlign w:val="top"/>
          </w:tcPr>
          <w:p>
            <w:pPr>
              <w:spacing w:after="0" w:line="240" w:lineRule="auto"/>
            </w:pPr>
            <w:r/>
            <w:r>
              <w:rPr>
                <w:rFonts w:ascii="Aptos" w:hAnsi="Aptos"/>
                <w:color w:val="344054"/>
                <w:sz w:val="13"/>
              </w:rPr>
              <w:t>Scope drift to analytics platform.</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3"/>
              </w:rPr>
              <w:t>Cases C/D and export work.</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3"/>
              </w:rPr>
              <w:t>Week 9 — hardening/deploy</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3"/>
              </w:rPr>
              <w:t>Security, SSRF/upload controls, queues/retries, structured logs, Docker, Postgres, Render/Railway.</w:t>
            </w:r>
          </w:p>
        </w:tc>
        <w:tc>
          <w:tcPr>
            <w:tcW w:type="dxa" w:w="1757"/>
            <w:tcMar>
              <w:top w:w="65" w:type="dxa"/>
              <w:start w:w="65" w:type="dxa"/>
              <w:bottom w:w="65" w:type="dxa"/>
              <w:end w:w="65" w:type="dxa"/>
            </w:tcMar>
            <w:vAlign w:val="top"/>
          </w:tcPr>
          <w:p>
            <w:pPr>
              <w:spacing w:after="0" w:line="240" w:lineRule="auto"/>
            </w:pPr>
            <w:r/>
            <w:r>
              <w:rPr>
                <w:rFonts w:ascii="Aptos" w:hAnsi="Aptos"/>
                <w:color w:val="344054"/>
                <w:sz w:val="13"/>
              </w:rPr>
              <w:t>core/security, jobs, docker/.</w:t>
            </w:r>
          </w:p>
        </w:tc>
        <w:tc>
          <w:tcPr>
            <w:tcW w:type="dxa" w:w="1587"/>
            <w:tcMar>
              <w:top w:w="65" w:type="dxa"/>
              <w:start w:w="65" w:type="dxa"/>
              <w:bottom w:w="65" w:type="dxa"/>
              <w:end w:w="65" w:type="dxa"/>
            </w:tcMar>
            <w:vAlign w:val="top"/>
          </w:tcPr>
          <w:p>
            <w:pPr>
              <w:spacing w:after="0" w:line="240" w:lineRule="auto"/>
            </w:pPr>
            <w:r/>
            <w:r>
              <w:rPr>
                <w:rFonts w:ascii="Aptos" w:hAnsi="Aptos"/>
                <w:color w:val="344054"/>
                <w:sz w:val="13"/>
              </w:rPr>
              <w:t>Security/E2E/restore tests.</w:t>
            </w:r>
          </w:p>
        </w:tc>
        <w:tc>
          <w:tcPr>
            <w:tcW w:type="dxa" w:w="1474"/>
            <w:tcMar>
              <w:top w:w="65" w:type="dxa"/>
              <w:start w:w="65" w:type="dxa"/>
              <w:bottom w:w="65" w:type="dxa"/>
              <w:end w:w="65" w:type="dxa"/>
            </w:tcMar>
            <w:vAlign w:val="top"/>
          </w:tcPr>
          <w:p>
            <w:pPr>
              <w:spacing w:after="0" w:line="240" w:lineRule="auto"/>
            </w:pPr>
            <w:r/>
            <w:r>
              <w:rPr>
                <w:rFonts w:ascii="Aptos" w:hAnsi="Aptos"/>
                <w:color w:val="344054"/>
                <w:sz w:val="13"/>
              </w:rPr>
              <w:t>Cloud cost and source flakiness.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3"/>
              </w:rPr>
              <w:t>Pilot release gates pass.</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3"/>
              </w:rPr>
              <w:t>Week 10 — Marketplace/demo</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3"/>
              </w:rPr>
              <w:t>Listing copy, onboarding, pricing test, demo dataset, mentor FAQ, pilot instrumentation.</w:t>
            </w:r>
          </w:p>
        </w:tc>
        <w:tc>
          <w:tcPr>
            <w:tcW w:type="dxa" w:w="1757"/>
            <w:shd w:fill="F8FAFC"/>
            <w:tcMar>
              <w:top w:w="65" w:type="dxa"/>
              <w:start w:w="65" w:type="dxa"/>
              <w:bottom w:w="65" w:type="dxa"/>
              <w:end w:w="65" w:type="dxa"/>
            </w:tcMar>
            <w:vAlign w:val="top"/>
          </w:tcPr>
          <w:p>
            <w:pPr>
              <w:spacing w:after="0" w:line="240" w:lineRule="auto"/>
            </w:pPr>
            <w:r/>
            <w:r>
              <w:rPr>
                <w:rFonts w:ascii="Aptos" w:hAnsi="Aptos"/>
                <w:color w:val="344054"/>
                <w:sz w:val="13"/>
              </w:rPr>
              <w:t>docs/demo/, marketplace/, analytics events.</w:t>
            </w:r>
          </w:p>
        </w:tc>
        <w:tc>
          <w:tcPr>
            <w:tcW w:type="dxa" w:w="1587"/>
            <w:shd w:fill="F8FAFC"/>
            <w:tcMar>
              <w:top w:w="65" w:type="dxa"/>
              <w:start w:w="65" w:type="dxa"/>
              <w:bottom w:w="65" w:type="dxa"/>
              <w:end w:w="65" w:type="dxa"/>
            </w:tcMar>
            <w:vAlign w:val="top"/>
          </w:tcPr>
          <w:p>
            <w:pPr>
              <w:spacing w:after="0" w:line="240" w:lineRule="auto"/>
            </w:pPr>
            <w:r/>
            <w:r>
              <w:rPr>
                <w:rFonts w:ascii="Aptos" w:hAnsi="Aptos"/>
                <w:color w:val="344054"/>
                <w:sz w:val="13"/>
              </w:rPr>
              <w:t>Rehearsal and clean-environment test.</w:t>
            </w:r>
          </w:p>
        </w:tc>
        <w:tc>
          <w:tcPr>
            <w:tcW w:type="dxa" w:w="1474"/>
            <w:shd w:fill="F8FAFC"/>
            <w:tcMar>
              <w:top w:w="65" w:type="dxa"/>
              <w:start w:w="65" w:type="dxa"/>
              <w:bottom w:w="65" w:type="dxa"/>
              <w:end w:w="65" w:type="dxa"/>
            </w:tcMar>
            <w:vAlign w:val="top"/>
          </w:tcPr>
          <w:p>
            <w:pPr>
              <w:spacing w:after="0" w:line="240" w:lineRule="auto"/>
            </w:pPr>
            <w:r/>
            <w:r>
              <w:rPr>
                <w:rFonts w:ascii="Aptos" w:hAnsi="Aptos"/>
                <w:color w:val="344054"/>
                <w:sz w:val="13"/>
              </w:rPr>
              <w:t>Claims exceed evidence.</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3"/>
              </w:rPr>
              <w:t>5–7 minute honest demo and 3 design partners approached.</w:t>
            </w:r>
          </w:p>
        </w:tc>
      </w:tr>
    </w:tbl>
    <w:p>
      <w:pPr>
        <w:spacing w:after="0"/>
      </w:pPr>
    </w:p>
    <w:p>
      <w:pPr>
        <w:pStyle w:val="Heading2"/>
        <w:keepNext/>
        <w:spacing w:before="140" w:after="80"/>
      </w:pPr>
      <w:r>
        <w:t>13.1 Scope boundaries by release</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5"/>
              </w:rPr>
              <w:t>Exact MVP</w:t>
            </w:r>
          </w:p>
        </w:tc>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5"/>
              </w:rPr>
              <w:t>Version 2</w:t>
            </w:r>
          </w:p>
        </w:tc>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5"/>
              </w:rPr>
              <w:t>Long-term</w:t>
            </w:r>
          </w:p>
        </w:tc>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5"/>
              </w:rPr>
              <w:t>Reject</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Gurugram project watchlists; HRERA adapter; snapshots/diffs; evidence/timeline; brochure compare; review; reports.</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Developer portfolio timeline; richer document revisions; Maharashtra/Telangana adapter; email/slack/webhook; better locality pulse.</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Licensed datasets; enterprise SSO; API; private deployment; broader GIS; approved integrations.</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Listings/search ranking; buy recommendation; price prediction; fraud score; title verification; nationwide unsupported scraping; computer vision without labelled truth.</w:t>
            </w:r>
          </w:p>
        </w:tc>
      </w:tr>
    </w:tbl>
    <w:p>
      <w:pPr>
        <w:spacing w:after="0"/>
      </w:pPr>
    </w:p>
    <w:p>
      <w:pPr>
        <w:pStyle w:val="Heading1"/>
        <w:keepNext/>
        <w:spacing w:before="200" w:after="80"/>
      </w:pPr>
      <w:r>
        <w:t>14. Honest 5–7 minute demonstration plan</w:t>
      </w:r>
    </w:p>
    <w:p>
      <w:pPr>
        <w:pStyle w:val="Heading2"/>
        <w:keepNext/>
        <w:spacing w:before="140" w:after="80"/>
      </w:pPr>
      <w:r>
        <w:t>14.1 Synthetic/consented demo data</w:t>
      </w:r>
    </w:p>
    <w:tbl>
      <w:tblPr>
        <w:tblStyle w:val="TableGrid"/>
        <w:tblW w:type="auto" w:w="0"/>
        <w:jc w:val="center"/>
        <w:tblLayout w:type="fixed"/>
        <w:tblLook w:firstColumn="1" w:firstRow="1" w:lastColumn="0" w:lastRow="0" w:noHBand="0" w:noVBand="1" w:val="04A0"/>
      </w:tblPr>
      <w:tblGrid>
        <w:gridCol w:w="2494"/>
        <w:gridCol w:w="2494"/>
        <w:gridCol w:w="2494"/>
        <w:gridCol w:w="2494"/>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5"/>
              </w:rPr>
              <w:t>Case</w:t>
            </w:r>
          </w:p>
        </w:tc>
        <w:tc>
          <w:tcPr>
            <w:tcW w:type="dxa" w:w="2154"/>
            <w:shd w:fill="17324D"/>
            <w:tcMar>
              <w:top w:w="80" w:type="dxa"/>
              <w:start w:w="70" w:type="dxa"/>
              <w:bottom w:w="80" w:type="dxa"/>
              <w:end w:w="70" w:type="dxa"/>
            </w:tcMar>
            <w:vAlign w:val="center"/>
          </w:tcPr>
          <w:p>
            <w:pPr>
              <w:spacing w:after="0"/>
              <w:jc w:val="left"/>
            </w:pPr>
            <w:r/>
            <w:r>
              <w:rPr>
                <w:rFonts w:ascii="Aptos" w:hAnsi="Aptos"/>
                <w:b/>
                <w:color w:val="FFFFFF"/>
                <w:sz w:val="15"/>
              </w:rPr>
              <w:t>Entity</w:t>
            </w:r>
          </w:p>
        </w:tc>
        <w:tc>
          <w:tcPr>
            <w:tcW w:type="dxa" w:w="2835"/>
            <w:shd w:fill="17324D"/>
            <w:tcMar>
              <w:top w:w="80" w:type="dxa"/>
              <w:start w:w="70" w:type="dxa"/>
              <w:bottom w:w="80" w:type="dxa"/>
              <w:end w:w="70" w:type="dxa"/>
            </w:tcMar>
            <w:vAlign w:val="center"/>
          </w:tcPr>
          <w:p>
            <w:pPr>
              <w:spacing w:after="0"/>
              <w:jc w:val="left"/>
            </w:pPr>
            <w:r/>
            <w:r>
              <w:rPr>
                <w:rFonts w:ascii="Aptos" w:hAnsi="Aptos"/>
                <w:b/>
                <w:color w:val="FFFFFF"/>
                <w:sz w:val="15"/>
              </w:rPr>
              <w:t>Synthetic input</w:t>
            </w:r>
          </w:p>
        </w:tc>
        <w:tc>
          <w:tcPr>
            <w:tcW w:type="dxa" w:w="2551"/>
            <w:shd w:fill="17324D"/>
            <w:tcMar>
              <w:top w:w="80" w:type="dxa"/>
              <w:start w:w="70" w:type="dxa"/>
              <w:bottom w:w="80" w:type="dxa"/>
              <w:end w:w="70" w:type="dxa"/>
            </w:tcMar>
            <w:vAlign w:val="center"/>
          </w:tcPr>
          <w:p>
            <w:pPr>
              <w:spacing w:after="0"/>
              <w:jc w:val="left"/>
            </w:pPr>
            <w:r/>
            <w:r>
              <w:rPr>
                <w:rFonts w:ascii="Aptos" w:hAnsi="Aptos"/>
                <w:b/>
                <w:color w:val="FFFFFF"/>
                <w:sz w:val="15"/>
              </w:rPr>
              <w:t>Expected output</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A — Completion extension</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5"/>
              </w:rPr>
              <w:t>“Aster Heights Phase II” / HRERA-DEMO-101</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Official snapshot: 30 Jun 2027 → 31 Mar 2028</w:t>
            </w:r>
          </w:p>
        </w:tc>
        <w:tc>
          <w:tcPr>
            <w:tcW w:type="dxa" w:w="2551"/>
            <w:tcMar>
              <w:top w:w="65" w:type="dxa"/>
              <w:start w:w="65" w:type="dxa"/>
              <w:bottom w:w="65" w:type="dxa"/>
              <w:end w:w="65" w:type="dxa"/>
            </w:tcMar>
            <w:vAlign w:val="top"/>
          </w:tcPr>
          <w:p>
            <w:pPr>
              <w:spacing w:after="0" w:line="240" w:lineRule="auto"/>
            </w:pPr>
            <w:r/>
            <w:r>
              <w:rPr>
                <w:rFonts w:ascii="Aptos" w:hAnsi="Aptos"/>
                <w:color w:val="344054"/>
                <w:sz w:val="15"/>
              </w:rPr>
              <w:t>High-confidence change +275 days; timeline/evidence; review required.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B — Brochure mismatch</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5"/>
              </w:rPr>
              <w:t>“Lakeview Residences” / HRERA-DEMO-202</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Brochure: 6 towers, 1,200 units, Dec 2027; official: 5 towers, 1,080 units, Jun 2028</w:t>
            </w:r>
          </w:p>
        </w:tc>
        <w:tc>
          <w:tcPr>
            <w:tcW w:type="dxa" w:w="2551"/>
            <w:shd w:fill="F8FAFC"/>
            <w:tcMar>
              <w:top w:w="65" w:type="dxa"/>
              <w:start w:w="65" w:type="dxa"/>
              <w:bottom w:w="65" w:type="dxa"/>
              <w:end w:w="65" w:type="dxa"/>
            </w:tcMar>
            <w:vAlign w:val="top"/>
          </w:tcPr>
          <w:p>
            <w:pPr>
              <w:spacing w:after="0" w:line="240" w:lineRule="auto"/>
            </w:pPr>
            <w:r/>
            <w:r>
              <w:rPr>
                <w:rFonts w:ascii="Aptos" w:hAnsi="Aptos"/>
                <w:color w:val="344054"/>
                <w:sz w:val="15"/>
              </w:rPr>
              <w:t>Three conflicts; brochure claims separated from official facts.</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5"/>
              </w:rPr>
              <w:t>C — New phase/locality pulse</w:t>
            </w:r>
          </w:p>
        </w:tc>
        <w:tc>
          <w:tcPr>
            <w:tcW w:type="dxa" w:w="2154"/>
            <w:tcMar>
              <w:top w:w="65" w:type="dxa"/>
              <w:start w:w="65" w:type="dxa"/>
              <w:bottom w:w="65" w:type="dxa"/>
              <w:end w:w="65" w:type="dxa"/>
            </w:tcMar>
            <w:vAlign w:val="top"/>
          </w:tcPr>
          <w:p>
            <w:pPr>
              <w:spacing w:after="0" w:line="240" w:lineRule="auto"/>
            </w:pPr>
            <w:r/>
            <w:r>
              <w:rPr>
                <w:rFonts w:ascii="Aptos" w:hAnsi="Aptos"/>
                <w:color w:val="344054"/>
                <w:sz w:val="15"/>
              </w:rPr>
              <w:t>Sector 79 monitored set</w:t>
            </w:r>
          </w:p>
        </w:tc>
        <w:tc>
          <w:tcPr>
            <w:tcW w:type="dxa" w:w="2835"/>
            <w:tcMar>
              <w:top w:w="65" w:type="dxa"/>
              <w:start w:w="65" w:type="dxa"/>
              <w:bottom w:w="65" w:type="dxa"/>
              <w:end w:w="65" w:type="dxa"/>
            </w:tcMar>
            <w:vAlign w:val="top"/>
          </w:tcPr>
          <w:p>
            <w:pPr>
              <w:spacing w:after="0" w:line="240" w:lineRule="auto"/>
            </w:pPr>
            <w:r/>
            <w:r>
              <w:rPr>
                <w:rFonts w:ascii="Aptos" w:hAnsi="Aptos"/>
                <w:color w:val="344054"/>
                <w:sz w:val="15"/>
              </w:rPr>
              <w:t>New “Orion Greens Phase III” registration added</w:t>
            </w:r>
          </w:p>
        </w:tc>
        <w:tc>
          <w:tcPr>
            <w:tcW w:type="dxa" w:w="2551"/>
            <w:tcMar>
              <w:top w:w="65" w:type="dxa"/>
              <w:start w:w="65" w:type="dxa"/>
              <w:bottom w:w="65" w:type="dxa"/>
              <w:end w:w="65" w:type="dxa"/>
            </w:tcMar>
            <w:vAlign w:val="top"/>
          </w:tcPr>
          <w:p>
            <w:pPr>
              <w:spacing w:after="0" w:line="240" w:lineRule="auto"/>
            </w:pPr>
            <w:r/>
            <w:r>
              <w:rPr>
                <w:rFonts w:ascii="Aptos" w:hAnsi="Aptos"/>
                <w:color w:val="344054"/>
                <w:sz w:val="15"/>
              </w:rPr>
              <w:t>Pulse identifies one new registration and affected developer count.</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5"/>
              </w:rPr>
              <w:t>D — Source conflict/low confidence</w:t>
            </w:r>
          </w:p>
        </w:tc>
        <w:tc>
          <w:tcPr>
            <w:tcW w:type="dxa" w:w="2154"/>
            <w:shd w:fill="F8FAFC"/>
            <w:tcMar>
              <w:top w:w="65" w:type="dxa"/>
              <w:start w:w="65" w:type="dxa"/>
              <w:bottom w:w="65" w:type="dxa"/>
              <w:end w:w="65" w:type="dxa"/>
            </w:tcMar>
            <w:vAlign w:val="top"/>
          </w:tcPr>
          <w:p>
            <w:pPr>
              <w:spacing w:after="0" w:line="240" w:lineRule="auto"/>
            </w:pPr>
            <w:r/>
            <w:r>
              <w:rPr>
                <w:rFonts w:ascii="Aptos" w:hAnsi="Aptos"/>
                <w:color w:val="344054"/>
                <w:sz w:val="15"/>
              </w:rPr>
              <w:t>“Metro Square” / HRERA-DEMO-404</w:t>
            </w:r>
          </w:p>
        </w:tc>
        <w:tc>
          <w:tcPr>
            <w:tcW w:type="dxa" w:w="2835"/>
            <w:shd w:fill="F8FAFC"/>
            <w:tcMar>
              <w:top w:w="65" w:type="dxa"/>
              <w:start w:w="65" w:type="dxa"/>
              <w:bottom w:w="65" w:type="dxa"/>
              <w:end w:w="65" w:type="dxa"/>
            </w:tcMar>
            <w:vAlign w:val="top"/>
          </w:tcPr>
          <w:p>
            <w:pPr>
              <w:spacing w:after="0" w:line="240" w:lineRule="auto"/>
            </w:pPr>
            <w:r/>
            <w:r>
              <w:rPr>
                <w:rFonts w:ascii="Aptos" w:hAnsi="Aptos"/>
                <w:color w:val="344054"/>
                <w:sz w:val="15"/>
              </w:rPr>
              <w:t>HTML missing date; scanned PDF OCR says 31 Dec 2029 at 0.61; developer page says Jun 2029</w:t>
            </w:r>
          </w:p>
        </w:tc>
        <w:tc>
          <w:tcPr>
            <w:tcW w:type="dxa" w:w="2551"/>
            <w:shd w:fill="F8FAFC"/>
            <w:tcMar>
              <w:top w:w="65" w:type="dxa"/>
              <w:start w:w="65" w:type="dxa"/>
              <w:bottom w:w="65" w:type="dxa"/>
              <w:end w:w="65" w:type="dxa"/>
            </w:tcMar>
            <w:vAlign w:val="top"/>
          </w:tcPr>
          <w:p>
            <w:pPr>
              <w:spacing w:after="0" w:line="240" w:lineRule="auto"/>
            </w:pPr>
            <w:r/>
            <w:r>
              <w:rPr>
                <w:rFonts w:ascii="Aptos" w:hAnsi="Aptos"/>
                <w:color w:val="344054"/>
                <w:sz w:val="15"/>
              </w:rPr>
              <w:t>Conflicting/Needs review; no external alert until reviewer confirms.</w:t>
            </w:r>
          </w:p>
        </w:tc>
      </w:tr>
    </w:tbl>
    <w:p>
      <w:pPr>
        <w:spacing w:after="0"/>
      </w:pPr>
    </w:p>
    <w:p>
      <w:pPr>
        <w:pStyle w:val="Heading2"/>
        <w:keepNext/>
        <w:spacing w:before="140" w:after="80"/>
      </w:pPr>
      <w:r>
        <w:t>14.2 Exact narration</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1247"/>
            <w:shd w:fill="17324D"/>
            <w:tcMar>
              <w:top w:w="80" w:type="dxa"/>
              <w:start w:w="70" w:type="dxa"/>
              <w:bottom w:w="80" w:type="dxa"/>
              <w:end w:w="70" w:type="dxa"/>
            </w:tcMar>
            <w:vAlign w:val="center"/>
          </w:tcPr>
          <w:p>
            <w:pPr>
              <w:spacing w:after="0"/>
              <w:jc w:val="left"/>
            </w:pPr>
            <w:r/>
            <w:r>
              <w:rPr>
                <w:rFonts w:ascii="Aptos" w:hAnsi="Aptos"/>
                <w:b/>
                <w:color w:val="FFFFFF"/>
                <w:sz w:val="15"/>
              </w:rPr>
              <w:t>Time</w:t>
            </w:r>
          </w:p>
        </w:tc>
        <w:tc>
          <w:tcPr>
            <w:tcW w:type="dxa" w:w="8107"/>
            <w:shd w:fill="17324D"/>
            <w:tcMar>
              <w:top w:w="80" w:type="dxa"/>
              <w:start w:w="70" w:type="dxa"/>
              <w:bottom w:w="80" w:type="dxa"/>
              <w:end w:w="70" w:type="dxa"/>
            </w:tcMar>
            <w:vAlign w:val="center"/>
          </w:tcPr>
          <w:p>
            <w:pPr>
              <w:spacing w:after="0"/>
              <w:jc w:val="left"/>
            </w:pPr>
            <w:r/>
            <w:r>
              <w:rPr>
                <w:rFonts w:ascii="Aptos" w:hAnsi="Aptos"/>
                <w:b/>
                <w:color w:val="FFFFFF"/>
                <w:sz w:val="15"/>
              </w:rPr>
              <w:t>Narration / screen action</w:t>
            </w:r>
          </w:p>
        </w:tc>
      </w:tr>
      <w:tr>
        <w:trPr>
          <w:cantSplit/>
        </w:trPr>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0:00–0:35</w:t>
            </w:r>
          </w:p>
        </w:tc>
        <w:tc>
          <w:tcPr>
            <w:tcW w:type="dxa" w:w="8107"/>
            <w:tcMar>
              <w:top w:w="65" w:type="dxa"/>
              <w:start w:w="65" w:type="dxa"/>
              <w:bottom w:w="65" w:type="dxa"/>
              <w:end w:w="65" w:type="dxa"/>
            </w:tcMar>
            <w:vAlign w:val="top"/>
          </w:tcPr>
          <w:p>
            <w:pPr>
              <w:spacing w:after="0" w:line="240" w:lineRule="auto"/>
            </w:pPr>
            <w:r/>
            <w:r>
              <w:rPr>
                <w:rFonts w:ascii="Aptos" w:hAnsi="Aptos"/>
                <w:color w:val="344054"/>
                <w:sz w:val="15"/>
              </w:rPr>
              <w:t>“ProjectTruth Monitor is not a property search engine. It answers one question: what changed in a project, and what evidence supports that change?” Show scope/disclaimer.</w:t>
            </w:r>
          </w:p>
        </w:tc>
      </w:tr>
      <w:tr>
        <w:trPr>
          <w:cantSplit/>
        </w:trPr>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0:35–1:10</w:t>
            </w:r>
          </w:p>
        </w:tc>
        <w:tc>
          <w:tcPr>
            <w:tcW w:type="dxa" w:w="8107"/>
            <w:shd w:fill="F8FAFC"/>
            <w:tcMar>
              <w:top w:w="65" w:type="dxa"/>
              <w:start w:w="65" w:type="dxa"/>
              <w:bottom w:w="65" w:type="dxa"/>
              <w:end w:w="65" w:type="dxa"/>
            </w:tcMar>
            <w:vAlign w:val="top"/>
          </w:tcPr>
          <w:p>
            <w:pPr>
              <w:spacing w:after="0" w:line="240" w:lineRule="auto"/>
            </w:pPr>
            <w:r/>
            <w:r>
              <w:rPr>
                <w:rFonts w:ascii="Aptos" w:hAnsi="Aptos"/>
                <w:color w:val="344054"/>
                <w:sz w:val="15"/>
              </w:rPr>
              <w:t>Create “Gurugram Active Projects” watchlist; add two registration numbers and dry-run a CSV. Show identity confidence and duplicate handling.</w:t>
            </w:r>
          </w:p>
        </w:tc>
      </w:tr>
      <w:tr>
        <w:trPr>
          <w:cantSplit/>
        </w:trPr>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1:10–1:45</w:t>
            </w:r>
          </w:p>
        </w:tc>
        <w:tc>
          <w:tcPr>
            <w:tcW w:type="dxa" w:w="8107"/>
            <w:tcMar>
              <w:top w:w="65" w:type="dxa"/>
              <w:start w:w="65" w:type="dxa"/>
              <w:bottom w:w="65" w:type="dxa"/>
              <w:end w:w="65" w:type="dxa"/>
            </w:tcMar>
            <w:vAlign w:val="top"/>
          </w:tcPr>
          <w:p>
            <w:pPr>
              <w:spacing w:after="0" w:line="240" w:lineRule="auto"/>
            </w:pPr>
            <w:r/>
            <w:r>
              <w:rPr>
                <w:rFonts w:ascii="Aptos" w:hAnsi="Aptos"/>
                <w:color w:val="344054"/>
                <w:sz w:val="15"/>
              </w:rPr>
              <w:t>Open Project A baseline. Point to official source, capture time, supported fields, source health and immutable snapshot hash.</w:t>
            </w:r>
          </w:p>
        </w:tc>
      </w:tr>
      <w:tr>
        <w:trPr>
          <w:cantSplit/>
        </w:trPr>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1:45–2:35</w:t>
            </w:r>
          </w:p>
        </w:tc>
        <w:tc>
          <w:tcPr>
            <w:tcW w:type="dxa" w:w="8107"/>
            <w:shd w:fill="F8FAFC"/>
            <w:tcMar>
              <w:top w:w="65" w:type="dxa"/>
              <w:start w:w="65" w:type="dxa"/>
              <w:bottom w:w="65" w:type="dxa"/>
              <w:end w:w="65" w:type="dxa"/>
            </w:tcMar>
            <w:vAlign w:val="top"/>
          </w:tcPr>
          <w:p>
            <w:pPr>
              <w:spacing w:after="0" w:line="240" w:lineRule="auto"/>
            </w:pPr>
            <w:r/>
            <w:r>
              <w:rPr>
                <w:rFonts w:ascii="Aptos" w:hAnsi="Aptos"/>
                <w:color w:val="344054"/>
                <w:sz w:val="15"/>
              </w:rPr>
              <w:t>Trigger a simulated scheduled refresh. Show proposed completion moving from 30 Jun 2027 to 31 Mar 2028. Open Change Ledger and evidence card; explain deterministic +275-day calculation.</w:t>
            </w:r>
          </w:p>
        </w:tc>
      </w:tr>
      <w:tr>
        <w:trPr>
          <w:cantSplit/>
        </w:trPr>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2:35–3:10</w:t>
            </w:r>
          </w:p>
        </w:tc>
        <w:tc>
          <w:tcPr>
            <w:tcW w:type="dxa" w:w="8107"/>
            <w:tcMar>
              <w:top w:w="65" w:type="dxa"/>
              <w:start w:w="65" w:type="dxa"/>
              <w:bottom w:w="65" w:type="dxa"/>
              <w:end w:w="65" w:type="dxa"/>
            </w:tcMar>
            <w:vAlign w:val="top"/>
          </w:tcPr>
          <w:p>
            <w:pPr>
              <w:spacing w:after="0" w:line="240" w:lineRule="auto"/>
            </w:pPr>
            <w:r/>
            <w:r>
              <w:rPr>
                <w:rFonts w:ascii="Aptos" w:hAnsi="Aptos"/>
                <w:color w:val="344054"/>
                <w:sz w:val="15"/>
              </w:rPr>
              <w:t>Open Project Truth Timeline: registration, prior snapshot, extension, review. Show that a later reversal would be another event—not overwritten history.</w:t>
            </w:r>
          </w:p>
        </w:tc>
      </w:tr>
      <w:tr>
        <w:trPr>
          <w:cantSplit/>
        </w:trPr>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3:10–4:05</w:t>
            </w:r>
          </w:p>
        </w:tc>
        <w:tc>
          <w:tcPr>
            <w:tcW w:type="dxa" w:w="8107"/>
            <w:shd w:fill="F8FAFC"/>
            <w:tcMar>
              <w:top w:w="65" w:type="dxa"/>
              <w:start w:w="65" w:type="dxa"/>
              <w:bottom w:w="65" w:type="dxa"/>
              <w:end w:w="65" w:type="dxa"/>
            </w:tcMar>
            <w:vAlign w:val="top"/>
          </w:tcPr>
          <w:p>
            <w:pPr>
              <w:spacing w:after="0" w:line="240" w:lineRule="auto"/>
            </w:pPr>
            <w:r/>
            <w:r>
              <w:rPr>
                <w:rFonts w:ascii="Aptos" w:hAnsi="Aptos"/>
                <w:color w:val="344054"/>
                <w:sz w:val="15"/>
              </w:rPr>
              <w:t>Upload consented synthetic brochure for Project B. Show extracted claims, page references and official comparison. Approve only the clear conflicts; leave an ambiguous amenity unverified.</w:t>
            </w:r>
          </w:p>
        </w:tc>
      </w:tr>
      <w:tr>
        <w:trPr>
          <w:cantSplit/>
        </w:trPr>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4:05–4:40</w:t>
            </w:r>
          </w:p>
        </w:tc>
        <w:tc>
          <w:tcPr>
            <w:tcW w:type="dxa" w:w="8107"/>
            <w:tcMar>
              <w:top w:w="65" w:type="dxa"/>
              <w:start w:w="65" w:type="dxa"/>
              <w:bottom w:w="65" w:type="dxa"/>
              <w:end w:w="65" w:type="dxa"/>
            </w:tcMar>
            <w:vAlign w:val="top"/>
          </w:tcPr>
          <w:p>
            <w:pPr>
              <w:spacing w:after="0" w:line="240" w:lineRule="auto"/>
            </w:pPr>
            <w:r/>
            <w:r>
              <w:rPr>
                <w:rFonts w:ascii="Aptos" w:hAnsi="Aptos"/>
                <w:color w:val="344054"/>
                <w:sz w:val="15"/>
              </w:rPr>
              <w:t>Show Sector 79 pulse after a synthetic new phase is added. State that figures cover the monitored set, not the whole market.</w:t>
            </w:r>
          </w:p>
        </w:tc>
      </w:tr>
      <w:tr>
        <w:trPr>
          <w:cantSplit/>
        </w:trPr>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4:40–5:25</w:t>
            </w:r>
          </w:p>
        </w:tc>
        <w:tc>
          <w:tcPr>
            <w:tcW w:type="dxa" w:w="8107"/>
            <w:shd w:fill="F8FAFC"/>
            <w:tcMar>
              <w:top w:w="65" w:type="dxa"/>
              <w:start w:w="65" w:type="dxa"/>
              <w:bottom w:w="65" w:type="dxa"/>
              <w:end w:w="65" w:type="dxa"/>
            </w:tcMar>
            <w:vAlign w:val="top"/>
          </w:tcPr>
          <w:p>
            <w:pPr>
              <w:spacing w:after="0" w:line="240" w:lineRule="auto"/>
            </w:pPr>
            <w:r/>
            <w:r>
              <w:rPr>
                <w:rFonts w:ascii="Aptos" w:hAnsi="Aptos"/>
                <w:color w:val="344054"/>
                <w:sz w:val="15"/>
              </w:rPr>
              <w:t>Open Project D. OCR and developer page conflict; monitoring confidence is reduced and alert is blocked until review. Demonstrate human confirmation/rejection.</w:t>
            </w:r>
          </w:p>
        </w:tc>
      </w:tr>
      <w:tr>
        <w:trPr>
          <w:cantSplit/>
        </w:trPr>
        <w:tc>
          <w:tcPr>
            <w:tcW w:type="dxa" w:w="1247"/>
            <w:tcMar>
              <w:top w:w="65" w:type="dxa"/>
              <w:start w:w="65" w:type="dxa"/>
              <w:bottom w:w="65" w:type="dxa"/>
              <w:end w:w="65" w:type="dxa"/>
            </w:tcMar>
            <w:vAlign w:val="top"/>
          </w:tcPr>
          <w:p>
            <w:pPr>
              <w:spacing w:after="0" w:line="240" w:lineRule="auto"/>
            </w:pPr>
            <w:r/>
            <w:r>
              <w:rPr>
                <w:rFonts w:ascii="Aptos" w:hAnsi="Aptos"/>
                <w:color w:val="344054"/>
                <w:sz w:val="15"/>
              </w:rPr>
              <w:t>5:25–6:10</w:t>
            </w:r>
          </w:p>
        </w:tc>
        <w:tc>
          <w:tcPr>
            <w:tcW w:type="dxa" w:w="8107"/>
            <w:tcMar>
              <w:top w:w="65" w:type="dxa"/>
              <w:start w:w="65" w:type="dxa"/>
              <w:bottom w:w="65" w:type="dxa"/>
              <w:end w:w="65" w:type="dxa"/>
            </w:tcMar>
            <w:vAlign w:val="top"/>
          </w:tcPr>
          <w:p>
            <w:pPr>
              <w:spacing w:after="0" w:line="240" w:lineRule="auto"/>
            </w:pPr>
            <w:r/>
            <w:r>
              <w:rPr>
                <w:rFonts w:ascii="Aptos" w:hAnsi="Aptos"/>
                <w:color w:val="344054"/>
                <w:sz w:val="15"/>
              </w:rPr>
              <w:t>Generate an approved PDF/CSV report. Open evidence manifest and disclaimer. Show audit trail for reviewer decision.</w:t>
            </w:r>
          </w:p>
        </w:tc>
      </w:tr>
      <w:tr>
        <w:trPr>
          <w:cantSplit/>
        </w:trPr>
        <w:tc>
          <w:tcPr>
            <w:tcW w:type="dxa" w:w="1247"/>
            <w:shd w:fill="F8FAFC"/>
            <w:tcMar>
              <w:top w:w="65" w:type="dxa"/>
              <w:start w:w="65" w:type="dxa"/>
              <w:bottom w:w="65" w:type="dxa"/>
              <w:end w:w="65" w:type="dxa"/>
            </w:tcMar>
            <w:vAlign w:val="top"/>
          </w:tcPr>
          <w:p>
            <w:pPr>
              <w:spacing w:after="0" w:line="240" w:lineRule="auto"/>
            </w:pPr>
            <w:r/>
            <w:r>
              <w:rPr>
                <w:rFonts w:ascii="Aptos" w:hAnsi="Aptos"/>
                <w:color w:val="344054"/>
                <w:sz w:val="15"/>
              </w:rPr>
              <w:t>6:10–6:40</w:t>
            </w:r>
          </w:p>
        </w:tc>
        <w:tc>
          <w:tcPr>
            <w:tcW w:type="dxa" w:w="8107"/>
            <w:shd w:fill="F8FAFC"/>
            <w:tcMar>
              <w:top w:w="65" w:type="dxa"/>
              <w:start w:w="65" w:type="dxa"/>
              <w:bottom w:w="65" w:type="dxa"/>
              <w:end w:w="65" w:type="dxa"/>
            </w:tcMar>
            <w:vAlign w:val="top"/>
          </w:tcPr>
          <w:p>
            <w:pPr>
              <w:spacing w:after="0" w:line="240" w:lineRule="auto"/>
            </w:pPr>
            <w:r/>
            <w:r>
              <w:rPr>
                <w:rFonts w:ascii="Aptos" w:hAnsi="Aptos"/>
                <w:color w:val="344054"/>
                <w:sz w:val="15"/>
              </w:rPr>
              <w:t>Close with architecture: one source adapter, deterministic truth engine, optional LLM for documents, no hidden risk score, and a 10-week expansion path.</w:t>
            </w:r>
          </w:p>
        </w:tc>
      </w:tr>
    </w:tbl>
    <w:p>
      <w:pPr>
        <w:spacing w:after="0"/>
      </w:pPr>
    </w:p>
    <w:p>
      <w:pPr>
        <w:pStyle w:val="Heading2"/>
        <w:keepNext/>
        <w:spacing w:before="140" w:after="80"/>
      </w:pPr>
      <w:r>
        <w:t>14.3 Files worth showing to mentors</w:t>
      </w:r>
    </w:p>
    <w:p>
      <w:pPr>
        <w:pStyle w:val="ListBullet"/>
        <w:spacing w:after="30" w:line="247" w:lineRule="auto"/>
        <w:ind w:left="360" w:hanging="173"/>
      </w:pPr>
      <w:r>
        <w:rPr>
          <w:rFonts w:ascii="Aptos" w:hAnsi="Aptos"/>
          <w:color w:val="344054"/>
          <w:sz w:val="18"/>
        </w:rPr>
        <w:t>collectors/hrera_gurugram.py — source-specific adapter and access policy.</w:t>
      </w:r>
    </w:p>
    <w:p>
      <w:pPr>
        <w:pStyle w:val="ListBullet"/>
        <w:spacing w:after="30" w:line="247" w:lineRule="auto"/>
        <w:ind w:left="360" w:hanging="173"/>
      </w:pPr>
      <w:r>
        <w:rPr>
          <w:rFonts w:ascii="Aptos" w:hAnsi="Aptos"/>
          <w:color w:val="344054"/>
          <w:sz w:val="18"/>
        </w:rPr>
        <w:t>services/diff.py — deterministic typed comparisons and reversal/removal handling.</w:t>
      </w:r>
    </w:p>
    <w:p>
      <w:pPr>
        <w:pStyle w:val="ListBullet"/>
        <w:spacing w:after="30" w:line="247" w:lineRule="auto"/>
        <w:ind w:left="360" w:hanging="173"/>
      </w:pPr>
      <w:r>
        <w:rPr>
          <w:rFonts w:ascii="Aptos" w:hAnsi="Aptos"/>
          <w:color w:val="344054"/>
          <w:sz w:val="18"/>
        </w:rPr>
        <w:t>services/evidence.py — proof links from alert to old/new snapshots.</w:t>
      </w:r>
    </w:p>
    <w:p>
      <w:pPr>
        <w:pStyle w:val="ListBullet"/>
        <w:spacing w:after="30" w:line="247" w:lineRule="auto"/>
        <w:ind w:left="360" w:hanging="173"/>
      </w:pPr>
      <w:r>
        <w:rPr>
          <w:rFonts w:ascii="Aptos" w:hAnsi="Aptos"/>
          <w:color w:val="344054"/>
          <w:sz w:val="18"/>
        </w:rPr>
        <w:t>policies/hrera.yaml — rate, access, evidence and supported-field policy.</w:t>
      </w:r>
    </w:p>
    <w:p>
      <w:pPr>
        <w:pStyle w:val="ListBullet"/>
        <w:spacing w:after="30" w:line="247" w:lineRule="auto"/>
        <w:ind w:left="360" w:hanging="173"/>
      </w:pPr>
      <w:r>
        <w:rPr>
          <w:rFonts w:ascii="Aptos" w:hAnsi="Aptos"/>
          <w:color w:val="344054"/>
          <w:sz w:val="18"/>
        </w:rPr>
        <w:t>tests/fixtures/html/ — frozen before/after regulator pages.</w:t>
      </w:r>
    </w:p>
    <w:p>
      <w:pPr>
        <w:pStyle w:val="ListBullet"/>
        <w:spacing w:after="30" w:line="247" w:lineRule="auto"/>
        <w:ind w:left="360" w:hanging="173"/>
      </w:pPr>
      <w:r>
        <w:rPr>
          <w:rFonts w:ascii="Aptos" w:hAnsi="Aptos"/>
          <w:color w:val="344054"/>
          <w:sz w:val="18"/>
        </w:rPr>
        <w:t>tests/e2e/test_demo_cases.py — four honest demo cases.</w:t>
      </w:r>
    </w:p>
    <w:p>
      <w:pPr>
        <w:pStyle w:val="ListBullet"/>
        <w:spacing w:after="30" w:line="247" w:lineRule="auto"/>
        <w:ind w:left="360" w:hanging="173"/>
      </w:pPr>
      <w:r>
        <w:rPr>
          <w:rFonts w:ascii="Aptos" w:hAnsi="Aptos"/>
          <w:color w:val="344054"/>
          <w:sz w:val="18"/>
        </w:rPr>
        <w:t>migrations/ — immutable/provenance database design.</w:t>
      </w:r>
    </w:p>
    <w:p>
      <w:pPr>
        <w:pStyle w:val="ListBullet"/>
        <w:spacing w:after="30" w:line="247" w:lineRule="auto"/>
        <w:ind w:left="360" w:hanging="173"/>
      </w:pPr>
      <w:r>
        <w:rPr>
          <w:rFonts w:ascii="Aptos" w:hAnsi="Aptos"/>
          <w:color w:val="344054"/>
          <w:sz w:val="18"/>
        </w:rPr>
        <w:t>docs/source-register.md and docs/legal-boundaries.md.</w:t>
      </w:r>
    </w:p>
    <w:p>
      <w:pPr>
        <w:pStyle w:val="Heading2"/>
        <w:keepNext/>
        <w:spacing w:before="140" w:after="80"/>
      </w:pPr>
      <w:r>
        <w:t>14.4 Mentor questions and strong answers</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948"/>
            <w:shd w:fill="17324D"/>
            <w:tcMar>
              <w:top w:w="80" w:type="dxa"/>
              <w:start w:w="70" w:type="dxa"/>
              <w:bottom w:w="80" w:type="dxa"/>
              <w:end w:w="70" w:type="dxa"/>
            </w:tcMar>
            <w:vAlign w:val="center"/>
          </w:tcPr>
          <w:p>
            <w:pPr>
              <w:spacing w:after="0"/>
              <w:jc w:val="left"/>
            </w:pPr>
            <w:r/>
            <w:r>
              <w:rPr>
                <w:rFonts w:ascii="Aptos" w:hAnsi="Aptos"/>
                <w:b/>
                <w:color w:val="FFFFFF"/>
                <w:sz w:val="15"/>
              </w:rPr>
              <w:t>Question</w:t>
            </w:r>
          </w:p>
        </w:tc>
        <w:tc>
          <w:tcPr>
            <w:tcW w:type="dxa" w:w="6406"/>
            <w:shd w:fill="17324D"/>
            <w:tcMar>
              <w:top w:w="80" w:type="dxa"/>
              <w:start w:w="70" w:type="dxa"/>
              <w:bottom w:w="80" w:type="dxa"/>
              <w:end w:w="70" w:type="dxa"/>
            </w:tcMar>
            <w:vAlign w:val="center"/>
          </w:tcPr>
          <w:p>
            <w:pPr>
              <w:spacing w:after="0"/>
              <w:jc w:val="left"/>
            </w:pPr>
            <w:r/>
            <w:r>
              <w:rPr>
                <w:rFonts w:ascii="Aptos" w:hAnsi="Aptos"/>
                <w:b/>
                <w:color w:val="FFFFFF"/>
                <w:sz w:val="15"/>
              </w:rPr>
              <w:t>Answer</w:t>
            </w:r>
          </w:p>
        </w:tc>
      </w:tr>
      <w:tr>
        <w:trPr>
          <w:cantSplit/>
        </w:trPr>
        <w:tc>
          <w:tcPr>
            <w:tcW w:type="dxa" w:w="2948"/>
            <w:tcMar>
              <w:top w:w="65" w:type="dxa"/>
              <w:start w:w="65" w:type="dxa"/>
              <w:bottom w:w="65" w:type="dxa"/>
              <w:end w:w="65" w:type="dxa"/>
            </w:tcMar>
            <w:vAlign w:val="top"/>
          </w:tcPr>
          <w:p>
            <w:pPr>
              <w:spacing w:after="0" w:line="240" w:lineRule="auto"/>
            </w:pPr>
            <w:r/>
            <w:r>
              <w:rPr>
                <w:rFonts w:ascii="Aptos" w:hAnsi="Aptos"/>
                <w:color w:val="344054"/>
                <w:sz w:val="15"/>
              </w:rPr>
              <w:t>Why not build India-wide?</w:t>
            </w:r>
          </w:p>
        </w:tc>
        <w:tc>
          <w:tcPr>
            <w:tcW w:type="dxa" w:w="6406"/>
            <w:tcMar>
              <w:top w:w="65" w:type="dxa"/>
              <w:start w:w="65" w:type="dxa"/>
              <w:bottom w:w="65" w:type="dxa"/>
              <w:end w:w="65" w:type="dxa"/>
            </w:tcMar>
            <w:vAlign w:val="top"/>
          </w:tcPr>
          <w:p>
            <w:pPr>
              <w:spacing w:after="0" w:line="240" w:lineRule="auto"/>
            </w:pPr>
            <w:r/>
            <w:r>
              <w:rPr>
                <w:rFonts w:ascii="Aptos" w:hAnsi="Aptos"/>
                <w:color w:val="344054"/>
                <w:sz w:val="15"/>
              </w:rPr>
              <w:t>State portals are inconsistent. One supported adapter with measured accuracy is more credible than broad unreliable coverage.</w:t>
            </w:r>
          </w:p>
        </w:tc>
      </w:tr>
      <w:tr>
        <w:trPr>
          <w:cantSplit/>
        </w:trPr>
        <w:tc>
          <w:tcPr>
            <w:tcW w:type="dxa" w:w="2948"/>
            <w:shd w:fill="F8FAFC"/>
            <w:tcMar>
              <w:top w:w="65" w:type="dxa"/>
              <w:start w:w="65" w:type="dxa"/>
              <w:bottom w:w="65" w:type="dxa"/>
              <w:end w:w="65" w:type="dxa"/>
            </w:tcMar>
            <w:vAlign w:val="top"/>
          </w:tcPr>
          <w:p>
            <w:pPr>
              <w:spacing w:after="0" w:line="240" w:lineRule="auto"/>
            </w:pPr>
            <w:r/>
            <w:r>
              <w:rPr>
                <w:rFonts w:ascii="Aptos" w:hAnsi="Aptos"/>
                <w:color w:val="344054"/>
                <w:sz w:val="15"/>
              </w:rPr>
              <w:t>Why is this not Visualping?</w:t>
            </w:r>
          </w:p>
        </w:tc>
        <w:tc>
          <w:tcPr>
            <w:tcW w:type="dxa" w:w="6406"/>
            <w:shd w:fill="F8FAFC"/>
            <w:tcMar>
              <w:top w:w="65" w:type="dxa"/>
              <w:start w:w="65" w:type="dxa"/>
              <w:bottom w:w="65" w:type="dxa"/>
              <w:end w:w="65" w:type="dxa"/>
            </w:tcMar>
            <w:vAlign w:val="top"/>
          </w:tcPr>
          <w:p>
            <w:pPr>
              <w:spacing w:after="0" w:line="240" w:lineRule="auto"/>
            </w:pPr>
            <w:r/>
            <w:r>
              <w:rPr>
                <w:rFonts w:ascii="Aptos" w:hAnsi="Aptos"/>
                <w:color w:val="344054"/>
                <w:sz w:val="15"/>
              </w:rPr>
              <w:t>Visualping detects page changes; ProjectTruth resolves project identity, extracts typed fields, preserves provenance, handles source conflicts, routes review and generates domain reports.</w:t>
            </w:r>
          </w:p>
        </w:tc>
      </w:tr>
      <w:tr>
        <w:trPr>
          <w:cantSplit/>
        </w:trPr>
        <w:tc>
          <w:tcPr>
            <w:tcW w:type="dxa" w:w="2948"/>
            <w:tcMar>
              <w:top w:w="65" w:type="dxa"/>
              <w:start w:w="65" w:type="dxa"/>
              <w:bottom w:w="65" w:type="dxa"/>
              <w:end w:w="65" w:type="dxa"/>
            </w:tcMar>
            <w:vAlign w:val="top"/>
          </w:tcPr>
          <w:p>
            <w:pPr>
              <w:spacing w:after="0" w:line="240" w:lineRule="auto"/>
            </w:pPr>
            <w:r/>
            <w:r>
              <w:rPr>
                <w:rFonts w:ascii="Aptos" w:hAnsi="Aptos"/>
                <w:color w:val="344054"/>
                <w:sz w:val="15"/>
              </w:rPr>
              <w:t>Why use an LLM?</w:t>
            </w:r>
          </w:p>
        </w:tc>
        <w:tc>
          <w:tcPr>
            <w:tcW w:type="dxa" w:w="6406"/>
            <w:tcMar>
              <w:top w:w="65" w:type="dxa"/>
              <w:start w:w="65" w:type="dxa"/>
              <w:bottom w:w="65" w:type="dxa"/>
              <w:end w:w="65" w:type="dxa"/>
            </w:tcMar>
            <w:vAlign w:val="top"/>
          </w:tcPr>
          <w:p>
            <w:pPr>
              <w:spacing w:after="0" w:line="240" w:lineRule="auto"/>
            </w:pPr>
            <w:r/>
            <w:r>
              <w:rPr>
                <w:rFonts w:ascii="Aptos" w:hAnsi="Aptos"/>
                <w:color w:val="344054"/>
                <w:sz w:val="15"/>
              </w:rPr>
              <w:t>Only for optional unstructured claim extraction and summaries. Core facts, dates, diffs and signals are deterministic.</w:t>
            </w:r>
          </w:p>
        </w:tc>
      </w:tr>
      <w:tr>
        <w:trPr>
          <w:cantSplit/>
        </w:trPr>
        <w:tc>
          <w:tcPr>
            <w:tcW w:type="dxa" w:w="2948"/>
            <w:shd w:fill="F8FAFC"/>
            <w:tcMar>
              <w:top w:w="65" w:type="dxa"/>
              <w:start w:w="65" w:type="dxa"/>
              <w:bottom w:w="65" w:type="dxa"/>
              <w:end w:w="65" w:type="dxa"/>
            </w:tcMar>
            <w:vAlign w:val="top"/>
          </w:tcPr>
          <w:p>
            <w:pPr>
              <w:spacing w:after="0" w:line="240" w:lineRule="auto"/>
            </w:pPr>
            <w:r/>
            <w:r>
              <w:rPr>
                <w:rFonts w:ascii="Aptos" w:hAnsi="Aptos"/>
                <w:color w:val="344054"/>
                <w:sz w:val="15"/>
              </w:rPr>
              <w:t>Can you legally scrape RERA?</w:t>
            </w:r>
          </w:p>
        </w:tc>
        <w:tc>
          <w:tcPr>
            <w:tcW w:type="dxa" w:w="6406"/>
            <w:shd w:fill="F8FAFC"/>
            <w:tcMar>
              <w:top w:w="65" w:type="dxa"/>
              <w:start w:w="65" w:type="dxa"/>
              <w:bottom w:w="65" w:type="dxa"/>
              <w:end w:w="65" w:type="dxa"/>
            </w:tcMar>
            <w:vAlign w:val="top"/>
          </w:tcPr>
          <w:p>
            <w:pPr>
              <w:spacing w:after="0" w:line="240" w:lineRule="auto"/>
            </w:pPr>
            <w:r/>
            <w:r>
              <w:rPr>
                <w:rFonts w:ascii="Aptos" w:hAnsi="Aptos"/>
                <w:color w:val="344054"/>
                <w:sz w:val="15"/>
              </w:rPr>
              <w:t>No blanket claim. Each adapter needs source terms/robots/access review; no CAPTCHA/login bypass; evidence is minimised; legal review is a release gate.</w:t>
            </w:r>
          </w:p>
        </w:tc>
      </w:tr>
      <w:tr>
        <w:trPr>
          <w:cantSplit/>
        </w:trPr>
        <w:tc>
          <w:tcPr>
            <w:tcW w:type="dxa" w:w="2948"/>
            <w:tcMar>
              <w:top w:w="65" w:type="dxa"/>
              <w:start w:w="65" w:type="dxa"/>
              <w:bottom w:w="65" w:type="dxa"/>
              <w:end w:w="65" w:type="dxa"/>
            </w:tcMar>
            <w:vAlign w:val="top"/>
          </w:tcPr>
          <w:p>
            <w:pPr>
              <w:spacing w:after="0" w:line="240" w:lineRule="auto"/>
            </w:pPr>
            <w:r/>
            <w:r>
              <w:rPr>
                <w:rFonts w:ascii="Aptos" w:hAnsi="Aptos"/>
                <w:color w:val="344054"/>
                <w:sz w:val="15"/>
              </w:rPr>
              <w:t>How do you prevent hallucination?</w:t>
            </w:r>
          </w:p>
        </w:tc>
        <w:tc>
          <w:tcPr>
            <w:tcW w:type="dxa" w:w="6406"/>
            <w:tcMar>
              <w:top w:w="65" w:type="dxa"/>
              <w:start w:w="65" w:type="dxa"/>
              <w:bottom w:w="65" w:type="dxa"/>
              <w:end w:w="65" w:type="dxa"/>
            </w:tcMar>
            <w:vAlign w:val="top"/>
          </w:tcPr>
          <w:p>
            <w:pPr>
              <w:spacing w:after="0" w:line="240" w:lineRule="auto"/>
            </w:pPr>
            <w:r/>
            <w:r>
              <w:rPr>
                <w:rFonts w:ascii="Aptos" w:hAnsi="Aptos"/>
                <w:color w:val="344054"/>
                <w:sz w:val="15"/>
              </w:rPr>
              <w:t>Unknown stays null; LLM cannot write official facts; every alert references old/new snapshots; high-impact low-confidence changes are blocked.</w:t>
            </w:r>
          </w:p>
        </w:tc>
      </w:tr>
      <w:tr>
        <w:trPr>
          <w:cantSplit/>
        </w:trPr>
        <w:tc>
          <w:tcPr>
            <w:tcW w:type="dxa" w:w="2948"/>
            <w:shd w:fill="F8FAFC"/>
            <w:tcMar>
              <w:top w:w="65" w:type="dxa"/>
              <w:start w:w="65" w:type="dxa"/>
              <w:bottom w:w="65" w:type="dxa"/>
              <w:end w:w="65" w:type="dxa"/>
            </w:tcMar>
            <w:vAlign w:val="top"/>
          </w:tcPr>
          <w:p>
            <w:pPr>
              <w:spacing w:after="0" w:line="240" w:lineRule="auto"/>
            </w:pPr>
            <w:r/>
            <w:r>
              <w:rPr>
                <w:rFonts w:ascii="Aptos" w:hAnsi="Aptos"/>
                <w:color w:val="344054"/>
                <w:sz w:val="15"/>
              </w:rPr>
              <w:t>What is the moat?</w:t>
            </w:r>
          </w:p>
        </w:tc>
        <w:tc>
          <w:tcPr>
            <w:tcW w:type="dxa" w:w="6406"/>
            <w:shd w:fill="F8FAFC"/>
            <w:tcMar>
              <w:top w:w="65" w:type="dxa"/>
              <w:start w:w="65" w:type="dxa"/>
              <w:bottom w:w="65" w:type="dxa"/>
              <w:end w:w="65" w:type="dxa"/>
            </w:tcMar>
            <w:vAlign w:val="top"/>
          </w:tcPr>
          <w:p>
            <w:pPr>
              <w:spacing w:after="0" w:line="240" w:lineRule="auto"/>
            </w:pPr>
            <w:r/>
            <w:r>
              <w:rPr>
                <w:rFonts w:ascii="Aptos" w:hAnsi="Aptos"/>
                <w:color w:val="344054"/>
                <w:sz w:val="15"/>
              </w:rPr>
              <w:t>Accumulated structured change history, reviewed aliases, source adapters, evidence workflow, trust metrics and customer-specific watchlists—not the raw public page.</w:t>
            </w:r>
          </w:p>
        </w:tc>
      </w:tr>
      <w:tr>
        <w:trPr>
          <w:cantSplit/>
        </w:trPr>
        <w:tc>
          <w:tcPr>
            <w:tcW w:type="dxa" w:w="2948"/>
            <w:tcMar>
              <w:top w:w="65" w:type="dxa"/>
              <w:start w:w="65" w:type="dxa"/>
              <w:bottom w:w="65" w:type="dxa"/>
              <w:end w:w="65" w:type="dxa"/>
            </w:tcMar>
            <w:vAlign w:val="top"/>
          </w:tcPr>
          <w:p>
            <w:pPr>
              <w:spacing w:after="0" w:line="240" w:lineRule="auto"/>
            </w:pPr>
            <w:r/>
            <w:r>
              <w:rPr>
                <w:rFonts w:ascii="Aptos" w:hAnsi="Aptos"/>
                <w:color w:val="344054"/>
                <w:sz w:val="15"/>
              </w:rPr>
              <w:t>How will you make money?</w:t>
            </w:r>
          </w:p>
        </w:tc>
        <w:tc>
          <w:tcPr>
            <w:tcW w:type="dxa" w:w="6406"/>
            <w:tcMar>
              <w:top w:w="65" w:type="dxa"/>
              <w:start w:w="65" w:type="dxa"/>
              <w:bottom w:w="65" w:type="dxa"/>
              <w:end w:w="65" w:type="dxa"/>
            </w:tcMar>
            <w:vAlign w:val="top"/>
          </w:tcPr>
          <w:p>
            <w:pPr>
              <w:spacing w:after="0" w:line="240" w:lineRule="auto"/>
            </w:pPr>
            <w:r/>
            <w:r>
              <w:rPr>
                <w:rFonts w:ascii="Aptos" w:hAnsi="Aptos"/>
                <w:color w:val="344054"/>
                <w:sz w:val="15"/>
              </w:rPr>
              <w:t>Test project-count subscriptions with design partners; pricing is a hypothesis until paid conversion.</w:t>
            </w:r>
          </w:p>
        </w:tc>
      </w:tr>
      <w:tr>
        <w:trPr>
          <w:cantSplit/>
        </w:trPr>
        <w:tc>
          <w:tcPr>
            <w:tcW w:type="dxa" w:w="2948"/>
            <w:shd w:fill="F8FAFC"/>
            <w:tcMar>
              <w:top w:w="65" w:type="dxa"/>
              <w:start w:w="65" w:type="dxa"/>
              <w:bottom w:w="65" w:type="dxa"/>
              <w:end w:w="65" w:type="dxa"/>
            </w:tcMar>
            <w:vAlign w:val="top"/>
          </w:tcPr>
          <w:p>
            <w:pPr>
              <w:spacing w:after="0" w:line="240" w:lineRule="auto"/>
            </w:pPr>
            <w:r/>
            <w:r>
              <w:rPr>
                <w:rFonts w:ascii="Aptos" w:hAnsi="Aptos"/>
                <w:color w:val="344054"/>
                <w:sz w:val="15"/>
              </w:rPr>
              <w:t>What happens when the website changes?</w:t>
            </w:r>
          </w:p>
        </w:tc>
        <w:tc>
          <w:tcPr>
            <w:tcW w:type="dxa" w:w="6406"/>
            <w:shd w:fill="F8FAFC"/>
            <w:tcMar>
              <w:top w:w="65" w:type="dxa"/>
              <w:start w:w="65" w:type="dxa"/>
              <w:bottom w:w="65" w:type="dxa"/>
              <w:end w:w="65" w:type="dxa"/>
            </w:tcMar>
            <w:vAlign w:val="top"/>
          </w:tcPr>
          <w:p>
            <w:pPr>
              <w:spacing w:after="0" w:line="240" w:lineRule="auto"/>
            </w:pPr>
            <w:r/>
            <w:r>
              <w:rPr>
                <w:rFonts w:ascii="Aptos" w:hAnsi="Aptos"/>
                <w:color w:val="344054"/>
                <w:sz w:val="15"/>
              </w:rPr>
              <w:t>Fetch and parser health are separate; parser regression blocks alerts, notifies operators and preserves the last verified snapshot.</w:t>
            </w:r>
          </w:p>
        </w:tc>
      </w:tr>
    </w:tbl>
    <w:p>
      <w:pPr>
        <w:spacing w:after="0"/>
      </w:pPr>
    </w:p>
    <w:p>
      <w:pPr>
        <w:pStyle w:val="Heading2"/>
        <w:keepNext/>
        <w:spacing w:before="140" w:after="80"/>
      </w:pPr>
      <w:r>
        <w:t>14.5 Claims that must not be made</w:t>
      </w:r>
    </w:p>
    <w:p>
      <w:pPr>
        <w:pStyle w:val="ListBullet"/>
        <w:spacing w:after="30" w:line="247" w:lineRule="auto"/>
        <w:ind w:left="360" w:hanging="173"/>
      </w:pPr>
      <w:r>
        <w:rPr>
          <w:rFonts w:ascii="Aptos" w:hAnsi="Aptos"/>
          <w:color w:val="344054"/>
          <w:sz w:val="18"/>
        </w:rPr>
        <w:t>“We verify legal title/approvals/fraud.”</w:t>
      </w:r>
    </w:p>
    <w:p>
      <w:pPr>
        <w:pStyle w:val="ListBullet"/>
        <w:spacing w:after="30" w:line="247" w:lineRule="auto"/>
        <w:ind w:left="360" w:hanging="173"/>
      </w:pPr>
      <w:r>
        <w:rPr>
          <w:rFonts w:ascii="Aptos" w:hAnsi="Aptos"/>
          <w:color w:val="344054"/>
          <w:sz w:val="18"/>
        </w:rPr>
        <w:t>“This project will be delayed” or “this developer is risky.”</w:t>
      </w:r>
    </w:p>
    <w:p>
      <w:pPr>
        <w:pStyle w:val="ListBullet"/>
        <w:spacing w:after="30" w:line="247" w:lineRule="auto"/>
        <w:ind w:left="360" w:hanging="173"/>
      </w:pPr>
      <w:r>
        <w:rPr>
          <w:rFonts w:ascii="Aptos" w:hAnsi="Aptos"/>
          <w:color w:val="344054"/>
          <w:sz w:val="18"/>
        </w:rPr>
        <w:t>“Our data is real-time, complete or 100% accurate.”</w:t>
      </w:r>
    </w:p>
    <w:p>
      <w:pPr>
        <w:pStyle w:val="ListBullet"/>
        <w:spacing w:after="30" w:line="247" w:lineRule="auto"/>
        <w:ind w:left="360" w:hanging="173"/>
      </w:pPr>
      <w:r>
        <w:rPr>
          <w:rFonts w:ascii="Aptos" w:hAnsi="Aptos"/>
          <w:color w:val="344054"/>
          <w:sz w:val="18"/>
        </w:rPr>
        <w:t>“We cover all Indian RERA portals.”</w:t>
      </w:r>
    </w:p>
    <w:p>
      <w:pPr>
        <w:pStyle w:val="ListBullet"/>
        <w:spacing w:after="30" w:line="247" w:lineRule="auto"/>
        <w:ind w:left="360" w:hanging="173"/>
      </w:pPr>
      <w:r>
        <w:rPr>
          <w:rFonts w:ascii="Aptos" w:hAnsi="Aptos"/>
          <w:color w:val="344054"/>
          <w:sz w:val="18"/>
        </w:rPr>
        <w:t>“Suproc already integrates with this service/API.”</w:t>
      </w:r>
    </w:p>
    <w:p>
      <w:pPr>
        <w:pStyle w:val="ListBullet"/>
        <w:spacing w:after="30" w:line="247" w:lineRule="auto"/>
        <w:ind w:left="360" w:hanging="173"/>
      </w:pPr>
      <w:r>
        <w:rPr>
          <w:rFonts w:ascii="Aptos" w:hAnsi="Aptos"/>
          <w:color w:val="344054"/>
          <w:sz w:val="18"/>
        </w:rPr>
        <w:t>“The AI recommends whether to buy or invest.”</w:t>
      </w:r>
    </w:p>
    <w:p>
      <w:pPr>
        <w:pStyle w:val="ListBullet"/>
        <w:spacing w:after="30" w:line="247" w:lineRule="auto"/>
        <w:ind w:left="360" w:hanging="173"/>
      </w:pPr>
      <w:r>
        <w:rPr>
          <w:rFonts w:ascii="Aptos" w:hAnsi="Aptos"/>
          <w:color w:val="344054"/>
          <w:sz w:val="18"/>
        </w:rPr>
        <w:t>“Public data can be scraped or republished without restriction.”</w:t>
      </w:r>
    </w:p>
    <w:p>
      <w:pPr>
        <w:sectPr>
          <w:pgSz w:w="11906" w:h="16838"/>
          <w:pgMar w:top="964" w:right="964" w:bottom="907" w:left="964" w:header="397" w:footer="397" w:gutter="0"/>
          <w:cols w:space="720"/>
          <w:docGrid w:linePitch="360"/>
        </w:sectPr>
      </w:pPr>
    </w:p>
    <w:p>
      <w:pPr>
        <w:pStyle w:val="Heading1"/>
        <w:keepNext/>
        <w:spacing w:before="200" w:after="80"/>
      </w:pPr>
      <w:r>
        <w:t>15. Risk register</w:t>
      </w:r>
    </w:p>
    <w:tbl>
      <w:tblPr>
        <w:tblStyle w:val="TableGrid"/>
        <w:tblW w:type="auto" w:w="0"/>
        <w:jc w:val="center"/>
        <w:tblLayout w:type="fixed"/>
        <w:tblLook w:firstColumn="1" w:firstRow="1" w:lastColumn="0" w:lastRow="0" w:noHBand="0" w:noVBand="1" w:val="04A0"/>
      </w:tblPr>
      <w:tblGrid>
        <w:gridCol w:w="2211"/>
        <w:gridCol w:w="2211"/>
        <w:gridCol w:w="2211"/>
        <w:gridCol w:w="2211"/>
        <w:gridCol w:w="2211"/>
        <w:gridCol w:w="2211"/>
        <w:gridCol w:w="2211"/>
      </w:tblGrid>
      <w:tr>
        <w:trPr>
          <w:tblHeader w:val="true"/>
          <w:cantSplit/>
        </w:trPr>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2"/>
              </w:rPr>
              <w:t>Risk</w:t>
            </w:r>
          </w:p>
        </w:tc>
        <w:tc>
          <w:tcPr>
            <w:tcW w:type="dxa" w:w="1020"/>
            <w:shd w:fill="17324D"/>
            <w:tcMar>
              <w:top w:w="80" w:type="dxa"/>
              <w:start w:w="70" w:type="dxa"/>
              <w:bottom w:w="80" w:type="dxa"/>
              <w:end w:w="70" w:type="dxa"/>
            </w:tcMar>
            <w:vAlign w:val="center"/>
          </w:tcPr>
          <w:p>
            <w:pPr>
              <w:spacing w:after="0"/>
              <w:jc w:val="left"/>
            </w:pPr>
            <w:r/>
            <w:r>
              <w:rPr>
                <w:rFonts w:ascii="Aptos" w:hAnsi="Aptos"/>
                <w:b/>
                <w:color w:val="FFFFFF"/>
                <w:sz w:val="12"/>
              </w:rPr>
              <w:t>Probability</w:t>
            </w:r>
          </w:p>
        </w:tc>
        <w:tc>
          <w:tcPr>
            <w:tcW w:type="dxa" w:w="1020"/>
            <w:shd w:fill="17324D"/>
            <w:tcMar>
              <w:top w:w="80" w:type="dxa"/>
              <w:start w:w="70" w:type="dxa"/>
              <w:bottom w:w="80" w:type="dxa"/>
              <w:end w:w="70" w:type="dxa"/>
            </w:tcMar>
            <w:vAlign w:val="center"/>
          </w:tcPr>
          <w:p>
            <w:pPr>
              <w:spacing w:after="0"/>
              <w:jc w:val="left"/>
            </w:pPr>
            <w:r/>
            <w:r>
              <w:rPr>
                <w:rFonts w:ascii="Aptos" w:hAnsi="Aptos"/>
                <w:b/>
                <w:color w:val="FFFFFF"/>
                <w:sz w:val="12"/>
              </w:rPr>
              <w:t>Impact</w:t>
            </w:r>
          </w:p>
        </w:tc>
        <w:tc>
          <w:tcPr>
            <w:tcW w:type="dxa" w:w="2891"/>
            <w:shd w:fill="17324D"/>
            <w:tcMar>
              <w:top w:w="80" w:type="dxa"/>
              <w:start w:w="70" w:type="dxa"/>
              <w:bottom w:w="80" w:type="dxa"/>
              <w:end w:w="70" w:type="dxa"/>
            </w:tcMar>
            <w:vAlign w:val="center"/>
          </w:tcPr>
          <w:p>
            <w:pPr>
              <w:spacing w:after="0"/>
              <w:jc w:val="left"/>
            </w:pPr>
            <w:r/>
            <w:r>
              <w:rPr>
                <w:rFonts w:ascii="Aptos" w:hAnsi="Aptos"/>
                <w:b/>
                <w:color w:val="FFFFFF"/>
                <w:sz w:val="12"/>
              </w:rPr>
              <w:t>Prevention</w:t>
            </w:r>
          </w:p>
        </w:tc>
        <w:tc>
          <w:tcPr>
            <w:tcW w:type="dxa" w:w="2041"/>
            <w:shd w:fill="17324D"/>
            <w:tcMar>
              <w:top w:w="80" w:type="dxa"/>
              <w:start w:w="70" w:type="dxa"/>
              <w:bottom w:w="80" w:type="dxa"/>
              <w:end w:w="70" w:type="dxa"/>
            </w:tcMar>
            <w:vAlign w:val="center"/>
          </w:tcPr>
          <w:p>
            <w:pPr>
              <w:spacing w:after="0"/>
              <w:jc w:val="left"/>
            </w:pPr>
            <w:r/>
            <w:r>
              <w:rPr>
                <w:rFonts w:ascii="Aptos" w:hAnsi="Aptos"/>
                <w:b/>
                <w:color w:val="FFFFFF"/>
                <w:sz w:val="12"/>
              </w:rPr>
              <w:t>Detection</w:t>
            </w:r>
          </w:p>
        </w:tc>
        <w:tc>
          <w:tcPr>
            <w:tcW w:type="dxa" w:w="2268"/>
            <w:shd w:fill="17324D"/>
            <w:tcMar>
              <w:top w:w="80" w:type="dxa"/>
              <w:start w:w="70" w:type="dxa"/>
              <w:bottom w:w="80" w:type="dxa"/>
              <w:end w:w="70" w:type="dxa"/>
            </w:tcMar>
            <w:vAlign w:val="center"/>
          </w:tcPr>
          <w:p>
            <w:pPr>
              <w:spacing w:after="0"/>
              <w:jc w:val="left"/>
            </w:pPr>
            <w:r/>
            <w:r>
              <w:rPr>
                <w:rFonts w:ascii="Aptos" w:hAnsi="Aptos"/>
                <w:b/>
                <w:color w:val="FFFFFF"/>
                <w:sz w:val="12"/>
              </w:rPr>
              <w:t>Fallback</w:t>
            </w:r>
          </w:p>
        </w:tc>
        <w:tc>
          <w:tcPr>
            <w:tcW w:type="dxa" w:w="3175"/>
            <w:shd w:fill="17324D"/>
            <w:tcMar>
              <w:top w:w="80" w:type="dxa"/>
              <w:start w:w="70" w:type="dxa"/>
              <w:bottom w:w="80" w:type="dxa"/>
              <w:end w:w="70" w:type="dxa"/>
            </w:tcMar>
            <w:vAlign w:val="center"/>
          </w:tcPr>
          <w:p>
            <w:pPr>
              <w:spacing w:after="0"/>
              <w:jc w:val="left"/>
            </w:pPr>
            <w:r/>
            <w:r>
              <w:rPr>
                <w:rFonts w:ascii="Aptos" w:hAnsi="Aptos"/>
                <w:b/>
                <w:color w:val="FFFFFF"/>
                <w:sz w:val="12"/>
              </w:rPr>
              <w:t>User disclosure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Website/layout change</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Versioned adapters, frozen fixtures, supported-field contracts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Parse-health metrics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Pause adapter; manual/user-upload path</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“Source format changed; no alert produced.”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CAPTCHA/access restriction</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Pre-launch policy review; no restricted source dependency</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403/CAPTCHA detector</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Disable automation; request authorised upload</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“Automatic access is blocked.”</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Inconsistent state portals</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One-state MVP; adapter certification</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Per-adapter success metrics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Do not generalise; defer state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“Coverage is limited to supported sources.”</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Missing history</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Baseline truth starts at onboarding; import user evidence</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Baseline date shown</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No pre-baseline claims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“History begins from first verified snapshot.”</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Incorrect project match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Very 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Registration-first identity; review ambiguous aliases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Match confidence/correction rate</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Block monitoring/report</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“Confirm the project registration.”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False alerts</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Typed comparisons, parser-version checks, dedupe, review</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False-positive code rate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Suppress rule/rollback parser</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“This alert is under review.”</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Stale information</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Freshness dimensions and source cadence</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Age/last success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Reduce confidence; never “all clear”</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“Last verified on [date].”</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Conflicting sources</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Separate facts/claims and precedence display</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Conflict count/age</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Human review; show both</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“Sources disagree.”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Defamation/legal inference</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Low-Med</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Very 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Exact-source wording; no fraud/non-compliance inference</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Review/audit of high alerts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Remove/correct; legal escalation</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“Decision support, not legal conclusion.”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Copyright/republication</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Limited evidence, hashes, source links, rights attestation</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Stored-byte and export audit</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Delete/replace evidence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“Full source document is not republished.”</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Data-source dependency</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Adapter health, cache, alternate authorised input</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Source SLA dashboard</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Pause and disclose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“Monitoring is temporarily degraded.”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Cloud/LLM cost</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LLM optional; caching; project quotas</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Cost/project/check</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Disable optional AI; queue limits</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“Document AI temporarily unavailable.”</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OCR/LLM error</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Schema constraints, page evidence, confidence/review</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Correction and review rates</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No fact publication</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“Extraction needs review.”</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Geographic scaling</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Adapter certification checklist</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Time/state and regression load</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Prioritise paid demand</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“New states are added after validation.”</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Maintenance burden</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Narrow fields, source contracts, incident playbooks</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Hours/adapter/month</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Drop low-value fields/source</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“Some fields are temporarily unsupported.”</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Privacy/security</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Very 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Data minimisation, tenant authz, secure uploads, DPDP controls</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Security alerts/access audit</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Contain, notify, rotate, delete</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Incident notice per policy.</w:t>
            </w:r>
          </w:p>
        </w:tc>
      </w:tr>
      <w:tr>
        <w:trPr>
          <w:cantSplit/>
        </w:trPr>
        <w:tc>
          <w:tcPr>
            <w:tcW w:type="dxa" w:w="1814"/>
            <w:tcMar>
              <w:top w:w="65" w:type="dxa"/>
              <w:start w:w="65" w:type="dxa"/>
              <w:bottom w:w="65" w:type="dxa"/>
              <w:end w:w="65" w:type="dxa"/>
            </w:tcMar>
            <w:vAlign w:val="top"/>
          </w:tcPr>
          <w:p>
            <w:pPr>
              <w:spacing w:after="0" w:line="240" w:lineRule="auto"/>
            </w:pPr>
            <w:r/>
            <w:r>
              <w:rPr>
                <w:rFonts w:ascii="Aptos" w:hAnsi="Aptos"/>
                <w:color w:val="344054"/>
                <w:sz w:val="12"/>
              </w:rPr>
              <w:t>User trust</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tcMar>
              <w:top w:w="65" w:type="dxa"/>
              <w:start w:w="65" w:type="dxa"/>
              <w:bottom w:w="65" w:type="dxa"/>
              <w:end w:w="65" w:type="dxa"/>
            </w:tcMar>
            <w:vAlign w:val="top"/>
          </w:tcPr>
          <w:p>
            <w:pPr>
              <w:spacing w:after="0" w:line="240" w:lineRule="auto"/>
            </w:pPr>
            <w:r/>
            <w:r>
              <w:rPr>
                <w:rFonts w:ascii="Aptos" w:hAnsi="Aptos"/>
                <w:color w:val="344054"/>
                <w:sz w:val="12"/>
              </w:rPr>
              <w:t>Evidence-first UI, unknown/null, review trail</w:t>
            </w:r>
          </w:p>
        </w:tc>
        <w:tc>
          <w:tcPr>
            <w:tcW w:type="dxa" w:w="2041"/>
            <w:tcMar>
              <w:top w:w="65" w:type="dxa"/>
              <w:start w:w="65" w:type="dxa"/>
              <w:bottom w:w="65" w:type="dxa"/>
              <w:end w:w="65" w:type="dxa"/>
            </w:tcMar>
            <w:vAlign w:val="top"/>
          </w:tcPr>
          <w:p>
            <w:pPr>
              <w:spacing w:after="0" w:line="240" w:lineRule="auto"/>
            </w:pPr>
            <w:r/>
            <w:r>
              <w:rPr>
                <w:rFonts w:ascii="Aptos" w:hAnsi="Aptos"/>
                <w:color w:val="344054"/>
                <w:sz w:val="12"/>
              </w:rPr>
              <w:t>Dismissals, corrections, retention</w:t>
            </w:r>
          </w:p>
        </w:tc>
        <w:tc>
          <w:tcPr>
            <w:tcW w:type="dxa" w:w="2268"/>
            <w:tcMar>
              <w:top w:w="65" w:type="dxa"/>
              <w:start w:w="65" w:type="dxa"/>
              <w:bottom w:w="65" w:type="dxa"/>
              <w:end w:w="65" w:type="dxa"/>
            </w:tcMar>
            <w:vAlign w:val="top"/>
          </w:tcPr>
          <w:p>
            <w:pPr>
              <w:spacing w:after="0" w:line="240" w:lineRule="auto"/>
            </w:pPr>
            <w:r/>
            <w:r>
              <w:rPr>
                <w:rFonts w:ascii="Aptos" w:hAnsi="Aptos"/>
                <w:color w:val="344054"/>
                <w:sz w:val="12"/>
              </w:rPr>
              <w:t>Transparent postmortem</w:t>
            </w:r>
          </w:p>
        </w:tc>
        <w:tc>
          <w:tcPr>
            <w:tcW w:type="dxa" w:w="3175"/>
            <w:tcMar>
              <w:top w:w="65" w:type="dxa"/>
              <w:start w:w="65" w:type="dxa"/>
              <w:bottom w:w="65" w:type="dxa"/>
              <w:end w:w="65" w:type="dxa"/>
            </w:tcMar>
            <w:vAlign w:val="top"/>
          </w:tcPr>
          <w:p>
            <w:pPr>
              <w:spacing w:after="0" w:line="240" w:lineRule="auto"/>
            </w:pPr>
            <w:r/>
            <w:r>
              <w:rPr>
                <w:rFonts w:ascii="Aptos" w:hAnsi="Aptos"/>
                <w:color w:val="344054"/>
                <w:sz w:val="12"/>
              </w:rPr>
              <w:t>Show source, limitation and correction.</w:t>
            </w:r>
          </w:p>
        </w:tc>
      </w:tr>
      <w:tr>
        <w:trPr>
          <w:cantSplit/>
        </w:trPr>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2"/>
              </w:rPr>
              <w:t>Marketplace adoption</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Medium</w:t>
            </w:r>
          </w:p>
        </w:tc>
        <w:tc>
          <w:tcPr>
            <w:tcW w:type="dxa" w:w="1020"/>
            <w:shd w:fill="F8FAFC"/>
            <w:tcMar>
              <w:top w:w="65" w:type="dxa"/>
              <w:start w:w="65" w:type="dxa"/>
              <w:bottom w:w="65" w:type="dxa"/>
              <w:end w:w="65" w:type="dxa"/>
            </w:tcMar>
            <w:vAlign w:val="top"/>
          </w:tcPr>
          <w:p>
            <w:pPr>
              <w:spacing w:after="0" w:line="240" w:lineRule="auto"/>
            </w:pPr>
            <w:r/>
            <w:r>
              <w:rPr>
                <w:rFonts w:ascii="Aptos" w:hAnsi="Aptos"/>
                <w:color w:val="344054"/>
                <w:sz w:val="12"/>
              </w:rPr>
              <w:t>High</w:t>
            </w:r>
          </w:p>
        </w:tc>
        <w:tc>
          <w:tcPr>
            <w:tcW w:type="dxa" w:w="2891"/>
            <w:shd w:fill="F8FAFC"/>
            <w:tcMar>
              <w:top w:w="65" w:type="dxa"/>
              <w:start w:w="65" w:type="dxa"/>
              <w:bottom w:w="65" w:type="dxa"/>
              <w:end w:w="65" w:type="dxa"/>
            </w:tcMar>
            <w:vAlign w:val="top"/>
          </w:tcPr>
          <w:p>
            <w:pPr>
              <w:spacing w:after="0" w:line="240" w:lineRule="auto"/>
            </w:pPr>
            <w:r/>
            <w:r>
              <w:rPr>
                <w:rFonts w:ascii="Aptos" w:hAnsi="Aptos"/>
                <w:color w:val="344054"/>
                <w:sz w:val="12"/>
              </w:rPr>
              <w:t>Design partners, narrow persona, measurable ROI</w:t>
            </w:r>
          </w:p>
        </w:tc>
        <w:tc>
          <w:tcPr>
            <w:tcW w:type="dxa" w:w="2041"/>
            <w:shd w:fill="F8FAFC"/>
            <w:tcMar>
              <w:top w:w="65" w:type="dxa"/>
              <w:start w:w="65" w:type="dxa"/>
              <w:bottom w:w="65" w:type="dxa"/>
              <w:end w:w="65" w:type="dxa"/>
            </w:tcMar>
            <w:vAlign w:val="top"/>
          </w:tcPr>
          <w:p>
            <w:pPr>
              <w:spacing w:after="0" w:line="240" w:lineRule="auto"/>
            </w:pPr>
            <w:r/>
            <w:r>
              <w:rPr>
                <w:rFonts w:ascii="Aptos" w:hAnsi="Aptos"/>
                <w:color w:val="344054"/>
                <w:sz w:val="12"/>
              </w:rPr>
              <w:t>Activation, weekly use, paid conversion</w:t>
            </w:r>
          </w:p>
        </w:tc>
        <w:tc>
          <w:tcPr>
            <w:tcW w:type="dxa" w:w="2268"/>
            <w:shd w:fill="F8FAFC"/>
            <w:tcMar>
              <w:top w:w="65" w:type="dxa"/>
              <w:start w:w="65" w:type="dxa"/>
              <w:bottom w:w="65" w:type="dxa"/>
              <w:end w:w="65" w:type="dxa"/>
            </w:tcMar>
            <w:vAlign w:val="top"/>
          </w:tcPr>
          <w:p>
            <w:pPr>
              <w:spacing w:after="0" w:line="240" w:lineRule="auto"/>
            </w:pPr>
            <w:r/>
            <w:r>
              <w:rPr>
                <w:rFonts w:ascii="Aptos" w:hAnsi="Aptos"/>
                <w:color w:val="344054"/>
                <w:sz w:val="12"/>
              </w:rPr>
              <w:t>Modify persona/pricing</w:t>
            </w:r>
          </w:p>
        </w:tc>
        <w:tc>
          <w:tcPr>
            <w:tcW w:type="dxa" w:w="3175"/>
            <w:shd w:fill="F8FAFC"/>
            <w:tcMar>
              <w:top w:w="65" w:type="dxa"/>
              <w:start w:w="65" w:type="dxa"/>
              <w:bottom w:w="65" w:type="dxa"/>
              <w:end w:w="65" w:type="dxa"/>
            </w:tcMar>
            <w:vAlign w:val="top"/>
          </w:tcPr>
          <w:p>
            <w:pPr>
              <w:spacing w:after="0" w:line="240" w:lineRule="auto"/>
            </w:pPr>
            <w:r/>
            <w:r>
              <w:rPr>
                <w:rFonts w:ascii="Aptos" w:hAnsi="Aptos"/>
                <w:color w:val="344054"/>
                <w:sz w:val="12"/>
              </w:rPr>
              <w:t>No inflated adoption claim.</w:t>
            </w:r>
          </w:p>
        </w:tc>
      </w:tr>
    </w:tbl>
    <w:p>
      <w:pPr>
        <w:spacing w:after="0"/>
      </w:pPr>
    </w:p>
    <w:p>
      <w:pPr>
        <w:sectPr>
          <w:pgSz w:w="16838" w:h="11906" w:orient="landscape"/>
          <w:pgMar w:top="794" w:right="680" w:bottom="794" w:left="680" w:header="397" w:footer="397" w:gutter="0"/>
          <w:cols w:space="720"/>
          <w:docGrid w:linePitch="360"/>
        </w:sectPr>
      </w:pPr>
    </w:p>
    <w:p>
      <w:pPr>
        <w:pStyle w:val="Heading1"/>
        <w:keepNext/>
        <w:spacing w:before="200" w:after="80"/>
      </w:pPr>
      <w:r>
        <w:t>16. Final recommendation</w:t>
      </w:r>
    </w:p>
    <w:tbl>
      <w:tblPr>
        <w:tblStyle w:val="TableGrid"/>
        <w:tblW w:type="auto" w:w="0"/>
        <w:jc w:val="center"/>
        <w:tblLayout w:type="fixed"/>
        <w:tblLook w:firstColumn="1" w:firstRow="1" w:lastColumn="0" w:lastRow="0" w:noHBand="0" w:noVBand="1" w:val="04A0"/>
      </w:tblPr>
      <w:tblGrid>
        <w:gridCol w:w="4989"/>
        <w:gridCol w:w="4989"/>
      </w:tblGrid>
      <w:tr>
        <w:trPr>
          <w:tblHeader w:val="true"/>
          <w:cantSplit/>
        </w:trPr>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5"/>
              </w:rPr>
              <w:t>Requested conclusion</w:t>
            </w:r>
          </w:p>
        </w:tc>
        <w:tc>
          <w:tcPr>
            <w:tcW w:type="dxa" w:w="6973"/>
            <w:shd w:fill="17324D"/>
            <w:tcMar>
              <w:top w:w="80" w:type="dxa"/>
              <w:start w:w="70" w:type="dxa"/>
              <w:bottom w:w="80" w:type="dxa"/>
              <w:end w:w="70" w:type="dxa"/>
            </w:tcMar>
            <w:vAlign w:val="center"/>
          </w:tcPr>
          <w:p>
            <w:pPr>
              <w:spacing w:after="0"/>
              <w:jc w:val="left"/>
            </w:pPr>
            <w:r/>
            <w:r>
              <w:rPr>
                <w:rFonts w:ascii="Aptos" w:hAnsi="Aptos"/>
                <w:b/>
                <w:color w:val="FFFFFF"/>
                <w:sz w:val="15"/>
              </w:rPr>
              <w:t>Answer</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1. Verified Suproc summary</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Suproc publicly positions Suplinks marketplace/network discovery, Workspaces/projects, procurement/RFQ and ERP/CRM-related workflows, and context-aware Sup AI with approvals/trust. No verified RERA monitoring product/API was found. [S01] [S02] [S03] [S04] [S05] [S06]</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2. Relevant gap</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No publicly verified evidence-first real-estate project snapshot/change/document-monitoring service.</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3. Final product definition</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A standalone watchlist service that captures official baselines, detects typed changes, compares authorised marketing documents, preserves evidence and routes human review.</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4. Product name</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ProjectTruth Monitor.</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5. Exact primary user</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Research/operations team in a 5–30 person Gurugram property advisory or channel-partner firm.</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6. Exact pilot geography</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Haryana — Gurugram; 30–40 under-construction residential group-housing/mixed-use projects, 8–12 developers.</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7. Exact MVP</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HRERA adapter, watchlists, canonical profiles, immutable snapshots, field diffs, evidence cards, timeline, transparent signals, brochure comparison, review queue, digest and exports.</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8. Top five differentiators</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Project Truth Timeline; field-level Change Ledger; Claim-versus-Record; monitoring/source confidence; human-reviewed source conflict workflow.</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9. Avoid</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Listings/search/ranking, price prediction, purchase advice, title/legal/fraud claims, India-wide unsupported scraping, opaque score and unnecessary microservices.</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10. Best sources</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HRERA public project/monitoring/corrigendum surfaces; user-authorised brochures; permitted official developer pages; exact-linked official notices. [S08] [S09]</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11. Architecture</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Python/FastAPI modular monolith; PostgreSQL/SQLite dev; httpx/BS4; optional Playwright; PyMuPDF/pdfplumber; optional OCR/LLM; APScheduler then RQ; HTMX; Docker/Render/Railway.</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12. Database/API</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Immutable source snapshots and fields; changes reference old/new snapshots; alerts reference evidence; corrections/merges audited; REST endpoints for watchlists, collection, documents, changes, review, reports, market summary and deletion.</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13. Roadmap</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Ten weeks: research/source spike → schema/fixtures → app → collector → diff/evidence → documents → timeline/signals → reports/pulse → hardening/deploy → Marketplace/demo.</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14. Demo</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Four synthetic/consented cases: completion extension, brochure mismatch, new phase/pulse and source conflict requiring review.</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15. Validation targets</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≥98% supported field/change precision, 100% evidence linkage, &lt;2% false high-severity alerts, ≥95% source refresh success; internal targets, not guarantees.</w:t>
            </w:r>
          </w:p>
        </w:tc>
      </w:tr>
      <w:tr>
        <w:trPr>
          <w:cantSplit/>
        </w:trPr>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5"/>
              </w:rPr>
              <w:t>16. Commercial model</w:t>
            </w:r>
          </w:p>
        </w:tc>
        <w:tc>
          <w:tcPr>
            <w:tcW w:type="dxa" w:w="6973"/>
            <w:shd w:fill="F8FAFC"/>
            <w:tcMar>
              <w:top w:w="65" w:type="dxa"/>
              <w:start w:w="65" w:type="dxa"/>
              <w:bottom w:w="65" w:type="dxa"/>
              <w:end w:w="65" w:type="dxa"/>
            </w:tcMar>
            <w:vAlign w:val="top"/>
          </w:tcPr>
          <w:p>
            <w:pPr>
              <w:spacing w:after="0" w:line="240" w:lineRule="auto"/>
            </w:pPr>
            <w:r/>
            <w:r>
              <w:rPr>
                <w:rFonts w:ascii="Aptos" w:hAnsi="Aptos"/>
                <w:color w:val="344054"/>
                <w:sz w:val="15"/>
              </w:rPr>
              <w:t>Project-count monthly subscription, starting ₹2,999–₹7,999 hypotheses; validate through interviews and paid design partners.</w:t>
            </w:r>
          </w:p>
        </w:tc>
      </w:tr>
      <w:tr>
        <w:trPr>
          <w:cantSplit/>
        </w:trPr>
        <w:tc>
          <w:tcPr>
            <w:tcW w:type="dxa" w:w="2381"/>
            <w:tcMar>
              <w:top w:w="65" w:type="dxa"/>
              <w:start w:w="65" w:type="dxa"/>
              <w:bottom w:w="65" w:type="dxa"/>
              <w:end w:w="65" w:type="dxa"/>
            </w:tcMar>
            <w:vAlign w:val="top"/>
          </w:tcPr>
          <w:p>
            <w:pPr>
              <w:spacing w:after="0" w:line="240" w:lineRule="auto"/>
            </w:pPr>
            <w:r/>
            <w:r>
              <w:rPr>
                <w:rFonts w:ascii="Aptos" w:hAnsi="Aptos"/>
                <w:color w:val="344054"/>
                <w:sz w:val="15"/>
              </w:rPr>
              <w:t>17. Verdict</w:t>
            </w:r>
          </w:p>
        </w:tc>
        <w:tc>
          <w:tcPr>
            <w:tcW w:type="dxa" w:w="6973"/>
            <w:tcMar>
              <w:top w:w="65" w:type="dxa"/>
              <w:start w:w="65" w:type="dxa"/>
              <w:bottom w:w="65" w:type="dxa"/>
              <w:end w:w="65" w:type="dxa"/>
            </w:tcMar>
            <w:vAlign w:val="top"/>
          </w:tcPr>
          <w:p>
            <w:pPr>
              <w:spacing w:after="0" w:line="240" w:lineRule="auto"/>
            </w:pPr>
            <w:r/>
            <w:r>
              <w:rPr>
                <w:rFonts w:ascii="Aptos" w:hAnsi="Aptos"/>
                <w:color w:val="344054"/>
                <w:sz w:val="15"/>
              </w:rPr>
              <w:t>GO — MODIFY. Strong product if narrow, source-safe and evidence-first; NO-GO for broad “AI real-estate platform” or recommendation/risk prediction.</w:t>
            </w:r>
          </w:p>
        </w:tc>
      </w:tr>
    </w:tbl>
    <w:p>
      <w:pPr>
        <w:spacing w:after="0"/>
      </w:pPr>
    </w:p>
    <w:p>
      <w:pPr>
        <w:pStyle w:val="Heading2"/>
        <w:keepNext/>
        <w:spacing w:before="140" w:after="80"/>
      </w:pPr>
      <w:r>
        <w:t>16.1 First 15 implementation decisions</w:t>
      </w:r>
    </w:p>
    <w:p>
      <w:pPr>
        <w:pStyle w:val="ListNumber"/>
        <w:spacing w:after="40"/>
      </w:pPr>
      <w:r>
        <w:rPr>
          <w:rFonts w:ascii="Aptos" w:hAnsi="Aptos"/>
          <w:color w:val="344054"/>
          <w:sz w:val="18"/>
        </w:rPr>
        <w:t>Name the MVP ProjectTruth Monitor and describe it as decision-support monitoring, not prediction.</w:t>
      </w:r>
    </w:p>
    <w:p>
      <w:pPr>
        <w:pStyle w:val="ListNumber"/>
        <w:spacing w:after="40"/>
      </w:pPr>
      <w:r>
        <w:rPr>
          <w:rFonts w:ascii="Aptos" w:hAnsi="Aptos"/>
          <w:color w:val="344054"/>
          <w:sz w:val="18"/>
        </w:rPr>
        <w:t>Support only HRERA Gurugram at launch; create an adapter certification checklist for every future state.</w:t>
      </w:r>
    </w:p>
    <w:p>
      <w:pPr>
        <w:pStyle w:val="ListNumber"/>
        <w:spacing w:after="40"/>
      </w:pPr>
      <w:r>
        <w:rPr>
          <w:rFonts w:ascii="Aptos" w:hAnsi="Aptos"/>
          <w:color w:val="344054"/>
          <w:sz w:val="18"/>
        </w:rPr>
        <w:t>Curate 30–40 pilot projects and freeze synthetic/consented demo fixtures before live collection.</w:t>
      </w:r>
    </w:p>
    <w:p>
      <w:pPr>
        <w:pStyle w:val="ListNumber"/>
        <w:spacing w:after="40"/>
      </w:pPr>
      <w:r>
        <w:rPr>
          <w:rFonts w:ascii="Aptos" w:hAnsi="Aptos"/>
          <w:color w:val="344054"/>
          <w:sz w:val="18"/>
        </w:rPr>
        <w:t>Use registration number as the strongest project identity; model parent project and phases separately.</w:t>
      </w:r>
    </w:p>
    <w:p>
      <w:pPr>
        <w:pStyle w:val="ListNumber"/>
        <w:spacing w:after="40"/>
      </w:pPr>
      <w:r>
        <w:rPr>
          <w:rFonts w:ascii="Aptos" w:hAnsi="Aptos"/>
          <w:color w:val="344054"/>
          <w:sz w:val="18"/>
        </w:rPr>
        <w:t>Keep source facts, canonical facts, marketing claims, signals and AI summaries in separate tables/layers.</w:t>
      </w:r>
    </w:p>
    <w:p>
      <w:pPr>
        <w:pStyle w:val="ListNumber"/>
        <w:spacing w:after="40"/>
      </w:pPr>
      <w:r>
        <w:rPr>
          <w:rFonts w:ascii="Aptos" w:hAnsi="Aptos"/>
          <w:color w:val="344054"/>
          <w:sz w:val="18"/>
        </w:rPr>
        <w:t>Make source snapshots immutable; every change references old and new snapshots.</w:t>
      </w:r>
    </w:p>
    <w:p>
      <w:pPr>
        <w:pStyle w:val="ListNumber"/>
        <w:spacing w:after="40"/>
      </w:pPr>
      <w:r>
        <w:rPr>
          <w:rFonts w:ascii="Aptos" w:hAnsi="Aptos"/>
          <w:color w:val="344054"/>
          <w:sz w:val="18"/>
        </w:rPr>
        <w:t>Implement source-access policies before collectors: terms/robots/access/rate/evidence rules.</w:t>
      </w:r>
    </w:p>
    <w:p>
      <w:pPr>
        <w:pStyle w:val="ListNumber"/>
        <w:spacing w:after="40"/>
      </w:pPr>
      <w:r>
        <w:rPr>
          <w:rFonts w:ascii="Aptos" w:hAnsi="Aptos"/>
          <w:color w:val="344054"/>
          <w:sz w:val="18"/>
        </w:rPr>
        <w:t>Use httpx/BeautifulSoup by default; Playwright only for permitted JavaScript pages; never bypass CAPTCHA.</w:t>
      </w:r>
    </w:p>
    <w:p>
      <w:pPr>
        <w:pStyle w:val="ListNumber"/>
        <w:spacing w:after="40"/>
      </w:pPr>
      <w:r>
        <w:rPr>
          <w:rFonts w:ascii="Aptos" w:hAnsi="Aptos"/>
          <w:color w:val="344054"/>
          <w:sz w:val="18"/>
        </w:rPr>
        <w:t>Use deterministic Python for comparison, dates, severity rules and reports; LLM optional for unstructured claims only.</w:t>
      </w:r>
    </w:p>
    <w:p>
      <w:pPr>
        <w:pStyle w:val="ListNumber"/>
        <w:spacing w:after="40"/>
      </w:pPr>
      <w:r>
        <w:rPr>
          <w:rFonts w:ascii="Aptos" w:hAnsi="Aptos"/>
          <w:color w:val="344054"/>
          <w:sz w:val="18"/>
        </w:rPr>
        <w:t>Require review for date/status/legal/identity/OCR/conflict alerts before client export.</w:t>
      </w:r>
    </w:p>
    <w:p>
      <w:pPr>
        <w:pStyle w:val="ListNumber"/>
        <w:spacing w:after="40"/>
      </w:pPr>
      <w:r>
        <w:rPr>
          <w:rFonts w:ascii="Aptos" w:hAnsi="Aptos"/>
          <w:color w:val="344054"/>
          <w:sz w:val="18"/>
        </w:rPr>
        <w:t>Display multiple confidence dimensions and “unknown/unverified/conflicting”; never one hidden AI score.</w:t>
      </w:r>
    </w:p>
    <w:p>
      <w:pPr>
        <w:pStyle w:val="ListNumber"/>
        <w:spacing w:after="40"/>
      </w:pPr>
      <w:r>
        <w:rPr>
          <w:rFonts w:ascii="Aptos" w:hAnsi="Aptos"/>
          <w:color w:val="344054"/>
          <w:sz w:val="18"/>
        </w:rPr>
        <w:t>Store limited evidence/hashes and source links, not unnecessary full copyrighted copies.</w:t>
      </w:r>
    </w:p>
    <w:p>
      <w:pPr>
        <w:pStyle w:val="ListNumber"/>
        <w:spacing w:after="40"/>
      </w:pPr>
      <w:r>
        <w:rPr>
          <w:rFonts w:ascii="Aptos" w:hAnsi="Aptos"/>
          <w:color w:val="344054"/>
          <w:sz w:val="18"/>
        </w:rPr>
        <w:t>Build Jinja2+HTMX dashboard and FastAPI API in a modular monolith; Postgres production, SQLite local.</w:t>
      </w:r>
    </w:p>
    <w:p>
      <w:pPr>
        <w:pStyle w:val="ListNumber"/>
        <w:spacing w:after="40"/>
      </w:pPr>
      <w:r>
        <w:rPr>
          <w:rFonts w:ascii="Aptos" w:hAnsi="Aptos"/>
          <w:color w:val="344054"/>
          <w:sz w:val="18"/>
        </w:rPr>
        <w:t>Ship tests and frozen source fixtures with each adapter/parser version; source failure suppresses alerts.</w:t>
      </w:r>
    </w:p>
    <w:p>
      <w:pPr>
        <w:pStyle w:val="ListNumber"/>
        <w:spacing w:after="40"/>
      </w:pPr>
      <w:r>
        <w:rPr>
          <w:rFonts w:ascii="Aptos" w:hAnsi="Aptos"/>
          <w:color w:val="344054"/>
          <w:sz w:val="18"/>
        </w:rPr>
        <w:t>Run 10 interviews, recruit 3 design partners and measure time saved, evidence completeness, corrections and paid conversion before expanding geography.</w:t>
      </w:r>
    </w:p>
    <w:tbl>
      <w:tblPr>
        <w:tblW w:type="auto" w:w="0"/>
        <w:jc w:val="center"/>
        <w:tblLayout w:type="autofit"/>
        <w:tblLook w:firstColumn="1" w:firstRow="1" w:lastColumn="0" w:lastRow="0" w:noHBand="0" w:noVBand="1" w:val="04A0"/>
      </w:tblPr>
      <w:tblGrid>
        <w:gridCol w:w="9978"/>
      </w:tblGrid>
      <w:tr>
        <w:tc>
          <w:tcPr>
            <w:tcW w:type="dxa" w:w="9978"/>
            <w:shd w:fill="EAF7F5"/>
            <w:tcMar>
              <w:top w:w="140" w:type="dxa"/>
              <w:start w:w="160" w:type="dxa"/>
              <w:bottom w:w="140" w:type="dxa"/>
              <w:end w:w="160" w:type="dxa"/>
            </w:tcMar>
            <w:tcBorders>
              <w:top w:val="single" w:sz="10" w:color="0E9384"/>
              <w:left w:val="single" w:sz="10" w:color="0E9384"/>
              <w:bottom w:val="single" w:sz="10" w:color="0E9384"/>
              <w:right w:val="single" w:sz="10" w:color="0E9384"/>
            </w:tcBorders>
          </w:tcPr>
          <w:p>
            <w:pPr>
              <w:spacing w:after="60"/>
            </w:pPr>
            <w:r>
              <w:rPr>
                <w:rFonts w:ascii="Aptos" w:hAnsi="Aptos"/>
                <w:b/>
                <w:color w:val="0E9384"/>
                <w:sz w:val="21"/>
              </w:rPr>
              <w:t>Brutally honest conclusion</w:t>
            </w:r>
          </w:p>
          <w:p>
            <w:pPr>
              <w:spacing w:after="0" w:line="252" w:lineRule="auto"/>
            </w:pPr>
            <w:r>
              <w:rPr>
                <w:rFonts w:ascii="Aptos" w:hAnsi="Aptos"/>
                <w:color w:val="344054"/>
                <w:sz w:val="18"/>
              </w:rPr>
              <w:t>The concept is commercially and technically credible only as a narrow evidence workflow. Raw RERA data is not the moat, and a generic AI summary is not a product. The moat is accumulated reviewed history, reliable adapters, provenance, project/phase identity, customer trust and disciplined source/legal operations. Proceed with Gurugram; stop if the source-policy review fails or if design partners do not use the weekly review workflow.</w:t>
            </w:r>
          </w:p>
        </w:tc>
      </w:tr>
    </w:tbl>
    <w:p>
      <w:pPr>
        <w:spacing w:after="0"/>
      </w:pPr>
    </w:p>
    <w:p>
      <w:pPr>
        <w:sectPr>
          <w:pgSz w:w="11906" w:h="16838"/>
          <w:pgMar w:top="964" w:right="964" w:bottom="907" w:left="964" w:header="397" w:footer="397" w:gutter="0"/>
          <w:cols w:space="720"/>
          <w:docGrid w:linePitch="360"/>
        </w:sectPr>
      </w:pPr>
    </w:p>
    <w:p>
      <w:pPr>
        <w:pStyle w:val="Heading1"/>
        <w:keepNext/>
        <w:spacing w:before="200" w:after="80"/>
      </w:pPr>
      <w:r>
        <w:t>Appendix A. Source register</w:t>
      </w:r>
    </w:p>
    <w:tbl>
      <w:tblPr>
        <w:tblStyle w:val="TableGrid"/>
        <w:tblW w:type="auto" w:w="0"/>
        <w:jc w:val="center"/>
        <w:tblLayout w:type="fixed"/>
        <w:tblLook w:firstColumn="1" w:firstRow="1" w:lastColumn="0" w:lastRow="0" w:noHBand="0" w:noVBand="1" w:val="04A0"/>
      </w:tblPr>
      <w:tblGrid>
        <w:gridCol w:w="2211"/>
        <w:gridCol w:w="2211"/>
        <w:gridCol w:w="2211"/>
        <w:gridCol w:w="2211"/>
        <w:gridCol w:w="2211"/>
        <w:gridCol w:w="2211"/>
        <w:gridCol w:w="2211"/>
      </w:tblGrid>
      <w:tr>
        <w:trPr>
          <w:tblHeader w:val="true"/>
          <w:cantSplit/>
        </w:trPr>
        <w:tc>
          <w:tcPr>
            <w:tcW w:type="dxa" w:w="794"/>
            <w:shd w:fill="17324D"/>
            <w:tcMar>
              <w:top w:w="80" w:type="dxa"/>
              <w:start w:w="70" w:type="dxa"/>
              <w:bottom w:w="80" w:type="dxa"/>
              <w:end w:w="70" w:type="dxa"/>
            </w:tcMar>
            <w:vAlign w:val="center"/>
          </w:tcPr>
          <w:p>
            <w:pPr>
              <w:spacing w:after="0"/>
              <w:jc w:val="left"/>
            </w:pPr>
            <w:r/>
            <w:r>
              <w:rPr>
                <w:rFonts w:ascii="Aptos" w:hAnsi="Aptos"/>
                <w:b/>
                <w:color w:val="FFFFFF"/>
                <w:sz w:val="11"/>
              </w:rPr>
              <w:t>ID</w:t>
            </w:r>
          </w:p>
        </w:tc>
        <w:tc>
          <w:tcPr>
            <w:tcW w:type="dxa" w:w="2381"/>
            <w:shd w:fill="17324D"/>
            <w:tcMar>
              <w:top w:w="80" w:type="dxa"/>
              <w:start w:w="70" w:type="dxa"/>
              <w:bottom w:w="80" w:type="dxa"/>
              <w:end w:w="70" w:type="dxa"/>
            </w:tcMar>
            <w:vAlign w:val="center"/>
          </w:tcPr>
          <w:p>
            <w:pPr>
              <w:spacing w:after="0"/>
              <w:jc w:val="left"/>
            </w:pPr>
            <w:r/>
            <w:r>
              <w:rPr>
                <w:rFonts w:ascii="Aptos" w:hAnsi="Aptos"/>
                <w:b/>
                <w:color w:val="FFFFFF"/>
                <w:sz w:val="11"/>
              </w:rPr>
              <w:t>Source name</w:t>
            </w:r>
          </w:p>
        </w:tc>
        <w:tc>
          <w:tcPr>
            <w:tcW w:type="dxa" w:w="4592"/>
            <w:shd w:fill="17324D"/>
            <w:tcMar>
              <w:top w:w="80" w:type="dxa"/>
              <w:start w:w="70" w:type="dxa"/>
              <w:bottom w:w="80" w:type="dxa"/>
              <w:end w:w="70" w:type="dxa"/>
            </w:tcMar>
            <w:vAlign w:val="center"/>
          </w:tcPr>
          <w:p>
            <w:pPr>
              <w:spacing w:after="0"/>
              <w:jc w:val="left"/>
            </w:pPr>
            <w:r/>
            <w:r>
              <w:rPr>
                <w:rFonts w:ascii="Aptos" w:hAnsi="Aptos"/>
                <w:b/>
                <w:color w:val="FFFFFF"/>
                <w:sz w:val="11"/>
              </w:rPr>
              <w:t>URL</w:t>
            </w:r>
          </w:p>
        </w:tc>
        <w:tc>
          <w:tcPr>
            <w:tcW w:type="dxa" w:w="1304"/>
            <w:shd w:fill="17324D"/>
            <w:tcMar>
              <w:top w:w="80" w:type="dxa"/>
              <w:start w:w="70" w:type="dxa"/>
              <w:bottom w:w="80" w:type="dxa"/>
              <w:end w:w="70" w:type="dxa"/>
            </w:tcMar>
            <w:vAlign w:val="center"/>
          </w:tcPr>
          <w:p>
            <w:pPr>
              <w:spacing w:after="0"/>
              <w:jc w:val="left"/>
            </w:pPr>
            <w:r/>
            <w:r>
              <w:rPr>
                <w:rFonts w:ascii="Aptos" w:hAnsi="Aptos"/>
                <w:b/>
                <w:color w:val="FFFFFF"/>
                <w:sz w:val="11"/>
              </w:rPr>
              <w:t>Access date</w:t>
            </w:r>
          </w:p>
        </w:tc>
        <w:tc>
          <w:tcPr>
            <w:tcW w:type="dxa" w:w="4422"/>
            <w:shd w:fill="17324D"/>
            <w:tcMar>
              <w:top w:w="80" w:type="dxa"/>
              <w:start w:w="70" w:type="dxa"/>
              <w:bottom w:w="80" w:type="dxa"/>
              <w:end w:w="70" w:type="dxa"/>
            </w:tcMar>
            <w:vAlign w:val="center"/>
          </w:tcPr>
          <w:p>
            <w:pPr>
              <w:spacing w:after="0"/>
              <w:jc w:val="left"/>
            </w:pPr>
            <w:r/>
            <w:r>
              <w:rPr>
                <w:rFonts w:ascii="Aptos" w:hAnsi="Aptos"/>
                <w:b/>
                <w:color w:val="FFFFFF"/>
                <w:sz w:val="11"/>
              </w:rPr>
              <w:t>Information supported</w:t>
            </w:r>
          </w:p>
        </w:tc>
        <w:tc>
          <w:tcPr>
            <w:tcW w:type="dxa" w:w="1814"/>
            <w:shd w:fill="17324D"/>
            <w:tcMar>
              <w:top w:w="80" w:type="dxa"/>
              <w:start w:w="70" w:type="dxa"/>
              <w:bottom w:w="80" w:type="dxa"/>
              <w:end w:w="70" w:type="dxa"/>
            </w:tcMar>
            <w:vAlign w:val="center"/>
          </w:tcPr>
          <w:p>
            <w:pPr>
              <w:spacing w:after="0"/>
              <w:jc w:val="left"/>
            </w:pPr>
            <w:r/>
            <w:r>
              <w:rPr>
                <w:rFonts w:ascii="Aptos" w:hAnsi="Aptos"/>
                <w:b/>
                <w:color w:val="FFFFFF"/>
                <w:sz w:val="11"/>
              </w:rPr>
              <w:t>Source type</w:t>
            </w:r>
          </w:p>
        </w:tc>
        <w:tc>
          <w:tcPr>
            <w:tcW w:type="dxa" w:w="1191"/>
            <w:shd w:fill="17324D"/>
            <w:tcMar>
              <w:top w:w="80" w:type="dxa"/>
              <w:start w:w="70" w:type="dxa"/>
              <w:bottom w:w="80" w:type="dxa"/>
              <w:end w:w="70" w:type="dxa"/>
            </w:tcMar>
            <w:vAlign w:val="center"/>
          </w:tcPr>
          <w:p>
            <w:pPr>
              <w:spacing w:after="0"/>
              <w:jc w:val="left"/>
            </w:pPr>
            <w:r/>
            <w:r>
              <w:rPr>
                <w:rFonts w:ascii="Aptos" w:hAnsi="Aptos"/>
                <w:b/>
                <w:color w:val="FFFFFF"/>
                <w:sz w:val="11"/>
              </w:rPr>
              <w:t>Reliability</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S01</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Suproc homepage</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https://www.suproc.com/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Current positioning: Suplinks marketplace, Workspaces execution, Sup AI orchestration with approvals/trust.</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product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S02</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Suproc Discover</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https://www.suproc.com/discover</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Supplier/customer/partner discovery and opportunity signals flowing into chat, RFQs, projects, ERP/CRM and workspace actions.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product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S03</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Suproc About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https://www.suproc.com/about</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Command Center, multi-tenant workspaces, role/capability controls, procurement and project-delivery positioning.</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product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S04</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Suproc demo</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https://www.suproc.com/demo</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Public demo positioning and workflow scope; no public integration contract.</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product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S05</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Suproc Help &amp; Support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https://www.suproc.com/help-support</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Support topics include Sup AI, profiles, supplier discovery, opportunities, procurement workspaces, projects, ERP/CRM and privacy requests.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product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S06</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Suproc LinkedIn company page</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https://www.linkedin.com/company/suproc/</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Public posts describe a unified business network, projects/workspaces, context-aware Sup AI, approvals and supplier/collaborator signals.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social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Medium-High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S07</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Real Estate (Regulation and Development) Act, 2016</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https://www.indiacode.nic.in/handle/123456789/2158?view_type=browse</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Statutory transparency, consumer-protection and promoter disclosure foundation.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law database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S08</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HRERA Gurugram registered projects</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https://haryanarera.gov.in/admincontrol/registered_projects/2</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Public project rows expose registration, promoter, location, completion date, lapsed status, QPR-not-uploaded flags, corrigenda and monitoring links.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S09</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HRERA Gurugram portal</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https://haryanarera.gov.in/login/loginview/2</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Public project/QPR/lapsed-project, orders, notices and help-desk surfaces.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S10</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MahaRERA project-update guidance</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https://maharera.maharashtra.gov.in/guidance-project-update-quarterly-annually</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Quarterly/annual update fields, including project documents, building details, bookings, activity progress and building-wise completion dates.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regulator guidance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S11</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MahaRERA portal</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https://maharera.maharashtra.gov.in/</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Project registration, agents, complaints, orders and regulatory updates.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S12</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Karnataka RERA portal</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https://rera.karnataka.gov.in/home?language=en</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Project registry and current QPR notices/filing requirements.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S13</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Telangana RERA portal</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https://rera.telangana.gov.in/</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Project registration updates, project progress and quarterly/annual update surfaces.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S14</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Telangana RERA quarterly update information</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https://rera.telangana.gov.in/jkbh47836543u8509-RERA-4352435874hnelfn900g4</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Quarterly disclosure categories such as units/plots and parking booked.</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regulator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S15</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UP RERA verification</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https://www.up-rera.in/verify</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Verification workflow uses CAPTCHA, creating an automation barrier.</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S16</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UP RERA project search</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https://uprera.azurewebsites.net/View_projects.aspx</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Project search and detail access; search workflow presents CAPTCHA.</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regulator portal</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S17</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MP RERA portal guide</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https://homefirstindia.com/blog/article/mp-rera-madhya-pradesh-real-estate-regulatory-authority</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Secondary description of MP project search and fields; official portal accessibility could not be independently verified in this research session.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Secondary lender guide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Low-Medium</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S18</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CRE Matrix</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https://www.crematrix.com/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Indian real-estate analytics for transactions, leases, portfolios, feasibility and competitor analysis.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S19</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Propstack</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https://www.propstack.com/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Indian transaction and property data repository covering residential and commercial use cases.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S20</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Liases Foras</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https://www.liasesforas.com/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Large project/transaction database, research, risk ratings, valuations and feasibility.</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S21</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Zapkey</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https://www.zapkey.com/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Public-registration-derived transaction data and home-sale workflows.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S22</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Biltrax</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https://www.biltrax.com/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Indian construction-project intelligence and opportunity leads for suppliers/contractors.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S23</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CoStar</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https://www.costar.com/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Global commercial property data, analytics, transactions, tenants and construction intelligence.</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S24</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Reonomy</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https://www.reonomy.com/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US commercial-property ownership, debt, transactions and prospecting data.</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S25</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Cherre</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https://cherre.com/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Real-estate data management, universal data model, knowledge graph and data integration.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S26</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BuildZoom Data</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https://www.buildzoom.com/data</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US building-permit and contractor/project intelligence.</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S27</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ConstructConnect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https://www.constructconnect.com/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Construction leads, project data, bidding and takeoff workflows.</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S28</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Dodge Construction Network</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https://www.construction.com/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Commercial construction projects, documents and market intelligence.</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S29</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Visualping</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https://visualping.io/</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Generic web-page change monitoring and notification.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S30</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Visualping pricing</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https://visualping.io/blog/visualping-pricing</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Public pricing examples and page/check limits, demonstrating generic monitoring commoditization.</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Medium-High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S31</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Versionista</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https://versionista.com/</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Enterprise website-change monitoring and archival.</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competitor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S32</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99acres</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https://www.99acres.com/</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Property search/listings, rates and market-trend content.</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portal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S33</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Magicbricks About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https://www.magicbricks.com/aboutus.html</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Property marketplace connecting buyers, sellers and renters with search and market information.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portal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S34</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Housing.com About</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https://housing.com/about/</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Property listings for new/resale/rental/commercial and related search.</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portal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S35</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Square Yards About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https://www.squareyards.com/aboutus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Integrated search, transaction, mortgage, rental, property-management and post-sales journey.</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portal page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S36</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NoBroker About</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https://www.nobroker.in/about/about-us</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Broker-disintermediation marketplace and adjacent property services.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portal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S37</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Digital Personal Data Protection Act, 2023</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https://www.indiacode.nic.in/handle/123456789/22037?view_type=browse</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Indian digital personal-data obligations and rights framework.</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law database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S38</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Digital Personal Data Protection Rules, 2025</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https://www.meity.gov.in/documents/act-and-policies/digital-personal-data-protection-rules-2025-gDOxUjMtQWa</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Rules and phased implementation details.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ministry page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S39</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Copyright Act, 1957</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https://copyright.gov.in/documents/copyrightrules1957.pdf</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Copyright framework relevant to brochures, documents, screenshots and republication.</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Official government source</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S40</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Copyright Act Section 52</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https://www.indiacode.nic.in/show-data?actid=AC_CEN_9_30_00006_195714_1517807321712&amp;orderno=70&amp;sectionId=14572&amp;sectionno=52</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Statutory limited exceptions; not a blanket permission to republish complete documents.</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Official law database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Very 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S41</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MahaRERA QPR enforcement report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https://timesofindia.indiatimes.com/city/pune/maharera-cracks-down-on-8212-projects-for-failing-to-update-quarterly-progress-reports/articleshow/130810751.cms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Recent example of large-scale missing-QPR enforcement and monitoring need.</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Major news report citing regulator</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Medium-High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S42</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Gurugram 2025 project investment report</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https://m.economictimes.com/industry/services/property-/-cstruction/gurugram-attracted-investment-of-rs-87000-crore-across-131-real-estate-projects-in-2025/articleshow/126542446.cms</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Recent market-activity signal and demo relevance for Gurugram.</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Major news report citing regulator</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Medium-High</w:t>
            </w:r>
          </w:p>
        </w:tc>
      </w:tr>
      <w:tr>
        <w:trPr>
          <w:cantSplit/>
        </w:trPr>
        <w:tc>
          <w:tcPr>
            <w:tcW w:type="dxa" w:w="794"/>
            <w:tcMar>
              <w:top w:w="65" w:type="dxa"/>
              <w:start w:w="65" w:type="dxa"/>
              <w:bottom w:w="65" w:type="dxa"/>
              <w:end w:w="65" w:type="dxa"/>
            </w:tcMar>
            <w:vAlign w:val="top"/>
          </w:tcPr>
          <w:p>
            <w:pPr>
              <w:spacing w:after="0" w:line="240" w:lineRule="auto"/>
            </w:pPr>
            <w:r/>
            <w:r>
              <w:rPr>
                <w:rFonts w:ascii="Aptos" w:hAnsi="Aptos"/>
                <w:color w:val="344054"/>
                <w:sz w:val="11"/>
              </w:rPr>
              <w:t>S43</w:t>
            </w:r>
          </w:p>
        </w:tc>
        <w:tc>
          <w:tcPr>
            <w:tcW w:type="dxa" w:w="2381"/>
            <w:tcMar>
              <w:top w:w="65" w:type="dxa"/>
              <w:start w:w="65" w:type="dxa"/>
              <w:bottom w:w="65" w:type="dxa"/>
              <w:end w:w="65" w:type="dxa"/>
            </w:tcMar>
            <w:vAlign w:val="top"/>
          </w:tcPr>
          <w:p>
            <w:pPr>
              <w:spacing w:after="0" w:line="240" w:lineRule="auto"/>
            </w:pPr>
            <w:r/>
            <w:r>
              <w:rPr>
                <w:rFonts w:ascii="Aptos" w:hAnsi="Aptos"/>
                <w:color w:val="344054"/>
                <w:sz w:val="11"/>
              </w:rPr>
              <w:t>Karnataka QPR enforcement report</w:t>
            </w:r>
          </w:p>
        </w:tc>
        <w:tc>
          <w:tcPr>
            <w:tcW w:type="dxa" w:w="4592"/>
            <w:tcMar>
              <w:top w:w="65" w:type="dxa"/>
              <w:start w:w="65" w:type="dxa"/>
              <w:bottom w:w="65" w:type="dxa"/>
              <w:end w:w="65" w:type="dxa"/>
            </w:tcMar>
            <w:vAlign w:val="top"/>
          </w:tcPr>
          <w:p>
            <w:pPr>
              <w:spacing w:after="0" w:line="240" w:lineRule="auto"/>
            </w:pPr>
            <w:r/>
            <w:r>
              <w:rPr>
                <w:rFonts w:ascii="Aptos" w:hAnsi="Aptos"/>
                <w:color w:val="344054"/>
                <w:sz w:val="11"/>
              </w:rPr>
              <w:t>https://timesofindia.indiatimes.com/city/bengaluru/karnataka-real-estate-regulatory-authority-builders-to-pay-rs-25000-penalty-for-delayed-quarterly-reports/articleshow/127319991.cms</w:t>
            </w:r>
          </w:p>
        </w:tc>
        <w:tc>
          <w:tcPr>
            <w:tcW w:type="dxa" w:w="1304"/>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tcMar>
              <w:top w:w="65" w:type="dxa"/>
              <w:start w:w="65" w:type="dxa"/>
              <w:bottom w:w="65" w:type="dxa"/>
              <w:end w:w="65" w:type="dxa"/>
            </w:tcMar>
            <w:vAlign w:val="top"/>
          </w:tcPr>
          <w:p>
            <w:pPr>
              <w:spacing w:after="0" w:line="240" w:lineRule="auto"/>
            </w:pPr>
            <w:r/>
            <w:r>
              <w:rPr>
                <w:rFonts w:ascii="Aptos" w:hAnsi="Aptos"/>
                <w:color w:val="344054"/>
                <w:sz w:val="11"/>
              </w:rPr>
              <w:t>Current QPR enforcement signal and filing cadence context.</w:t>
            </w:r>
          </w:p>
        </w:tc>
        <w:tc>
          <w:tcPr>
            <w:tcW w:type="dxa" w:w="1814"/>
            <w:tcMar>
              <w:top w:w="65" w:type="dxa"/>
              <w:start w:w="65" w:type="dxa"/>
              <w:bottom w:w="65" w:type="dxa"/>
              <w:end w:w="65" w:type="dxa"/>
            </w:tcMar>
            <w:vAlign w:val="top"/>
          </w:tcPr>
          <w:p>
            <w:pPr>
              <w:spacing w:after="0" w:line="240" w:lineRule="auto"/>
            </w:pPr>
            <w:r/>
            <w:r>
              <w:rPr>
                <w:rFonts w:ascii="Aptos" w:hAnsi="Aptos"/>
                <w:color w:val="344054"/>
                <w:sz w:val="11"/>
              </w:rPr>
              <w:t>Major news report</w:t>
            </w:r>
          </w:p>
        </w:tc>
        <w:tc>
          <w:tcPr>
            <w:tcW w:type="dxa" w:w="1191"/>
            <w:tcMar>
              <w:top w:w="65" w:type="dxa"/>
              <w:start w:w="65" w:type="dxa"/>
              <w:bottom w:w="65" w:type="dxa"/>
              <w:end w:w="65" w:type="dxa"/>
            </w:tcMar>
            <w:vAlign w:val="top"/>
          </w:tcPr>
          <w:p>
            <w:pPr>
              <w:spacing w:after="0" w:line="240" w:lineRule="auto"/>
            </w:pPr>
            <w:r/>
            <w:r>
              <w:rPr>
                <w:rFonts w:ascii="Aptos" w:hAnsi="Aptos"/>
                <w:color w:val="344054"/>
                <w:sz w:val="11"/>
              </w:rPr>
              <w:t>Medium-High</w:t>
            </w:r>
          </w:p>
        </w:tc>
      </w:tr>
      <w:tr>
        <w:trPr>
          <w:cantSplit/>
        </w:trPr>
        <w:tc>
          <w:tcPr>
            <w:tcW w:type="dxa" w:w="794"/>
            <w:shd w:fill="F8FAFC"/>
            <w:tcMar>
              <w:top w:w="65" w:type="dxa"/>
              <w:start w:w="65" w:type="dxa"/>
              <w:bottom w:w="65" w:type="dxa"/>
              <w:end w:w="65" w:type="dxa"/>
            </w:tcMar>
            <w:vAlign w:val="top"/>
          </w:tcPr>
          <w:p>
            <w:pPr>
              <w:spacing w:after="0" w:line="240" w:lineRule="auto"/>
            </w:pPr>
            <w:r/>
            <w:r>
              <w:rPr>
                <w:rFonts w:ascii="Aptos" w:hAnsi="Aptos"/>
                <w:color w:val="344054"/>
                <w:sz w:val="11"/>
              </w:rPr>
              <w:t>S44</w:t>
            </w:r>
          </w:p>
        </w:tc>
        <w:tc>
          <w:tcPr>
            <w:tcW w:type="dxa" w:w="2381"/>
            <w:shd w:fill="F8FAFC"/>
            <w:tcMar>
              <w:top w:w="65" w:type="dxa"/>
              <w:start w:w="65" w:type="dxa"/>
              <w:bottom w:w="65" w:type="dxa"/>
              <w:end w:w="65" w:type="dxa"/>
            </w:tcMar>
            <w:vAlign w:val="top"/>
          </w:tcPr>
          <w:p>
            <w:pPr>
              <w:spacing w:after="0" w:line="240" w:lineRule="auto"/>
            </w:pPr>
            <w:r/>
            <w:r>
              <w:rPr>
                <w:rFonts w:ascii="Aptos" w:hAnsi="Aptos"/>
                <w:color w:val="344054"/>
                <w:sz w:val="11"/>
              </w:rPr>
              <w:t>Reuters: India DPDP rules</w:t>
            </w:r>
          </w:p>
        </w:tc>
        <w:tc>
          <w:tcPr>
            <w:tcW w:type="dxa" w:w="4592"/>
            <w:shd w:fill="F8FAFC"/>
            <w:tcMar>
              <w:top w:w="65" w:type="dxa"/>
              <w:start w:w="65" w:type="dxa"/>
              <w:bottom w:w="65" w:type="dxa"/>
              <w:end w:w="65" w:type="dxa"/>
            </w:tcMar>
            <w:vAlign w:val="top"/>
          </w:tcPr>
          <w:p>
            <w:pPr>
              <w:spacing w:after="0" w:line="240" w:lineRule="auto"/>
            </w:pPr>
            <w:r/>
            <w:r>
              <w:rPr>
                <w:rFonts w:ascii="Aptos" w:hAnsi="Aptos"/>
                <w:color w:val="344054"/>
                <w:sz w:val="11"/>
              </w:rPr>
              <w:t>https://www.reuters.com/sustainability/boards-policy-regulation/india-strengthens-privacy-law-with-new-data-collection-rules-2025-11-14/</w:t>
            </w:r>
          </w:p>
        </w:tc>
        <w:tc>
          <w:tcPr>
            <w:tcW w:type="dxa" w:w="1304"/>
            <w:shd w:fill="F8FAFC"/>
            <w:tcMar>
              <w:top w:w="65" w:type="dxa"/>
              <w:start w:w="65" w:type="dxa"/>
              <w:bottom w:w="65" w:type="dxa"/>
              <w:end w:w="65" w:type="dxa"/>
            </w:tcMar>
            <w:vAlign w:val="top"/>
          </w:tcPr>
          <w:p>
            <w:pPr>
              <w:spacing w:after="0" w:line="240" w:lineRule="auto"/>
            </w:pPr>
            <w:r/>
            <w:r>
              <w:rPr>
                <w:rFonts w:ascii="Aptos" w:hAnsi="Aptos"/>
                <w:color w:val="344054"/>
                <w:sz w:val="11"/>
              </w:rPr>
              <w:t>2026-08-01</w:t>
            </w:r>
          </w:p>
        </w:tc>
        <w:tc>
          <w:tcPr>
            <w:tcW w:type="dxa" w:w="4422"/>
            <w:shd w:fill="F8FAFC"/>
            <w:tcMar>
              <w:top w:w="65" w:type="dxa"/>
              <w:start w:w="65" w:type="dxa"/>
              <w:bottom w:w="65" w:type="dxa"/>
              <w:end w:w="65" w:type="dxa"/>
            </w:tcMar>
            <w:vAlign w:val="top"/>
          </w:tcPr>
          <w:p>
            <w:pPr>
              <w:spacing w:after="0" w:line="240" w:lineRule="auto"/>
            </w:pPr>
            <w:r/>
            <w:r>
              <w:rPr>
                <w:rFonts w:ascii="Aptos" w:hAnsi="Aptos"/>
                <w:color w:val="344054"/>
                <w:sz w:val="11"/>
              </w:rPr>
              <w:t>Plain-language summary of purpose limitation, notice and data-minimization direction.</w:t>
            </w:r>
          </w:p>
        </w:tc>
        <w:tc>
          <w:tcPr>
            <w:tcW w:type="dxa" w:w="1814"/>
            <w:shd w:fill="F8FAFC"/>
            <w:tcMar>
              <w:top w:w="65" w:type="dxa"/>
              <w:start w:w="65" w:type="dxa"/>
              <w:bottom w:w="65" w:type="dxa"/>
              <w:end w:w="65" w:type="dxa"/>
            </w:tcMar>
            <w:vAlign w:val="top"/>
          </w:tcPr>
          <w:p>
            <w:pPr>
              <w:spacing w:after="0" w:line="240" w:lineRule="auto"/>
            </w:pPr>
            <w:r/>
            <w:r>
              <w:rPr>
                <w:rFonts w:ascii="Aptos" w:hAnsi="Aptos"/>
                <w:color w:val="344054"/>
                <w:sz w:val="11"/>
              </w:rPr>
              <w:t>International newswire</w:t>
            </w:r>
          </w:p>
        </w:tc>
        <w:tc>
          <w:tcPr>
            <w:tcW w:type="dxa" w:w="1191"/>
            <w:shd w:fill="F8FAFC"/>
            <w:tcMar>
              <w:top w:w="65" w:type="dxa"/>
              <w:start w:w="65" w:type="dxa"/>
              <w:bottom w:w="65" w:type="dxa"/>
              <w:end w:w="65" w:type="dxa"/>
            </w:tcMar>
            <w:vAlign w:val="top"/>
          </w:tcPr>
          <w:p>
            <w:pPr>
              <w:spacing w:after="0" w:line="240" w:lineRule="auto"/>
            </w:pPr>
            <w:r/>
            <w:r>
              <w:rPr>
                <w:rFonts w:ascii="Aptos" w:hAnsi="Aptos"/>
                <w:color w:val="344054"/>
                <w:sz w:val="11"/>
              </w:rPr>
              <w:t>High</w:t>
            </w:r>
          </w:p>
        </w:tc>
      </w:tr>
    </w:tbl>
    <w:p>
      <w:pPr>
        <w:spacing w:after="0"/>
      </w:pPr>
    </w:p>
    <w:p>
      <w:pPr>
        <w:pStyle w:val="Heading1"/>
        <w:keepNext/>
        <w:spacing w:before="200" w:after="80"/>
      </w:pPr>
      <w:r>
        <w:t>Appendix B. Evidence and verification notes</w:t>
      </w:r>
    </w:p>
    <w:p>
      <w:pPr>
        <w:pStyle w:val="ListBullet"/>
        <w:spacing w:after="30" w:line="247" w:lineRule="auto"/>
        <w:ind w:left="360" w:hanging="173"/>
      </w:pPr>
      <w:r>
        <w:rPr>
          <w:rFonts w:ascii="Aptos" w:hAnsi="Aptos"/>
          <w:color w:val="344054"/>
          <w:sz w:val="16"/>
        </w:rPr>
        <w:t>Suproc findings are limited to publicly indexed product pages and public LinkedIn material. Absence of a public result is not proof that an internal/private feature does not exist.</w:t>
      </w:r>
    </w:p>
    <w:p>
      <w:pPr>
        <w:pStyle w:val="ListBullet"/>
        <w:spacing w:after="30" w:line="247" w:lineRule="auto"/>
        <w:ind w:left="360" w:hanging="173"/>
      </w:pPr>
      <w:r>
        <w:rPr>
          <w:rFonts w:ascii="Aptos" w:hAnsi="Aptos"/>
          <w:color w:val="344054"/>
          <w:sz w:val="16"/>
        </w:rPr>
        <w:t>HRERA Gurugram was selected because the official public project list was directly inspectable and exposed useful status fields on the access date. A pre-build legal/terms/robots review remains mandatory.</w:t>
      </w:r>
    </w:p>
    <w:p>
      <w:pPr>
        <w:pStyle w:val="ListBullet"/>
        <w:spacing w:after="30" w:line="247" w:lineRule="auto"/>
        <w:ind w:left="360" w:hanging="173"/>
      </w:pPr>
      <w:r>
        <w:rPr>
          <w:rFonts w:ascii="Aptos" w:hAnsi="Aptos"/>
          <w:color w:val="344054"/>
          <w:sz w:val="16"/>
        </w:rPr>
        <w:t>Maharashtra, Karnataka and Telangana are promising expansion candidates; each requires independent collector feasibility, policy and regression testing.</w:t>
      </w:r>
    </w:p>
    <w:p>
      <w:pPr>
        <w:pStyle w:val="ListBullet"/>
        <w:spacing w:after="30" w:line="247" w:lineRule="auto"/>
        <w:ind w:left="360" w:hanging="173"/>
      </w:pPr>
      <w:r>
        <w:rPr>
          <w:rFonts w:ascii="Aptos" w:hAnsi="Aptos"/>
          <w:color w:val="344054"/>
          <w:sz w:val="16"/>
        </w:rPr>
        <w:t>MP RERA official portal details were not reliably verifiable through the accessible research tools in this session; the secondary source is included only to document the gap, not to support an MVP collector decision.</w:t>
      </w:r>
    </w:p>
    <w:p>
      <w:pPr>
        <w:pStyle w:val="ListBullet"/>
        <w:spacing w:after="30" w:line="247" w:lineRule="auto"/>
        <w:ind w:left="360" w:hanging="173"/>
      </w:pPr>
      <w:r>
        <w:rPr>
          <w:rFonts w:ascii="Aptos" w:hAnsi="Aptos"/>
          <w:color w:val="344054"/>
          <w:sz w:val="16"/>
        </w:rPr>
        <w:t>Competitor pricing is labelled “quote/enterprise” where no reliable public price was found. The ProjectTruth prices are experiments, not market facts.</w:t>
      </w:r>
    </w:p>
    <w:p>
      <w:pPr>
        <w:pStyle w:val="ListBullet"/>
        <w:spacing w:after="30" w:line="247" w:lineRule="auto"/>
        <w:ind w:left="360" w:hanging="173"/>
      </w:pPr>
      <w:r>
        <w:rPr>
          <w:rFonts w:ascii="Aptos" w:hAnsi="Aptos"/>
          <w:color w:val="344054"/>
          <w:sz w:val="16"/>
        </w:rPr>
        <w:t>Legal sections are product-risk controls, not legal advice. Obtain Indian counsel review before production collection, document retention and Marketplace launch.</w:t>
      </w:r>
    </w:p>
    <w:sectPr w:rsidR="00FC693F" w:rsidRPr="0006063C" w:rsidSect="00034616">
      <w:pgSz w:w="16838" w:h="11906" w:orient="landscape"/>
      <w:pgMar w:top="794" w:right="680" w:bottom="794" w:left="68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9384"/>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440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02A4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48658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ProjectTruth Monitor — Real Estate Intelligence Tracker Strategy</dc:title>
  <dc:subject>Suproc Marketplace product and engineering strategy</dc:subject>
  <dc:creator>OpenAI</dc:creator>
  <cp:keywords>PropTech, RERA, project monitoring, Suproc, evidence, FastAPI</cp:keywords>
  <dc:description>Prepared from public research accessed 1 August 2026.</dc:description>
  <cp:lastModifiedBy/>
  <cp:revision>1</cp:revision>
  <dcterms:created xsi:type="dcterms:W3CDTF">2013-12-23T23:15:00Z</dcterms:created>
  <dcterms:modified xsi:type="dcterms:W3CDTF">2013-12-23T23:15:00Z</dcterms:modified>
  <cp:category/>
</cp:coreProperties>
</file>