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E1B4B"/>
          <w:sz w:val="44"/>
        </w:rPr>
        <w:t>SATMIX MOBILE APP DEVELOPMENT &amp; STORE LAUNCH</w:t>
      </w:r>
    </w:p>
    <w:p>
      <w:pPr>
        <w:spacing w:before="0" w:after="240"/>
      </w:pPr>
      <w:r>
        <w:rPr>
          <w:rFonts w:ascii="Calibri" w:hAnsi="Calibri"/>
          <w:b/>
          <w:color w:val="4338CA"/>
          <w:sz w:val="23"/>
        </w:rPr>
        <w:t>Conservative Production Engineering Roadmap, Delay Vectors &amp; Multi-Store Release Blueprint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EEF2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1B4B"/>
                <w:sz w:val="19"/>
              </w:rPr>
              <w:t xml:space="preserve">Target Product: </w:t>
            </w:r>
            <w:r>
              <w:rPr>
                <w:rFonts w:ascii="Calibri" w:hAnsi="Calibri"/>
                <w:color w:val="1F2937"/>
                <w:sz w:val="19"/>
              </w:rPr>
              <w:t>Satmix Mobile App v1.0 (iOS &amp; Android / React Native Expo EAS)</w:t>
            </w:r>
          </w:p>
        </w:tc>
        <w:tc>
          <w:tcPr>
            <w:tcW w:type="dxa" w:w="4896"/>
            <w:shd w:fill="EEF2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1B4B"/>
                <w:sz w:val="19"/>
              </w:rPr>
              <w:t xml:space="preserve">Conservative Horizon: </w:t>
            </w:r>
            <w:r>
              <w:rPr>
                <w:rFonts w:ascii="Calibri" w:hAnsi="Calibri"/>
                <w:color w:val="1F2937"/>
                <w:sz w:val="19"/>
              </w:rPr>
              <w:t>14 Weeks (3.5 Months) — Includes External Banking, VAPT &amp; Store Buffers</w:t>
            </w:r>
          </w:p>
        </w:tc>
      </w:tr>
      <w:tr>
        <w:tc>
          <w:tcPr>
            <w:tcW w:type="dxa" w:w="4896"/>
            <w:shd w:fill="EEF2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1B4B"/>
                <w:sz w:val="19"/>
              </w:rPr>
              <w:t xml:space="preserve">Prepared By: </w:t>
            </w:r>
            <w:r>
              <w:rPr>
                <w:rFonts w:ascii="Calibri" w:hAnsi="Calibri"/>
                <w:color w:val="1F2937"/>
                <w:sz w:val="19"/>
              </w:rPr>
              <w:t>Veer Khanna (Co-Founder &amp; CTO)</w:t>
            </w:r>
          </w:p>
        </w:tc>
        <w:tc>
          <w:tcPr>
            <w:tcW w:type="dxa" w:w="4896"/>
            <w:shd w:fill="EEF2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1B4B"/>
                <w:sz w:val="19"/>
              </w:rPr>
              <w:t xml:space="preserve">Executive Review: </w:t>
            </w:r>
            <w:r>
              <w:rPr>
                <w:rFonts w:ascii="Calibri" w:hAnsi="Calibri"/>
                <w:color w:val="1F2937"/>
                <w:sz w:val="19"/>
              </w:rPr>
              <w:t>Shashank Jajodia (CFO), Sheiden Borges (CEO)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rFonts w:ascii="Calibri" w:hAnsi="Calibri"/>
          <w:b/>
          <w:color w:val="1E1B4B"/>
          <w:sz w:val="26"/>
        </w:rPr>
        <w:t>1. Executive Summary &amp; Timeline Estimation Logic</w:t>
      </w:r>
    </w:p>
    <w:p>
      <w:pPr>
        <w:spacing w:after="160" w:line="276" w:lineRule="auto"/>
      </w:pPr>
      <w:r>
        <w:rPr>
          <w:rFonts w:ascii="Calibri" w:hAnsi="Calibri"/>
          <w:color w:val="1F2937"/>
          <w:sz w:val="20"/>
        </w:rPr>
        <w:t>For a regulated Indian fintech platform handling automated daily recurring UPI e-mandates, DigiLocker e-KYC, and non-custodial crypto basket accumulation, software engineering accounts for only ~55% of the total go-to-market timeline. The remaining 45% is governed by external banking approvals, CERT-In VAPT security remediation, and Apple/Google regulatory store reviews. To protect financial runway and avoid premature launch commitments, this document establishes a conservative 14-week baseline (~3.5 months).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6" w:space="0" w:color="D1D5DB"/>
          <w:left w:val="none"/>
          <w:right w:val="none"/>
          <w:insideH w:val="single" w:sz="4" w:space="0" w:color="D1D5DB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1E1B4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Timeline Phase / Milestone</w:t>
            </w:r>
          </w:p>
        </w:tc>
        <w:tc>
          <w:tcPr>
            <w:tcW w:type="dxa" w:w="3312"/>
            <w:shd w:fill="1E1B4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Aggressive Velocity</w:t>
            </w:r>
          </w:p>
        </w:tc>
        <w:tc>
          <w:tcPr>
            <w:tcW w:type="dxa" w:w="3312"/>
            <w:shd w:fill="1E1B4B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Conservative Baseline (With Buffers)</w:t>
            </w:r>
          </w:p>
        </w:tc>
      </w:tr>
      <w:tr>
        <w:tc>
          <w:tcPr>
            <w:tcW w:type="dxa" w:w="4464"/>
            <w:shd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F2937"/>
                <w:sz w:val="18"/>
              </w:rPr>
              <w:t>Phase 1: Architecture, Design Tokens &amp; Biometric Auth</w:t>
            </w:r>
          </w:p>
        </w:tc>
        <w:tc>
          <w:tcPr>
            <w:tcW w:type="dxa" w:w="2592"/>
            <w:shd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F2937"/>
                <w:sz w:val="18"/>
              </w:rPr>
              <w:t>Weeks 1 – 2 (10 Days)</w:t>
            </w:r>
          </w:p>
        </w:tc>
        <w:tc>
          <w:tcPr>
            <w:tcW w:type="dxa" w:w="3312"/>
            <w:shd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F2937"/>
                <w:sz w:val="18"/>
              </w:rPr>
              <w:t>Weeks 1 – 2 (14 Days)</w:t>
            </w:r>
          </w:p>
        </w:tc>
      </w:tr>
      <w:tr>
        <w:tc>
          <w:tcPr>
            <w:tcW w:type="dxa" w:w="446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F2937"/>
                <w:sz w:val="18"/>
              </w:rPr>
              <w:t>Phase 2: Dashboard, Dynamic Baskets &amp; Compounding Simulator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F2937"/>
                <w:sz w:val="18"/>
              </w:rPr>
              <w:t>Weeks 3 – 4 (12 Days)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F2937"/>
                <w:sz w:val="18"/>
              </w:rPr>
              <w:t>Weeks 3 – 4 (14 Days)</w:t>
            </w:r>
          </w:p>
        </w:tc>
      </w:tr>
      <w:tr>
        <w:tc>
          <w:tcPr>
            <w:tcW w:type="dxa" w:w="4464"/>
            <w:shd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F2937"/>
                <w:sz w:val="18"/>
              </w:rPr>
              <w:t>Phase 3: Fintech Rails, UPI Autopay &amp; DigiLocker e-KYC</w:t>
            </w:r>
          </w:p>
        </w:tc>
        <w:tc>
          <w:tcPr>
            <w:tcW w:type="dxa" w:w="2592"/>
            <w:shd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F2937"/>
                <w:sz w:val="18"/>
              </w:rPr>
              <w:t>Weeks 5 – 6 (12 Days)</w:t>
            </w:r>
          </w:p>
        </w:tc>
        <w:tc>
          <w:tcPr>
            <w:tcW w:type="dxa" w:w="3312"/>
            <w:shd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F2937"/>
                <w:sz w:val="18"/>
              </w:rPr>
              <w:t>Weeks 5 – 7 (21 Days) [+1 Wk Bank UAT Buffer]</w:t>
            </w:r>
          </w:p>
        </w:tc>
      </w:tr>
      <w:tr>
        <w:tc>
          <w:tcPr>
            <w:tcW w:type="dxa" w:w="446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F2937"/>
                <w:sz w:val="18"/>
              </w:rPr>
              <w:t>Phase 4: Gamification, Retention &amp; CERT-In VAPT Audit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F2937"/>
                <w:sz w:val="18"/>
              </w:rPr>
              <w:t>Weeks 7 – 8 (12 Days)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F2937"/>
                <w:sz w:val="18"/>
              </w:rPr>
              <w:t>Weeks 8 – 10 (21 Days) [+1.5 Wk Audit &amp; Fixes]</w:t>
            </w:r>
          </w:p>
        </w:tc>
      </w:tr>
      <w:tr>
        <w:tc>
          <w:tcPr>
            <w:tcW w:type="dxa" w:w="4464"/>
            <w:shd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F2937"/>
                <w:sz w:val="18"/>
              </w:rPr>
              <w:t>Phase 5: Google 14-Day Closed Testing &amp; Apple TestFlight</w:t>
            </w:r>
          </w:p>
        </w:tc>
        <w:tc>
          <w:tcPr>
            <w:tcW w:type="dxa" w:w="2592"/>
            <w:shd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F2937"/>
                <w:sz w:val="18"/>
              </w:rPr>
              <w:t>Week 9 (7 Days)</w:t>
            </w:r>
          </w:p>
        </w:tc>
        <w:tc>
          <w:tcPr>
            <w:tcW w:type="dxa" w:w="3312"/>
            <w:shd w:fill="F9FAF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F2937"/>
                <w:sz w:val="18"/>
              </w:rPr>
              <w:t>Weeks 11 – 12 (14 Days) [Strict 14-Day Rule]</w:t>
            </w:r>
          </w:p>
        </w:tc>
      </w:tr>
      <w:tr>
        <w:tc>
          <w:tcPr>
            <w:tcW w:type="dxa" w:w="446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F2937"/>
                <w:sz w:val="18"/>
              </w:rPr>
              <w:t>Phase 6: Store Submissions, Guideline 3.1.5 &amp; Public Go-Live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F2937"/>
                <w:sz w:val="18"/>
              </w:rPr>
              <w:t>Week 10 (7 Days)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F2937"/>
                <w:sz w:val="18"/>
              </w:rPr>
              <w:t>Weeks 13 – 14 (14 Days) [+1 Wk Apple Query Buffer]</w:t>
            </w:r>
          </w:p>
        </w:tc>
      </w:tr>
    </w:tbl>
    <w:p>
      <w:pPr>
        <w:spacing w:before="320" w:after="80"/>
      </w:pPr>
      <w:r>
        <w:rPr>
          <w:rFonts w:ascii="Calibri" w:hAnsi="Calibri"/>
          <w:b/>
          <w:color w:val="1E1B4B"/>
          <w:sz w:val="26"/>
        </w:rPr>
        <w:t>2. Detailed Phase-by-Phase Engineering Sprints</w:t>
      </w:r>
    </w:p>
    <w:p>
      <w:pPr>
        <w:spacing w:before="200" w:after="40"/>
      </w:pPr>
      <w:r>
        <w:rPr>
          <w:rFonts w:ascii="Calibri" w:hAnsi="Calibri"/>
          <w:b/>
          <w:color w:val="4338CA"/>
          <w:sz w:val="22"/>
        </w:rPr>
        <w:t xml:space="preserve">PHASE 1: Mobile Foundation, Design Tokens &amp; Biometric Auth Shell </w:t>
      </w:r>
      <w:r>
        <w:rPr>
          <w:rFonts w:ascii="Calibri" w:hAnsi="Calibri"/>
          <w:i/>
          <w:color w:val="6B7280"/>
          <w:sz w:val="19"/>
        </w:rPr>
        <w:t>(Weeks 1 – 2 (Days 1 – 14))</w:t>
      </w:r>
    </w:p>
    <w:p>
      <w:pPr>
        <w:spacing w:after="60"/>
      </w:pPr>
      <w:r>
        <w:rPr>
          <w:rFonts w:ascii="Calibri" w:hAnsi="Calibri"/>
          <w:i/>
          <w:color w:val="1F2937"/>
          <w:sz w:val="19"/>
        </w:rPr>
        <w:t>Core Objective: Build a production-hardened React Native Expo EAS application shell with biometric authentication and dynamic risk assessment onboarding.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color w:val="1E1B4B"/>
          <w:sz w:val="18"/>
        </w:rPr>
        <w:t>Expo EAS Configuration:</w:t>
      </w:r>
      <w:r>
        <w:rPr>
          <w:rFonts w:ascii="Calibri" w:hAnsi="Calibri"/>
          <w:color w:val="1F2937"/>
          <w:sz w:val="18"/>
        </w:rPr>
        <w:t xml:space="preserve"> Managed workflow with custom native config plugins for biometric authentication, secure hardware storage, and push notifications.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color w:val="1E1B4B"/>
          <w:sz w:val="18"/>
        </w:rPr>
        <w:t>Design Token Architecture:</w:t>
      </w:r>
      <w:r>
        <w:rPr>
          <w:rFonts w:ascii="Calibri" w:hAnsi="Calibri"/>
          <w:color w:val="1F2937"/>
          <w:sz w:val="18"/>
        </w:rPr>
        <w:t xml:space="preserve"> Native implementation of Satmix Dark (#08090F) and Light (#F4F6FB) color systems, typography scale, and 4pt layout grids.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color w:val="1E1B4B"/>
          <w:sz w:val="18"/>
        </w:rPr>
        <w:t>Authentication Engine:</w:t>
      </w:r>
      <w:r>
        <w:rPr>
          <w:rFonts w:ascii="Calibri" w:hAnsi="Calibri"/>
          <w:color w:val="1F2937"/>
          <w:sz w:val="18"/>
        </w:rPr>
        <w:t xml:space="preserve"> Indian 10-digit mobile input with MSG91 SMS OTP verification and automated OTP autofill.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color w:val="1E1B4B"/>
          <w:sz w:val="18"/>
        </w:rPr>
        <w:t>Security PIN &amp; Biometrics:</w:t>
      </w:r>
      <w:r>
        <w:rPr>
          <w:rFonts w:ascii="Calibri" w:hAnsi="Calibri"/>
          <w:color w:val="1F2937"/>
          <w:sz w:val="18"/>
        </w:rPr>
        <w:t xml:space="preserve"> Custom 4-digit PIN lockpad with haptic feedback hooks (expo-haptics) and FaceID / TouchID / Fingerprint unlock (expo-local-authentication).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color w:val="1E1B4B"/>
          <w:sz w:val="18"/>
        </w:rPr>
        <w:t>Dynamic Risk Assessment Quiz:</w:t>
      </w:r>
      <w:r>
        <w:rPr>
          <w:rFonts w:ascii="Calibri" w:hAnsi="Calibri"/>
          <w:color w:val="1F2937"/>
          <w:sz w:val="18"/>
        </w:rPr>
        <w:t xml:space="preserve"> 4-question risk profiling engine scoring users into 'Safe &amp; Stable' (Low Risk) or 'Growth Strategy' (High Risk) portfolios in under 30 seconds.</w:t>
      </w:r>
    </w:p>
    <w:p>
      <w:pPr>
        <w:spacing w:before="40" w:after="120"/>
      </w:pPr>
      <w:r>
        <w:rPr>
          <w:rFonts w:ascii="Calibri" w:hAnsi="Calibri"/>
          <w:b/>
          <w:color w:val="1E1B4B"/>
          <w:sz w:val="18"/>
        </w:rPr>
        <w:t xml:space="preserve">Exit Milestone: </w:t>
      </w:r>
      <w:r>
        <w:rPr>
          <w:rFonts w:ascii="Calibri" w:hAnsi="Calibri"/>
          <w:color w:val="1F2937"/>
          <w:sz w:val="18"/>
        </w:rPr>
        <w:t>Executable iOS &amp; Android builds running smoothly on physical devices with complete onboarding, PIN authentication, and session persistence.</w:t>
      </w:r>
    </w:p>
    <w:p>
      <w:pPr>
        <w:spacing w:before="200" w:after="40"/>
      </w:pPr>
      <w:r>
        <w:rPr>
          <w:rFonts w:ascii="Calibri" w:hAnsi="Calibri"/>
          <w:b/>
          <w:color w:val="4338CA"/>
          <w:sz w:val="22"/>
        </w:rPr>
        <w:t xml:space="preserve">PHASE 2: Core Investor Dashboard, Dynamic Baskets &amp; Compounding Simulator </w:t>
      </w:r>
      <w:r>
        <w:rPr>
          <w:rFonts w:ascii="Calibri" w:hAnsi="Calibri"/>
          <w:i/>
          <w:color w:val="6B7280"/>
          <w:sz w:val="19"/>
        </w:rPr>
        <w:t>(Weeks 3 – 4 (Days 15 – 28))</w:t>
      </w:r>
    </w:p>
    <w:p>
      <w:pPr>
        <w:spacing w:after="60"/>
      </w:pPr>
      <w:r>
        <w:rPr>
          <w:rFonts w:ascii="Calibri" w:hAnsi="Calibri"/>
          <w:i/>
          <w:color w:val="1F2937"/>
          <w:sz w:val="19"/>
        </w:rPr>
        <w:t>Core Objective: Deliver all primary investor views, interactive charts, and dynamic financial calculations calibrated to CFO-approved basket allocations.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color w:val="1E1B4B"/>
          <w:sz w:val="18"/>
        </w:rPr>
        <w:t>Live Portfolio Screen:</w:t>
      </w:r>
      <w:r>
        <w:rPr>
          <w:rFonts w:ascii="Calibri" w:hAnsi="Calibri"/>
          <w:color w:val="1F2937"/>
          <w:sz w:val="18"/>
        </w:rPr>
        <w:t xml:space="preserve"> High-performance portfolio balance display, P&amp;L badge (+₹X / +Y%), active strategy card, and time-filter tabs (1W, 1M, 3M, 1Y, ALL).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color w:val="1E1B4B"/>
          <w:sz w:val="18"/>
        </w:rPr>
        <w:t>60 FPS Native Charting:</w:t>
      </w:r>
      <w:r>
        <w:rPr>
          <w:rFonts w:ascii="Calibri" w:hAnsi="Calibri"/>
          <w:color w:val="1F2937"/>
          <w:sz w:val="18"/>
        </w:rPr>
        <w:t xml:space="preserve"> Canvas/SVG vector charts built with react-native-svg &amp; Skia for smooth gesture scrubbing and dual trajectory comparisons.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color w:val="1E1B4B"/>
          <w:sz w:val="18"/>
        </w:rPr>
        <w:t>Baskets &amp; Strategy Engine:</w:t>
      </w:r>
      <w:r>
        <w:rPr>
          <w:rFonts w:ascii="Calibri" w:hAnsi="Calibri"/>
          <w:color w:val="1F2937"/>
          <w:sz w:val="18"/>
        </w:rPr>
        <w:t xml:space="preserve"> Dynamic allocation visualization for Low Risk (60% BTC, 30% ETH, 10% USDC) and High Risk (35% SOL, 25% AVAX, 25% DeFi, 15% BTC).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color w:val="1E1B4B"/>
          <w:sz w:val="18"/>
        </w:rPr>
        <w:t>Interactive Micro-Savings Slider:</w:t>
      </w:r>
      <w:r>
        <w:rPr>
          <w:rFonts w:ascii="Calibri" w:hAnsi="Calibri"/>
          <w:color w:val="1F2937"/>
          <w:sz w:val="18"/>
        </w:rPr>
        <w:t xml:space="preserve"> Custom gesture-based slider (₹10 to ₹500/day) with instant daily, monthly, and multi-year compounding projections (1Y, 3Y, 5Y).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color w:val="1E1B4B"/>
          <w:sz w:val="18"/>
        </w:rPr>
        <w:t>Live Crypto Price Feed:</w:t>
      </w:r>
      <w:r>
        <w:rPr>
          <w:rFonts w:ascii="Calibri" w:hAnsi="Calibri"/>
          <w:color w:val="1F2937"/>
          <w:sz w:val="18"/>
        </w:rPr>
        <w:t xml:space="preserve"> Resilient CoinGecko Pro API integration with background caching, offline data fallbacks, and live price tickers.</w:t>
      </w:r>
    </w:p>
    <w:p>
      <w:pPr>
        <w:spacing w:before="40" w:after="120"/>
      </w:pPr>
      <w:r>
        <w:rPr>
          <w:rFonts w:ascii="Calibri" w:hAnsi="Calibri"/>
          <w:b/>
          <w:color w:val="1E1B4B"/>
          <w:sz w:val="18"/>
        </w:rPr>
        <w:t xml:space="preserve">Exit Milestone: </w:t>
      </w:r>
      <w:r>
        <w:rPr>
          <w:rFonts w:ascii="Calibri" w:hAnsi="Calibri"/>
          <w:color w:val="1F2937"/>
          <w:sz w:val="18"/>
        </w:rPr>
        <w:t>All core financial simulation and browsing screens fully interactive, styled to pixel-perfection, and synchronized with mathematical models.</w:t>
      </w:r>
    </w:p>
    <w:p>
      <w:pPr>
        <w:spacing w:before="200" w:after="40"/>
      </w:pPr>
      <w:r>
        <w:rPr>
          <w:rFonts w:ascii="Calibri" w:hAnsi="Calibri"/>
          <w:b/>
          <w:color w:val="4338CA"/>
          <w:sz w:val="22"/>
        </w:rPr>
        <w:t xml:space="preserve">PHASE 3: Fintech Rails: UPI Autopay e-Mandates, DigiLocker e-KYC &amp; Bank Rails </w:t>
      </w:r>
      <w:r>
        <w:rPr>
          <w:rFonts w:ascii="Calibri" w:hAnsi="Calibri"/>
          <w:i/>
          <w:color w:val="6B7280"/>
          <w:sz w:val="19"/>
        </w:rPr>
        <w:t>(Weeks 5 – 7 (Days 29 – 49) [Includes 1-Week Gateway UAT Buffer])</w:t>
      </w:r>
    </w:p>
    <w:p>
      <w:pPr>
        <w:spacing w:after="60"/>
      </w:pPr>
      <w:r>
        <w:rPr>
          <w:rFonts w:ascii="Calibri" w:hAnsi="Calibri"/>
          <w:i/>
          <w:color w:val="1F2937"/>
          <w:sz w:val="19"/>
        </w:rPr>
        <w:t>Core Objective: Integrate production payment SDKs, automate daily UPI debit mandates, and complete user identity verification infrastructure.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color w:val="1E1B4B"/>
          <w:sz w:val="18"/>
        </w:rPr>
        <w:t>DigiLocker &amp; Aadhaar e-KYC:</w:t>
      </w:r>
      <w:r>
        <w:rPr>
          <w:rFonts w:ascii="Calibri" w:hAnsi="Calibri"/>
          <w:color w:val="1F2937"/>
          <w:sz w:val="18"/>
        </w:rPr>
        <w:t xml:space="preserve"> Seamless SDK integration (Hyperverge/IDfy) for Aadhaar XML verification, PAN real-time validation, and anti-fraud liveness match.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color w:val="1E1B4B"/>
          <w:sz w:val="18"/>
        </w:rPr>
        <w:t>UPI Autopay &amp; E-Mandate Engine:</w:t>
      </w:r>
      <w:r>
        <w:rPr>
          <w:rFonts w:ascii="Calibri" w:hAnsi="Calibri"/>
          <w:color w:val="1F2937"/>
          <w:sz w:val="18"/>
        </w:rPr>
        <w:t xml:space="preserve"> Production integration with Cashfree/Razorpay AutoPay SDK with deep-linking across GPay, PhonePe, Paytm, BHIM, and Cred.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color w:val="1E1B4B"/>
          <w:sz w:val="18"/>
        </w:rPr>
        <w:t>Daily Execution &amp; Retry Daemon:</w:t>
      </w:r>
      <w:r>
        <w:rPr>
          <w:rFonts w:ascii="Calibri" w:hAnsi="Calibri"/>
          <w:color w:val="1F2937"/>
          <w:sz w:val="18"/>
        </w:rPr>
        <w:t xml:space="preserve"> Backend webhook listeners for mandate success/failure and automated smart retries for failed recurring debits.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color w:val="1E1B4B"/>
          <w:sz w:val="18"/>
        </w:rPr>
        <w:t>Mandate Management UI:</w:t>
      </w:r>
      <w:r>
        <w:rPr>
          <w:rFonts w:ascii="Calibri" w:hAnsi="Calibri"/>
          <w:color w:val="1F2937"/>
          <w:sz w:val="18"/>
        </w:rPr>
        <w:t xml:space="preserve"> User controls to pause daily investments, change daily deposit amounts, or switch active portfolio strategies.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color w:val="1E1B4B"/>
          <w:sz w:val="18"/>
        </w:rPr>
        <w:t>Bank Account Linking &amp; Payouts:</w:t>
      </w:r>
      <w:r>
        <w:rPr>
          <w:rFonts w:ascii="Calibri" w:hAnsi="Calibri"/>
          <w:color w:val="1F2937"/>
          <w:sz w:val="18"/>
        </w:rPr>
        <w:t xml:space="preserve"> Penny-drop bank verification for instant IMPS/NEFT fiat withdrawal processing.</w:t>
      </w:r>
    </w:p>
    <w:p>
      <w:pPr>
        <w:spacing w:before="40" w:after="120"/>
      </w:pPr>
      <w:r>
        <w:rPr>
          <w:rFonts w:ascii="Calibri" w:hAnsi="Calibri"/>
          <w:b/>
          <w:color w:val="1E1B4B"/>
          <w:sz w:val="18"/>
        </w:rPr>
        <w:t xml:space="preserve">Exit Milestone: </w:t>
      </w:r>
      <w:r>
        <w:rPr>
          <w:rFonts w:ascii="Calibri" w:hAnsi="Calibri"/>
          <w:color w:val="1F2937"/>
          <w:sz w:val="18"/>
        </w:rPr>
        <w:t>End-to-end sandbox and live UAT testing of real ₹10 UPI Autopay mandate registrations and successful KYC document verification.</w:t>
      </w:r>
    </w:p>
    <w:p>
      <w:pPr>
        <w:spacing w:before="200" w:after="40"/>
      </w:pPr>
      <w:r>
        <w:rPr>
          <w:rFonts w:ascii="Calibri" w:hAnsi="Calibri"/>
          <w:b/>
          <w:color w:val="4338CA"/>
          <w:sz w:val="22"/>
        </w:rPr>
        <w:t xml:space="preserve">PHASE 4: Gamification, Profile, Settings &amp; CERT-In VAPT Security Clearance </w:t>
      </w:r>
      <w:r>
        <w:rPr>
          <w:rFonts w:ascii="Calibri" w:hAnsi="Calibri"/>
          <w:i/>
          <w:color w:val="6B7280"/>
          <w:sz w:val="19"/>
        </w:rPr>
        <w:t>(Weeks 8 – 10 (Days 50 – 70) [Includes 2-Week VAPT Remediation Buffer])</w:t>
      </w:r>
    </w:p>
    <w:p>
      <w:pPr>
        <w:spacing w:after="60"/>
      </w:pPr>
      <w:r>
        <w:rPr>
          <w:rFonts w:ascii="Calibri" w:hAnsi="Calibri"/>
          <w:i/>
          <w:color w:val="1F2937"/>
          <w:sz w:val="19"/>
        </w:rPr>
        <w:t>Core Objective: Complete user retention loops, tax reporting, and undergo third-party security audits required for fintech and FIU compliance.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color w:val="1E1B4B"/>
          <w:sz w:val="18"/>
        </w:rPr>
        <w:t>Streak &amp; Gamification Engine:</w:t>
      </w:r>
      <w:r>
        <w:rPr>
          <w:rFonts w:ascii="Calibri" w:hAnsi="Calibri"/>
          <w:color w:val="1F2937"/>
          <w:sz w:val="18"/>
        </w:rPr>
        <w:t xml:space="preserve"> Daily savings habit counter (Gold Zap), XP tier progression (Lv.1 to Lv.4 Accumulator), and celebration confetti bursts.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color w:val="1E1B4B"/>
          <w:sz w:val="18"/>
        </w:rPr>
        <w:t>Tax &amp; Statement Reporting:</w:t>
      </w:r>
      <w:r>
        <w:rPr>
          <w:rFonts w:ascii="Calibri" w:hAnsi="Calibri"/>
          <w:color w:val="1F2937"/>
          <w:sz w:val="18"/>
        </w:rPr>
        <w:t xml:space="preserve"> Generation and export of official FY P&amp;L tax statements in formatted PDF and CSV formats.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color w:val="1E1B4B"/>
          <w:sz w:val="18"/>
        </w:rPr>
        <w:t>Push Notifications &amp; Reminders:</w:t>
      </w:r>
      <w:r>
        <w:rPr>
          <w:rFonts w:ascii="Calibri" w:hAnsi="Calibri"/>
          <w:color w:val="1F2937"/>
          <w:sz w:val="18"/>
        </w:rPr>
        <w:t xml:space="preserve"> Firebase Cloud Messaging (FCM) integration for daily deposit confirmations, streak alerts, and market updates.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color w:val="1E1B4B"/>
          <w:sz w:val="18"/>
        </w:rPr>
        <w:t>CERT-In Certified VAPT Audit:</w:t>
      </w:r>
      <w:r>
        <w:rPr>
          <w:rFonts w:ascii="Calibri" w:hAnsi="Calibri"/>
          <w:color w:val="1F2937"/>
          <w:sz w:val="18"/>
        </w:rPr>
        <w:t xml:space="preserve"> Comprehensive Dynamic (DAST) and Static (SAST) application penetration testing on both iOS and Android release builds.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color w:val="1E1B4B"/>
          <w:sz w:val="18"/>
        </w:rPr>
        <w:t>Security Hardening &amp; Remediation:</w:t>
      </w:r>
      <w:r>
        <w:rPr>
          <w:rFonts w:ascii="Calibri" w:hAnsi="Calibri"/>
          <w:color w:val="1F2937"/>
          <w:sz w:val="18"/>
        </w:rPr>
        <w:t xml:space="preserve"> Implement certificate pinning, API rate-limiting, encrypted token rotation, and SQL injection sanitization.</w:t>
      </w:r>
    </w:p>
    <w:p>
      <w:pPr>
        <w:spacing w:before="40" w:after="120"/>
      </w:pPr>
      <w:r>
        <w:rPr>
          <w:rFonts w:ascii="Calibri" w:hAnsi="Calibri"/>
          <w:b/>
          <w:color w:val="1E1B4B"/>
          <w:sz w:val="18"/>
        </w:rPr>
        <w:t xml:space="preserve">Exit Milestone: </w:t>
      </w:r>
      <w:r>
        <w:rPr>
          <w:rFonts w:ascii="Calibri" w:hAnsi="Calibri"/>
          <w:color w:val="1F2937"/>
          <w:sz w:val="18"/>
        </w:rPr>
        <w:t>Official CERT-In VAPT Security Clearance Certificate issued; zero High or Critical vulnerabilities.</w:t>
      </w:r>
    </w:p>
    <w:p>
      <w:pPr>
        <w:spacing w:before="200" w:after="40"/>
      </w:pPr>
      <w:r>
        <w:rPr>
          <w:rFonts w:ascii="Calibri" w:hAnsi="Calibri"/>
          <w:b/>
          <w:color w:val="4338CA"/>
          <w:sz w:val="22"/>
        </w:rPr>
        <w:t xml:space="preserve">PHASE 5: Google Play 14-Day Closed Testing &amp; Apple TestFlight Community Beta </w:t>
      </w:r>
      <w:r>
        <w:rPr>
          <w:rFonts w:ascii="Calibri" w:hAnsi="Calibri"/>
          <w:i/>
          <w:color w:val="6B7280"/>
          <w:sz w:val="19"/>
        </w:rPr>
        <w:t>(Weeks 11 – 12 (Days 71 – 84))</w:t>
      </w:r>
    </w:p>
    <w:p>
      <w:pPr>
        <w:spacing w:after="60"/>
      </w:pPr>
      <w:r>
        <w:rPr>
          <w:rFonts w:ascii="Calibri" w:hAnsi="Calibri"/>
          <w:i/>
          <w:color w:val="1F2937"/>
          <w:sz w:val="19"/>
        </w:rPr>
        <w:t>Core Objective: Fulfill Google Play Console's mandatory 20-tester 14-day testing requirement and conduct a closed external beta with 100 early adopters.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color w:val="1E1B4B"/>
          <w:sz w:val="18"/>
        </w:rPr>
        <w:t>Google Play 14-Day Closed Cohort:</w:t>
      </w:r>
      <w:r>
        <w:rPr>
          <w:rFonts w:ascii="Calibri" w:hAnsi="Calibri"/>
          <w:color w:val="1F2937"/>
          <w:sz w:val="18"/>
        </w:rPr>
        <w:t xml:space="preserve"> Maintain 20+ active opted-in testers across Android 10 through Android 15 devices for 14 continuous days.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color w:val="1E1B4B"/>
          <w:sz w:val="18"/>
        </w:rPr>
        <w:t>Apple TestFlight External Beta:</w:t>
      </w:r>
      <w:r>
        <w:rPr>
          <w:rFonts w:ascii="Calibri" w:hAnsi="Calibri"/>
          <w:color w:val="1F2937"/>
          <w:sz w:val="18"/>
        </w:rPr>
        <w:t xml:space="preserve"> Distribute build to 100 community beta testers via TestFlight public link and gather crash telemetry via Sentry.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color w:val="1E1B4B"/>
          <w:sz w:val="18"/>
        </w:rPr>
        <w:t>Performance &amp; Memory Optimization:</w:t>
      </w:r>
      <w:r>
        <w:rPr>
          <w:rFonts w:ascii="Calibri" w:hAnsi="Calibri"/>
          <w:color w:val="1F2937"/>
          <w:sz w:val="18"/>
        </w:rPr>
        <w:t xml:space="preserve"> Profiling app cold-start times (&lt;1.8s target), memory leak fixes, and network error handling under low-bandwidth connections.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color w:val="1E1B4B"/>
          <w:sz w:val="18"/>
        </w:rPr>
        <w:t>Store Listing Assets &amp; Metadata:</w:t>
      </w:r>
      <w:r>
        <w:rPr>
          <w:rFonts w:ascii="Calibri" w:hAnsi="Calibri"/>
          <w:color w:val="1F2937"/>
          <w:sz w:val="18"/>
        </w:rPr>
        <w:t xml:space="preserve"> Production 6.7" and 6.5" App Store screenshots, Google Play feature graphics (1024x500), localized descriptions, and FIU compliance URLs.</w:t>
      </w:r>
    </w:p>
    <w:p>
      <w:pPr>
        <w:spacing w:before="40" w:after="120"/>
      </w:pPr>
      <w:r>
        <w:rPr>
          <w:rFonts w:ascii="Calibri" w:hAnsi="Calibri"/>
          <w:b/>
          <w:color w:val="1E1B4B"/>
          <w:sz w:val="18"/>
        </w:rPr>
        <w:t xml:space="preserve">Exit Milestone: </w:t>
      </w:r>
      <w:r>
        <w:rPr>
          <w:rFonts w:ascii="Calibri" w:hAnsi="Calibri"/>
          <w:color w:val="1F2937"/>
          <w:sz w:val="18"/>
        </w:rPr>
        <w:t>Completion of Google Play's 14-day closed testing prerequisite; zero unhandled crash reports across beta cohort.</w:t>
      </w:r>
    </w:p>
    <w:p>
      <w:pPr>
        <w:spacing w:before="200" w:after="40"/>
      </w:pPr>
      <w:r>
        <w:rPr>
          <w:rFonts w:ascii="Calibri" w:hAnsi="Calibri"/>
          <w:b/>
          <w:color w:val="4338CA"/>
          <w:sz w:val="22"/>
        </w:rPr>
        <w:t xml:space="preserve">PHASE 6: App Store &amp; Google Play Review, Staging Cutover &amp; Public Launch </w:t>
      </w:r>
      <w:r>
        <w:rPr>
          <w:rFonts w:ascii="Calibri" w:hAnsi="Calibri"/>
          <w:i/>
          <w:color w:val="6B7280"/>
          <w:sz w:val="19"/>
        </w:rPr>
        <w:t>(Weeks 13 – 14 (Days 85 – 98) [Includes 1-Week Review Query Buffer])</w:t>
      </w:r>
    </w:p>
    <w:p>
      <w:pPr>
        <w:spacing w:after="60"/>
      </w:pPr>
      <w:r>
        <w:rPr>
          <w:rFonts w:ascii="Calibri" w:hAnsi="Calibri"/>
          <w:i/>
          <w:color w:val="1F2937"/>
          <w:sz w:val="19"/>
        </w:rPr>
        <w:t>Core Objective: Clear Apple Guideline 3.1.5 financial review, pass Google Play production checks, and execute public release.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color w:val="1E1B4B"/>
          <w:sz w:val="18"/>
        </w:rPr>
        <w:t>Apple Financial Services Review:</w:t>
      </w:r>
      <w:r>
        <w:rPr>
          <w:rFonts w:ascii="Calibri" w:hAnsi="Calibri"/>
          <w:color w:val="1F2937"/>
          <w:sz w:val="18"/>
        </w:rPr>
        <w:t xml:space="preserve"> Submission under App Store Review Guideline 3.1.5 (Cryptocurrency / Fintech), providing FIU-IND registration documentation and test credentials.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color w:val="1E1B4B"/>
          <w:sz w:val="18"/>
        </w:rPr>
        <w:t>Google Play Production Track Approval:</w:t>
      </w:r>
      <w:r>
        <w:rPr>
          <w:rFonts w:ascii="Calibri" w:hAnsi="Calibri"/>
          <w:color w:val="1F2937"/>
          <w:sz w:val="18"/>
        </w:rPr>
        <w:t xml:space="preserve"> Final submission of signed production Android App Bundle (.aab) with Target SDK 35 compliance.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color w:val="1E1B4B"/>
          <w:sz w:val="18"/>
        </w:rPr>
        <w:t>Production Gateway Cutover:</w:t>
      </w:r>
      <w:r>
        <w:rPr>
          <w:rFonts w:ascii="Calibri" w:hAnsi="Calibri"/>
          <w:color w:val="1F2937"/>
          <w:sz w:val="18"/>
        </w:rPr>
        <w:t xml:space="preserve"> Switch all payment gateways, KYC APIs, and exchange liquidity rails from sandbox/UAT to live production credentials.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color w:val="1E1B4B"/>
          <w:sz w:val="18"/>
        </w:rPr>
        <w:t>Launch Day Monitoring:</w:t>
      </w:r>
      <w:r>
        <w:rPr>
          <w:rFonts w:ascii="Calibri" w:hAnsi="Calibri"/>
          <w:color w:val="1F2937"/>
          <w:sz w:val="18"/>
        </w:rPr>
        <w:t xml:space="preserve"> Real-time Datadog/Sentry error alerting, Cloudflare DDoS monitoring, and founder on-call support.</w:t>
      </w:r>
    </w:p>
    <w:p>
      <w:pPr>
        <w:spacing w:before="40" w:after="120"/>
      </w:pPr>
      <w:r>
        <w:rPr>
          <w:rFonts w:ascii="Calibri" w:hAnsi="Calibri"/>
          <w:b/>
          <w:color w:val="1E1B4B"/>
          <w:sz w:val="18"/>
        </w:rPr>
        <w:t xml:space="preserve">Exit Milestone: </w:t>
      </w:r>
      <w:r>
        <w:rPr>
          <w:rFonts w:ascii="Calibri" w:hAnsi="Calibri"/>
          <w:color w:val="1F2937"/>
          <w:sz w:val="18"/>
        </w:rPr>
        <w:t>Satmix Mobile App approved and publicly downloadable on the Apple App Store and Google Play Store.</w:t>
      </w:r>
    </w:p>
    <w:p>
      <w:pPr>
        <w:spacing w:before="320" w:after="80"/>
      </w:pPr>
      <w:r>
        <w:rPr>
          <w:rFonts w:ascii="Calibri" w:hAnsi="Calibri"/>
          <w:b/>
          <w:color w:val="1E1B4B"/>
          <w:sz w:val="26"/>
        </w:rPr>
        <w:t>3. Exhaustive Delay Vectors, Potential Impact &amp; Mitigation Protocols</w:t>
      </w:r>
    </w:p>
    <w:p>
      <w:pPr>
        <w:spacing w:after="120"/>
      </w:pPr>
      <w:r>
        <w:rPr>
          <w:rFonts w:ascii="Calibri" w:hAnsi="Calibri"/>
          <w:color w:val="1F2937"/>
          <w:sz w:val="20"/>
        </w:rPr>
        <w:t>To provide institutional rigor for the CFO and executive team, the following matrix identifies the 6 specific friction points that could introduce latency, the potential time slip if unmanaged, and the concrete technical/operational mitigation protocols Satmix has established.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6" w:space="0" w:color="D1D5DB"/>
          <w:left w:val="none"/>
          <w:right w:val="none"/>
          <w:insideH w:val="single" w:sz="4" w:space="0" w:color="D1D5DB"/>
          <w:insideV w:val="none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E1B4B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Delay Vector</w:t>
            </w:r>
          </w:p>
        </w:tc>
        <w:tc>
          <w:tcPr>
            <w:tcW w:type="dxa" w:w="1987"/>
            <w:shd w:fill="1E1B4B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Root Cause / Trigger</w:t>
            </w:r>
          </w:p>
        </w:tc>
        <w:tc>
          <w:tcPr>
            <w:tcW w:type="dxa" w:w="1987"/>
            <w:shd w:fill="1E1B4B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Potential Delay Impact</w:t>
            </w:r>
          </w:p>
        </w:tc>
        <w:tc>
          <w:tcPr>
            <w:tcW w:type="dxa" w:w="1987"/>
            <w:shd w:fill="1E1B4B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Probability</w:t>
            </w:r>
          </w:p>
        </w:tc>
        <w:tc>
          <w:tcPr>
            <w:tcW w:type="dxa" w:w="1987"/>
            <w:shd w:fill="1E1B4B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CTO Mitigation Protocol</w:t>
            </w:r>
          </w:p>
        </w:tc>
      </w:tr>
      <w:tr>
        <w:tc>
          <w:tcPr>
            <w:tcW w:type="dxa" w:w="2160"/>
            <w:shd w:fill="F9FAF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F2937"/>
                <w:sz w:val="17"/>
              </w:rPr>
              <w:t>1. UPI Autopay / Bank Underwriting Delay</w:t>
            </w:r>
          </w:p>
        </w:tc>
        <w:tc>
          <w:tcPr>
            <w:tcW w:type="dxa" w:w="2592"/>
            <w:shd w:fill="F9FAF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F2937"/>
                <w:sz w:val="17"/>
              </w:rPr>
              <w:t>Payment aggregator risk teams require extended compliance reviews for digital asset merchant category codes (MCCs).</w:t>
            </w:r>
          </w:p>
        </w:tc>
        <w:tc>
          <w:tcPr>
            <w:tcW w:type="dxa" w:w="1584"/>
            <w:shd w:fill="F9FAF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991B1B"/>
                <w:sz w:val="17"/>
              </w:rPr>
              <w:t>+1 to +3 Weeks</w:t>
            </w:r>
          </w:p>
        </w:tc>
        <w:tc>
          <w:tcPr>
            <w:tcW w:type="dxa" w:w="1296"/>
            <w:shd w:fill="F9FAF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F2937"/>
                <w:sz w:val="17"/>
              </w:rPr>
              <w:t>Medium</w:t>
            </w:r>
          </w:p>
        </w:tc>
        <w:tc>
          <w:tcPr>
            <w:tcW w:type="dxa" w:w="2736"/>
            <w:shd w:fill="F9FAF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F2937"/>
                <w:sz w:val="17"/>
              </w:rPr>
              <w:t>Dual-Gateway Strategy: Initiate parallel merchant applications with Cashfree, Decentro, and Razorpay in Week 2 rather than relying on a single provider.</w:t>
            </w:r>
          </w:p>
        </w:tc>
      </w:tr>
      <w:tr>
        <w:tc>
          <w:tcPr>
            <w:tcW w:type="dxa" w:w="216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F2937"/>
                <w:sz w:val="17"/>
              </w:rPr>
              <w:t>2. Apple Guideline 3.1.5 Crypto Queries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F2937"/>
                <w:sz w:val="17"/>
              </w:rPr>
              <w:t>Apple Review Team issues temporary rejection demanding legal opinion letters, FIU proof, or non-custodial custody clarification.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991B1B"/>
                <w:sz w:val="17"/>
              </w:rPr>
              <w:t>+1 to +2 Weeks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F2937"/>
                <w:sz w:val="17"/>
              </w:rPr>
              <w:t>High (First Review)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F2937"/>
                <w:sz w:val="17"/>
              </w:rPr>
              <w:t>Pre-Packaged Compliance Kit: Upload FIU-IND certificate, video walkthrough of mandate creation, and demo credentials with test funds in initial review submission.</w:t>
            </w:r>
          </w:p>
        </w:tc>
      </w:tr>
      <w:tr>
        <w:tc>
          <w:tcPr>
            <w:tcW w:type="dxa" w:w="2160"/>
            <w:shd w:fill="F9FAF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F2937"/>
                <w:sz w:val="17"/>
              </w:rPr>
              <w:t>3. CERT-In VAPT Audit Remediation Loop</w:t>
            </w:r>
          </w:p>
        </w:tc>
        <w:tc>
          <w:tcPr>
            <w:tcW w:type="dxa" w:w="2592"/>
            <w:shd w:fill="F9FAF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F2937"/>
                <w:sz w:val="17"/>
              </w:rPr>
              <w:t>Third-party penetration testing flags medium/high severity vulnerabilities in third-party npm packages, requiring code fixes &amp; re-audit.</w:t>
            </w:r>
          </w:p>
        </w:tc>
        <w:tc>
          <w:tcPr>
            <w:tcW w:type="dxa" w:w="1584"/>
            <w:shd w:fill="F9FAF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991B1B"/>
                <w:sz w:val="17"/>
              </w:rPr>
              <w:t>+1 to +2 Weeks</w:t>
            </w:r>
          </w:p>
        </w:tc>
        <w:tc>
          <w:tcPr>
            <w:tcW w:type="dxa" w:w="1296"/>
            <w:shd w:fill="F9FAF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F2937"/>
                <w:sz w:val="17"/>
              </w:rPr>
              <w:t>Medium-High</w:t>
            </w:r>
          </w:p>
        </w:tc>
        <w:tc>
          <w:tcPr>
            <w:tcW w:type="dxa" w:w="2736"/>
            <w:shd w:fill="F9FAF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F2937"/>
                <w:sz w:val="17"/>
              </w:rPr>
              <w:t>Pre-Audit SAST Scans: Run automated Snyk and SonarQube static scans in Sprint 4 to eliminate vulnerabilities before submitting to external auditor.</w:t>
            </w:r>
          </w:p>
        </w:tc>
      </w:tr>
      <w:tr>
        <w:tc>
          <w:tcPr>
            <w:tcW w:type="dxa" w:w="216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F2937"/>
                <w:sz w:val="17"/>
              </w:rPr>
              <w:t>4. Google Play 14-Day Tester Inactivity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F2937"/>
                <w:sz w:val="17"/>
              </w:rPr>
              <w:t>If opted-in testers fail to open the app or drop below 20 active devices, Google Play algorithms reset the mandatory 14-day countdown.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991B1B"/>
                <w:sz w:val="17"/>
              </w:rPr>
              <w:t>+1 to +2 Weeks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F2937"/>
                <w:sz w:val="17"/>
              </w:rPr>
              <w:t>Low-Medium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F2937"/>
                <w:sz w:val="17"/>
              </w:rPr>
              <w:t>75% Tester Buffer: Seed a dedicated cohort of 35+ verified testers (vs. 20 minimum) from Satmix WhatsApp community with daily push check-ins.</w:t>
            </w:r>
          </w:p>
        </w:tc>
      </w:tr>
      <w:tr>
        <w:tc>
          <w:tcPr>
            <w:tcW w:type="dxa" w:w="2160"/>
            <w:shd w:fill="F9FAF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F2937"/>
                <w:sz w:val="17"/>
              </w:rPr>
              <w:t>5. Apple Org &amp; D-U-N-S Verification</w:t>
            </w:r>
          </w:p>
        </w:tc>
        <w:tc>
          <w:tcPr>
            <w:tcW w:type="dxa" w:w="2592"/>
            <w:shd w:fill="F9FAF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F2937"/>
                <w:sz w:val="17"/>
              </w:rPr>
              <w:t>Dun &amp; Bradstreet legal entity mismatch or delay in Apple Developer Organization account approval.</w:t>
            </w:r>
          </w:p>
        </w:tc>
        <w:tc>
          <w:tcPr>
            <w:tcW w:type="dxa" w:w="1584"/>
            <w:shd w:fill="F9FAF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991B1B"/>
                <w:sz w:val="17"/>
              </w:rPr>
              <w:t>+1 to +2 Weeks</w:t>
            </w:r>
          </w:p>
        </w:tc>
        <w:tc>
          <w:tcPr>
            <w:tcW w:type="dxa" w:w="1296"/>
            <w:shd w:fill="F9FAF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F2937"/>
                <w:sz w:val="17"/>
              </w:rPr>
              <w:t>Low (If Done Early)</w:t>
            </w:r>
          </w:p>
        </w:tc>
        <w:tc>
          <w:tcPr>
            <w:tcW w:type="dxa" w:w="2736"/>
            <w:shd w:fill="F9FAFB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F2937"/>
                <w:sz w:val="17"/>
              </w:rPr>
              <w:t>Immediate Week 1 Execution: Complete D-U-N-S matching and Apple Developer Organization verification immediately before writing Phase 1 code.</w:t>
            </w:r>
          </w:p>
        </w:tc>
      </w:tr>
      <w:tr>
        <w:tc>
          <w:tcPr>
            <w:tcW w:type="dxa" w:w="2160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F2937"/>
                <w:sz w:val="17"/>
              </w:rPr>
              <w:t>6. Native SDK / Expo OS Compatibility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F2937"/>
                <w:sz w:val="17"/>
              </w:rPr>
              <w:t>New iOS/Android OS patch introduces breaking changes in native camera/biometric/payment intent modules.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991B1B"/>
                <w:sz w:val="17"/>
              </w:rPr>
              <w:t>+3 to +5 Days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F2937"/>
                <w:sz w:val="17"/>
              </w:rPr>
              <w:t>Low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1F2937"/>
                <w:sz w:val="17"/>
              </w:rPr>
              <w:t>Expo Config Plugins &amp; Isolated Test Harness: Isolate third-party native SDKs behind TypeScript abstraction layers to swap modules without core refactoring.</w:t>
            </w:r>
          </w:p>
        </w:tc>
      </w:tr>
    </w:tbl>
    <w:p>
      <w:pPr>
        <w:spacing w:before="320" w:after="80"/>
      </w:pPr>
      <w:r>
        <w:rPr>
          <w:rFonts w:ascii="Calibri" w:hAnsi="Calibri"/>
          <w:b/>
          <w:color w:val="1E1B4B"/>
          <w:sz w:val="26"/>
        </w:rPr>
        <w:t>4. Scenario Analysis: Best-Case vs. Conservative vs. Delayed</w:t>
      </w:r>
    </w:p>
    <w:p>
      <w:pPr>
        <w:spacing w:after="120"/>
      </w:pPr>
      <w:r>
        <w:rPr>
          <w:rFonts w:ascii="Calibri" w:hAnsi="Calibri"/>
          <w:color w:val="1F2937"/>
          <w:sz w:val="20"/>
        </w:rPr>
        <w:t>To ensure complete alignment between engineering execution and CFO cash flow forecasting, the following table models the three release scenarios: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6" w:space="0" w:color="D1D5DB"/>
          <w:left w:val="none"/>
          <w:right w:val="none"/>
          <w:insideH w:val="single" w:sz="4" w:space="0" w:color="D1D5DB"/>
          <w:insideV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1B4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Release Scenario</w:t>
            </w:r>
          </w:p>
        </w:tc>
        <w:tc>
          <w:tcPr>
            <w:tcW w:type="dxa" w:w="2484"/>
            <w:shd w:fill="1E1B4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Total Duration</w:t>
            </w:r>
          </w:p>
        </w:tc>
        <w:tc>
          <w:tcPr>
            <w:tcW w:type="dxa" w:w="2484"/>
            <w:shd w:fill="1E1B4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Primary Assumptions</w:t>
            </w:r>
          </w:p>
        </w:tc>
        <w:tc>
          <w:tcPr>
            <w:tcW w:type="dxa" w:w="2484"/>
            <w:shd w:fill="1E1B4B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CFO Runway Requirement</w:t>
            </w:r>
          </w:p>
        </w:tc>
      </w:tr>
      <w:tr>
        <w:tc>
          <w:tcPr>
            <w:tcW w:type="dxa" w:w="2592"/>
            <w:shd w:fill="F9FA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1F2937"/>
                <w:sz w:val="17"/>
              </w:rPr>
              <w:t>Best-Case Velocity</w:t>
            </w:r>
          </w:p>
        </w:tc>
        <w:tc>
          <w:tcPr>
            <w:tcW w:type="dxa" w:w="2160"/>
            <w:shd w:fill="F9FA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F2937"/>
                <w:sz w:val="17"/>
              </w:rPr>
              <w:t>10 Weeks (2.5 Months)</w:t>
            </w:r>
          </w:p>
        </w:tc>
        <w:tc>
          <w:tcPr>
            <w:tcW w:type="dxa" w:w="3456"/>
            <w:shd w:fill="F9FA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F2937"/>
                <w:sz w:val="17"/>
              </w:rPr>
              <w:t>Instant UPI gateway approval, zero VAPT remediation re-tests, single-attempt Apple/Google store approvals.</w:t>
            </w:r>
          </w:p>
        </w:tc>
        <w:tc>
          <w:tcPr>
            <w:tcW w:type="dxa" w:w="2160"/>
            <w:shd w:fill="F9FA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F2937"/>
                <w:sz w:val="17"/>
              </w:rPr>
              <w:t>₹18.50 Lakhs (Lean Launch)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1F2937"/>
                <w:sz w:val="17"/>
              </w:rPr>
              <w:t>Conservative Baseline (Recommended)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4338CA"/>
                <w:sz w:val="17"/>
              </w:rPr>
              <w:t>14 Weeks (3.5 Months)</w:t>
            </w:r>
          </w:p>
        </w:tc>
        <w:tc>
          <w:tcPr>
            <w:tcW w:type="dxa" w:w="345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F2937"/>
                <w:sz w:val="17"/>
              </w:rPr>
              <w:t>Includes 1-week bank UAT buffer, 2-week VAPT audit &amp; fix cycle, full 14-day Google Play cohort, and 1 Apple query cycle.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F2937"/>
                <w:sz w:val="17"/>
              </w:rPr>
              <w:t>₹23.87 Lakhs (Phase 1 Baseline Budget)</w:t>
            </w:r>
          </w:p>
        </w:tc>
      </w:tr>
      <w:tr>
        <w:tc>
          <w:tcPr>
            <w:tcW w:type="dxa" w:w="2592"/>
            <w:shd w:fill="F9FA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1F2937"/>
                <w:sz w:val="17"/>
              </w:rPr>
              <w:t>Worst-Case Delayed Horizon</w:t>
            </w:r>
          </w:p>
        </w:tc>
        <w:tc>
          <w:tcPr>
            <w:tcW w:type="dxa" w:w="2160"/>
            <w:shd w:fill="F9FA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F2937"/>
                <w:sz w:val="17"/>
              </w:rPr>
              <w:t>17 – 18 Weeks (4.5 Months)</w:t>
            </w:r>
          </w:p>
        </w:tc>
        <w:tc>
          <w:tcPr>
            <w:tcW w:type="dxa" w:w="3456"/>
            <w:shd w:fill="F9FA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F2937"/>
                <w:sz w:val="17"/>
              </w:rPr>
              <w:t>Dual gateway underwriting delay (+3 wks) combined with Apple Guideline 3.1.5 secondary appeal cycle (+1 wk).</w:t>
            </w:r>
          </w:p>
        </w:tc>
        <w:tc>
          <w:tcPr>
            <w:tcW w:type="dxa" w:w="2160"/>
            <w:shd w:fill="F9FAF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1F2937"/>
                <w:sz w:val="17"/>
              </w:rPr>
              <w:t>₹31.50 Lakhs (Covered by 10% Contingency + M5 Hiring Deferral)</w:t>
            </w:r>
          </w:p>
        </w:tc>
      </w:tr>
    </w:tbl>
    <w:p>
      <w:pPr>
        <w:spacing w:before="320" w:after="80"/>
      </w:pPr>
      <w:r>
        <w:rPr>
          <w:rFonts w:ascii="Calibri" w:hAnsi="Calibri"/>
          <w:b/>
          <w:color w:val="1E1B4B"/>
          <w:sz w:val="26"/>
        </w:rPr>
        <w:t>5. Technical Definition of Done &amp; Launch Gate Checklist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color w:val="1E1B4B"/>
          <w:sz w:val="18"/>
        </w:rPr>
        <w:t>Visual &amp; Interaction Polish:</w:t>
      </w:r>
      <w:r>
        <w:rPr>
          <w:rFonts w:ascii="Calibri" w:hAnsi="Calibri"/>
          <w:color w:val="1F2937"/>
          <w:sz w:val="18"/>
        </w:rPr>
        <w:t xml:space="preserve"> Flawless typography hierarchy, zero visual clipping on dynamic island/notch screens, and 60fps smooth charting gestures.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color w:val="1E1B4B"/>
          <w:sz w:val="18"/>
        </w:rPr>
        <w:t>Penny-Accurate Compounding Math:</w:t>
      </w:r>
      <w:r>
        <w:rPr>
          <w:rFonts w:ascii="Calibri" w:hAnsi="Calibri"/>
          <w:color w:val="1F2937"/>
          <w:sz w:val="18"/>
        </w:rPr>
        <w:t xml:space="preserve"> Exact synchronization between CFO's dynamic asset allocation models and mobile compounding projection curves.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color w:val="1E1B4B"/>
          <w:sz w:val="18"/>
        </w:rPr>
        <w:t>End-to-End UPI Autopay Reliability:</w:t>
      </w:r>
      <w:r>
        <w:rPr>
          <w:rFonts w:ascii="Calibri" w:hAnsi="Calibri"/>
          <w:color w:val="1F2937"/>
          <w:sz w:val="18"/>
        </w:rPr>
        <w:t xml:space="preserve"> 100% success rate on test e-mandate registration, pause, resume, and automated debit execution.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color w:val="1E1B4B"/>
          <w:sz w:val="18"/>
        </w:rPr>
        <w:t>Verified e-KYC Compliance:</w:t>
      </w:r>
      <w:r>
        <w:rPr>
          <w:rFonts w:ascii="Calibri" w:hAnsi="Calibri"/>
          <w:color w:val="1F2937"/>
          <w:sz w:val="18"/>
        </w:rPr>
        <w:t xml:space="preserve"> Aadhaar XML and PAN real-time verification working with instant automated status updates.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color w:val="1E1B4B"/>
          <w:sz w:val="18"/>
        </w:rPr>
        <w:t>CERT-In Security Certification:</w:t>
      </w:r>
      <w:r>
        <w:rPr>
          <w:rFonts w:ascii="Calibri" w:hAnsi="Calibri"/>
          <w:color w:val="1F2937"/>
          <w:sz w:val="18"/>
        </w:rPr>
        <w:t xml:space="preserve"> Zero high/critical vulnerabilities on both Android APK/AAB and iOS IPA builds.</w:t>
      </w:r>
    </w:p>
    <w:p>
      <w:pPr>
        <w:pStyle w:val="ListBullet"/>
        <w:spacing w:after="40" w:line="276" w:lineRule="auto"/>
      </w:pPr>
      <w:r>
        <w:rPr>
          <w:rFonts w:ascii="Calibri" w:hAnsi="Calibri"/>
          <w:b/>
          <w:color w:val="1E1B4B"/>
          <w:sz w:val="18"/>
        </w:rPr>
        <w:t>Store Compliance Clearance:</w:t>
      </w:r>
      <w:r>
        <w:rPr>
          <w:rFonts w:ascii="Calibri" w:hAnsi="Calibri"/>
          <w:color w:val="1F2937"/>
          <w:sz w:val="18"/>
        </w:rPr>
        <w:t xml:space="preserve"> Full approval under Apple App Store Guideline 3.1.5 and Google Play Financial Services declarations.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