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4F1FD7"/>
          <w:sz w:val="44"/>
        </w:rPr>
        <w:t>SATMIX WEBSITE &amp; WEBAPP 4.0</w:t>
      </w:r>
    </w:p>
    <w:p>
      <w:pPr>
        <w:spacing w:before="0" w:after="240"/>
      </w:pPr>
      <w:r>
        <w:rPr>
          <w:rFonts w:ascii="Calibri" w:hAnsi="Calibri"/>
          <w:b/>
          <w:color w:val="64748B"/>
          <w:sz w:val="24"/>
        </w:rPr>
        <w:t>Master Launch Timeline &amp; Execution Roadmap (Conservative 6-Week Self-Contained Schedule)</w:t>
      </w:r>
    </w:p>
    <w:tbl>
      <w:tblPr>
        <w:tblW w:type="auto" w:w="0"/>
        <w:jc w:val="center"/>
        <w:tblLayout w:type="fixed"/>
        <w:tblLook w:firstColumn="1" w:firstRow="1" w:lastColumn="0" w:lastRow="0" w:noHBand="0" w:noVBand="1" w:val="04A0"/>
        <w:tblBorders>
          <w:top w:val="single" w:sz="4" w:space="0" w:color="E2E8F0"/>
          <w:bottom w:val="single" w:sz="6" w:space="0" w:color="E2E8F0"/>
          <w:left w:val="none"/>
          <w:right w:val="none"/>
          <w:insideH w:val="single" w:sz="4" w:space="0" w:color="E2E8F0"/>
          <w:insideV w:val="none"/>
        </w:tblBorders>
      </w:tblPr>
      <w:tblGrid>
        <w:gridCol w:w="4968"/>
        <w:gridCol w:w="4968"/>
      </w:tblGrid>
      <w:tr>
        <w:tc>
          <w:tcPr>
            <w:tcW w:type="dxa" w:w="4968"/>
            <w:shd w:fill="F8FAFC"/>
            <w:tcMar>
              <w:top w:w="80" w:type="dxa"/>
              <w:bottom w:w="80" w:type="dxa"/>
              <w:left w:w="120" w:type="dxa"/>
              <w:right w:w="120" w:type="dxa"/>
            </w:tcMar>
          </w:tcPr>
          <w:p>
            <w:pPr>
              <w:spacing w:after="0"/>
            </w:pPr>
            <w:r>
              <w:rPr>
                <w:rFonts w:ascii="Calibri" w:hAnsi="Calibri"/>
                <w:b/>
                <w:color w:val="0F172A"/>
                <w:sz w:val="19"/>
              </w:rPr>
              <w:t xml:space="preserve">Target Scope: </w:t>
            </w:r>
            <w:r>
              <w:rPr>
                <w:rFonts w:ascii="Calibri" w:hAnsi="Calibri"/>
                <w:color w:val="1F2937"/>
                <w:sz w:val="19"/>
              </w:rPr>
              <w:t>Unified Marketing Website + Live Interactive Webapp</w:t>
            </w:r>
          </w:p>
        </w:tc>
        <w:tc>
          <w:tcPr>
            <w:tcW w:type="dxa" w:w="4968"/>
            <w:shd w:fill="F8FAFC"/>
            <w:tcMar>
              <w:top w:w="80" w:type="dxa"/>
              <w:bottom w:w="80" w:type="dxa"/>
              <w:left w:w="120" w:type="dxa"/>
              <w:right w:w="120" w:type="dxa"/>
            </w:tcMar>
          </w:tcPr>
          <w:p>
            <w:pPr>
              <w:spacing w:after="0"/>
            </w:pPr>
            <w:r>
              <w:rPr>
                <w:rFonts w:ascii="Calibri" w:hAnsi="Calibri"/>
                <w:b/>
                <w:color w:val="0F172A"/>
                <w:sz w:val="19"/>
              </w:rPr>
              <w:t xml:space="preserve">Anchor Date: </w:t>
            </w:r>
            <w:r>
              <w:rPr>
                <w:rFonts w:ascii="Calibri" w:hAnsi="Calibri"/>
                <w:color w:val="1F2937"/>
                <w:sz w:val="19"/>
              </w:rPr>
              <w:t>September 1, 2026</w:t>
            </w:r>
          </w:p>
        </w:tc>
      </w:tr>
      <w:tr>
        <w:tc>
          <w:tcPr>
            <w:tcW w:type="dxa" w:w="4968"/>
            <w:shd w:fill="F8FAFC"/>
            <w:tcMar>
              <w:top w:w="80" w:type="dxa"/>
              <w:bottom w:w="80" w:type="dxa"/>
              <w:left w:w="120" w:type="dxa"/>
              <w:right w:w="120" w:type="dxa"/>
            </w:tcMar>
          </w:tcPr>
          <w:p>
            <w:pPr>
              <w:spacing w:after="0"/>
            </w:pPr>
            <w:r>
              <w:rPr>
                <w:rFonts w:ascii="Calibri" w:hAnsi="Calibri"/>
                <w:b/>
                <w:color w:val="0F172A"/>
                <w:sz w:val="19"/>
              </w:rPr>
              <w:t xml:space="preserve">Target Public Launch: </w:t>
            </w:r>
            <w:r>
              <w:rPr>
                <w:rFonts w:ascii="Calibri" w:hAnsi="Calibri"/>
                <w:color w:val="1F2937"/>
                <w:sz w:val="19"/>
              </w:rPr>
              <w:t>Mid-October 2026 (Oct 16, 2026)</w:t>
            </w:r>
          </w:p>
        </w:tc>
        <w:tc>
          <w:tcPr>
            <w:tcW w:type="dxa" w:w="4968"/>
            <w:shd w:fill="F8FAFC"/>
            <w:tcMar>
              <w:top w:w="80" w:type="dxa"/>
              <w:bottom w:w="80" w:type="dxa"/>
              <w:left w:w="120" w:type="dxa"/>
              <w:right w:w="120" w:type="dxa"/>
            </w:tcMar>
          </w:tcPr>
          <w:p>
            <w:pPr>
              <w:spacing w:after="0"/>
            </w:pPr>
            <w:r>
              <w:rPr>
                <w:rFonts w:ascii="Calibri" w:hAnsi="Calibri"/>
                <w:b/>
                <w:color w:val="0F172A"/>
                <w:sz w:val="19"/>
              </w:rPr>
              <w:t xml:space="preserve">Leadership: </w:t>
            </w:r>
            <w:r>
              <w:rPr>
                <w:rFonts w:ascii="Calibri" w:hAnsi="Calibri"/>
                <w:color w:val="1F2937"/>
                <w:sz w:val="19"/>
              </w:rPr>
              <w:t>Veer Khanna (CTO), Sheiden Borges (CEO), Shashank Jajodia (CFO)</w:t>
            </w:r>
          </w:p>
        </w:tc>
      </w:tr>
    </w:tbl>
    <w:p>
      <w:pPr>
        <w:spacing w:after="160"/>
      </w:pPr>
    </w:p>
    <w:p>
      <w:pPr>
        <w:pStyle w:val="Heading1"/>
        <w:spacing w:before="280" w:after="120"/>
      </w:pPr>
      <w:r>
        <w:rPr>
          <w:rFonts w:ascii="Segoe UI" w:hAnsi="Segoe UI"/>
          <w:b/>
          <w:color w:val="4F1FD7"/>
          <w:sz w:val="28"/>
        </w:rPr>
        <w:t>1. Executive Summary &amp; Timeline Overview</w:t>
      </w:r>
    </w:p>
    <w:p>
      <w:pPr>
        <w:spacing w:line="276" w:lineRule="auto" w:after="160"/>
      </w:pPr>
      <w:r>
        <w:rPr>
          <w:rFonts w:ascii="Calibri" w:hAnsi="Calibri"/>
          <w:color w:val="1F2937"/>
          <w:sz w:val="21"/>
        </w:rPr>
        <w:t>With zero external third-party dependencies (no external banking API sandbox approval delays and no KYC vendor latency), the entire engineering lifecycle is 100% self-contained and under direct team control. This allows us to adopt a sharp, conservative 6-week engineering schedule (September 1 – October 16, 2026). The conservative buffer is intentionally concentrated on UI/UX micro-interactions, responsive polish, and seamlessly ingesting the CFO's reworked financial distributions.</w:t>
      </w:r>
    </w:p>
    <w:tbl>
      <w:tblPr>
        <w:tblW w:type="auto" w:w="0"/>
        <w:jc w:val="center"/>
        <w:tblLayout w:type="fixed"/>
        <w:tblLook w:firstColumn="1" w:firstRow="1" w:lastColumn="0" w:lastRow="0" w:noHBand="0" w:noVBand="1" w:val="04A0"/>
      </w:tblPr>
      <w:tblGrid>
        <w:gridCol w:w="9936"/>
      </w:tblGrid>
      <w:tr>
        <w:tc>
          <w:tcPr>
            <w:tcW w:type="dxa" w:w="9936"/>
            <w:shd w:fill="F5F3FF"/>
            <w:tcMar>
              <w:top w:w="140" w:type="dxa"/>
              <w:bottom w:w="140" w:type="dxa"/>
              <w:left w:w="200" w:type="dxa"/>
              <w:right w:w="200" w:type="dxa"/>
            </w:tcMar>
            <w:tcBorders>
              <w:left w:val="single" w:sz="24" w:space="0" w:color="4F1FD7"/>
              <w:top w:val="none"/>
              <w:right w:val="none"/>
              <w:bottom w:val="none"/>
            </w:tcBorders>
          </w:tcPr>
          <w:p>
            <w:pPr>
              <w:spacing w:before="0" w:after="40" w:line="276" w:lineRule="auto"/>
            </w:pPr>
            <w:r>
              <w:rPr>
                <w:rFonts w:ascii="Calibri" w:hAnsi="Calibri"/>
                <w:b/>
                <w:color w:val="1F2937"/>
                <w:sz w:val="20"/>
              </w:rPr>
              <w:t xml:space="preserve">CFO Financial Rework Integration: </w:t>
            </w:r>
            <w:r>
              <w:rPr>
                <w:rFonts w:ascii="Calibri" w:hAnsi="Calibri"/>
                <w:color w:val="1F2937"/>
                <w:sz w:val="20"/>
              </w:rPr>
              <w:t>This roadmap explicitly schedules the financial model revisions by Shashank Jajodia (CFO) regarding basket asset distributions, expected yields, and rebalancing economics. Decoupling basket calculations into a dynamic configuration schema (src/data/baskets.config.ts) ensures the CFO's reworked numbers can be ingested and tested in under one hour without blocking frontend development.</w:t>
            </w:r>
          </w:p>
        </w:tc>
      </w:tr>
    </w:tbl>
    <w:p>
      <w:pPr>
        <w:spacing w:after="120"/>
      </w:pPr>
    </w:p>
    <w:p>
      <w:pPr>
        <w:spacing w:after="40"/>
      </w:pPr>
    </w:p>
    <w:p>
      <w:pPr>
        <w:spacing w:after="80"/>
      </w:pPr>
      <w:r>
        <w:rPr>
          <w:rFonts w:ascii="Calibri" w:hAnsi="Calibri"/>
          <w:b/>
          <w:color w:val="0F172A"/>
          <w:sz w:val="20"/>
        </w:rPr>
        <w:t>Table 1.1: Self-Contained 6-Week Phase &amp; Milestone Schedule</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1728"/>
            <w:shd w:fill="4F1FD7"/>
            <w:tcMar>
              <w:top w:w="100" w:type="dxa"/>
              <w:bottom w:w="100" w:type="dxa"/>
              <w:left w:w="120" w:type="dxa"/>
              <w:right w:w="120" w:type="dxa"/>
            </w:tcMar>
          </w:tcPr>
          <w:p>
            <w:pPr>
              <w:spacing w:after="0"/>
            </w:pPr>
            <w:r>
              <w:rPr>
                <w:rFonts w:ascii="Calibri" w:hAnsi="Calibri"/>
                <w:b/>
                <w:color w:val="FFFFFF"/>
                <w:sz w:val="19"/>
              </w:rPr>
              <w:t>Timeline</w:t>
            </w:r>
          </w:p>
        </w:tc>
        <w:tc>
          <w:tcPr>
            <w:tcW w:type="dxa" w:w="3168"/>
            <w:shd w:fill="4F1FD7"/>
            <w:tcMar>
              <w:top w:w="100" w:type="dxa"/>
              <w:bottom w:w="100" w:type="dxa"/>
              <w:left w:w="120" w:type="dxa"/>
              <w:right w:w="120" w:type="dxa"/>
            </w:tcMar>
          </w:tcPr>
          <w:p>
            <w:pPr>
              <w:spacing w:after="0"/>
            </w:pPr>
            <w:r>
              <w:rPr>
                <w:rFonts w:ascii="Calibri" w:hAnsi="Calibri"/>
                <w:b/>
                <w:color w:val="FFFFFF"/>
                <w:sz w:val="19"/>
              </w:rPr>
              <w:t>Phase &amp; Focus Area</w:t>
            </w:r>
          </w:p>
        </w:tc>
        <w:tc>
          <w:tcPr>
            <w:tcW w:type="dxa" w:w="3312"/>
            <w:shd w:fill="4F1FD7"/>
            <w:tcMar>
              <w:top w:w="100" w:type="dxa"/>
              <w:bottom w:w="100" w:type="dxa"/>
              <w:left w:w="120" w:type="dxa"/>
              <w:right w:w="120" w:type="dxa"/>
            </w:tcMar>
          </w:tcPr>
          <w:p>
            <w:pPr>
              <w:spacing w:after="0"/>
            </w:pPr>
            <w:r>
              <w:rPr>
                <w:rFonts w:ascii="Calibri" w:hAnsi="Calibri"/>
                <w:b/>
                <w:color w:val="FFFFFF"/>
                <w:sz w:val="19"/>
              </w:rPr>
              <w:t>Key Deliverables</w:t>
            </w:r>
          </w:p>
        </w:tc>
        <w:tc>
          <w:tcPr>
            <w:tcW w:type="dxa" w:w="1728"/>
            <w:shd w:fill="4F1FD7"/>
            <w:tcMar>
              <w:top w:w="100" w:type="dxa"/>
              <w:bottom w:w="100" w:type="dxa"/>
              <w:left w:w="120" w:type="dxa"/>
              <w:right w:w="120" w:type="dxa"/>
            </w:tcMar>
          </w:tcPr>
          <w:p>
            <w:pPr>
              <w:spacing w:after="0"/>
            </w:pPr>
            <w:r>
              <w:rPr>
                <w:rFonts w:ascii="Calibri" w:hAnsi="Calibri"/>
                <w:b/>
                <w:color w:val="FFFFFF"/>
                <w:sz w:val="19"/>
              </w:rPr>
              <w:t>Target Milestone</w:t>
            </w:r>
          </w:p>
        </w:tc>
      </w:tr>
      <w:tr>
        <w:tc>
          <w:tcPr>
            <w:tcW w:type="dxa" w:w="1728"/>
            <w:shd w:fill="F8FAFC"/>
            <w:tcMar>
              <w:top w:w="90" w:type="dxa"/>
              <w:bottom w:w="90" w:type="dxa"/>
              <w:left w:w="110" w:type="dxa"/>
              <w:right w:w="110" w:type="dxa"/>
            </w:tcMar>
          </w:tcPr>
          <w:p>
            <w:pPr>
              <w:spacing w:after="0" w:line="264" w:lineRule="auto"/>
            </w:pPr>
            <w:r>
              <w:rPr>
                <w:rFonts w:ascii="Calibri" w:hAnsi="Calibri"/>
                <w:color w:val="1F2937"/>
                <w:sz w:val="18"/>
              </w:rPr>
              <w:t>Sept 01 - 10</w:t>
              <w:br/>
              <w:t>(10 Days)</w:t>
            </w:r>
          </w:p>
        </w:tc>
        <w:tc>
          <w:tcPr>
            <w:tcW w:type="dxa" w:w="3168"/>
            <w:shd w:fill="F8FAFC"/>
            <w:tcMar>
              <w:top w:w="90" w:type="dxa"/>
              <w:bottom w:w="90" w:type="dxa"/>
              <w:left w:w="110" w:type="dxa"/>
              <w:right w:w="110" w:type="dxa"/>
            </w:tcMar>
          </w:tcPr>
          <w:p>
            <w:pPr>
              <w:spacing w:after="0" w:line="264" w:lineRule="auto"/>
            </w:pPr>
            <w:r>
              <w:rPr>
                <w:rFonts w:ascii="Calibri" w:hAnsi="Calibri"/>
                <w:color w:val="1F2937"/>
                <w:sz w:val="18"/>
              </w:rPr>
              <w:t>Phase 1: UI/UX Deep Polish &amp; Config Decoupling</w:t>
            </w:r>
          </w:p>
        </w:tc>
        <w:tc>
          <w:tcPr>
            <w:tcW w:type="dxa" w:w="3312"/>
            <w:shd w:fill="F8FAFC"/>
            <w:tcMar>
              <w:top w:w="90" w:type="dxa"/>
              <w:bottom w:w="90" w:type="dxa"/>
              <w:left w:w="110" w:type="dxa"/>
              <w:right w:w="110" w:type="dxa"/>
            </w:tcMar>
          </w:tcPr>
          <w:p>
            <w:pPr>
              <w:spacing w:after="0" w:line="264" w:lineRule="auto"/>
            </w:pPr>
            <w:r>
              <w:rPr>
                <w:rFonts w:ascii="Calibri" w:hAnsi="Calibri"/>
                <w:color w:val="1F2937"/>
                <w:sz w:val="18"/>
              </w:rPr>
              <w:t>Custom SVG charts, responsive layouts, ₹10-₹500 slider, dark/light contrast audit, baskets.config.ts setup.</w:t>
            </w:r>
          </w:p>
        </w:tc>
        <w:tc>
          <w:tcPr>
            <w:tcW w:type="dxa" w:w="1728"/>
            <w:shd w:fill="F8FAFC"/>
            <w:tcMar>
              <w:top w:w="90" w:type="dxa"/>
              <w:bottom w:w="90" w:type="dxa"/>
              <w:left w:w="110" w:type="dxa"/>
              <w:right w:w="110" w:type="dxa"/>
            </w:tcMar>
          </w:tcPr>
          <w:p>
            <w:pPr>
              <w:spacing w:after="0" w:line="264" w:lineRule="auto"/>
            </w:pPr>
            <w:r>
              <w:rPr>
                <w:rFonts w:ascii="Calibri" w:hAnsi="Calibri"/>
                <w:b/>
                <w:color w:val="0F172A"/>
                <w:sz w:val="18"/>
              </w:rPr>
              <w:t>Design Complete</w:t>
            </w:r>
          </w:p>
        </w:tc>
      </w:tr>
      <w:tr>
        <w:tc>
          <w:tcPr>
            <w:tcW w:type="dxa" w:w="1728"/>
            <w:shd w:fill="FFFFFF"/>
            <w:tcMar>
              <w:top w:w="90" w:type="dxa"/>
              <w:bottom w:w="90" w:type="dxa"/>
              <w:left w:w="110" w:type="dxa"/>
              <w:right w:w="110" w:type="dxa"/>
            </w:tcMar>
          </w:tcPr>
          <w:p>
            <w:pPr>
              <w:spacing w:after="0" w:line="264" w:lineRule="auto"/>
            </w:pPr>
            <w:r>
              <w:rPr>
                <w:rFonts w:ascii="Calibri" w:hAnsi="Calibri"/>
                <w:color w:val="1F2937"/>
                <w:sz w:val="18"/>
              </w:rPr>
              <w:t>Sept 11 - 20</w:t>
              <w:br/>
              <w:t>(10 Days)</w:t>
            </w:r>
          </w:p>
        </w:tc>
        <w:tc>
          <w:tcPr>
            <w:tcW w:type="dxa" w:w="3168"/>
            <w:shd w:fill="FFFFFF"/>
            <w:tcMar>
              <w:top w:w="90" w:type="dxa"/>
              <w:bottom w:w="90" w:type="dxa"/>
              <w:left w:w="110" w:type="dxa"/>
              <w:right w:w="110" w:type="dxa"/>
            </w:tcMar>
          </w:tcPr>
          <w:p>
            <w:pPr>
              <w:spacing w:after="0" w:line="264" w:lineRule="auto"/>
            </w:pPr>
            <w:r>
              <w:rPr>
                <w:rFonts w:ascii="Calibri" w:hAnsi="Calibri"/>
                <w:color w:val="1F2937"/>
                <w:sz w:val="18"/>
              </w:rPr>
              <w:t>Phase 2: State Engine, Calculation Core &amp; Auth API</w:t>
            </w:r>
          </w:p>
        </w:tc>
        <w:tc>
          <w:tcPr>
            <w:tcW w:type="dxa" w:w="3312"/>
            <w:shd w:fill="FFFFFF"/>
            <w:tcMar>
              <w:top w:w="90" w:type="dxa"/>
              <w:bottom w:w="90" w:type="dxa"/>
              <w:left w:w="110" w:type="dxa"/>
              <w:right w:w="110" w:type="dxa"/>
            </w:tcMar>
          </w:tcPr>
          <w:p>
            <w:pPr>
              <w:spacing w:after="0" w:line="264" w:lineRule="auto"/>
            </w:pPr>
            <w:r>
              <w:rPr>
                <w:rFonts w:ascii="Calibri" w:hAnsi="Calibri"/>
                <w:color w:val="1F2937"/>
                <w:sz w:val="18"/>
              </w:rPr>
              <w:t>Persistent client state, 5-min cached /api/ticker, 4-step risk quiz scoring, phone + 4-digit PIN auth.</w:t>
            </w:r>
          </w:p>
        </w:tc>
        <w:tc>
          <w:tcPr>
            <w:tcW w:type="dxa" w:w="1728"/>
            <w:shd w:fill="FFFFFF"/>
            <w:tcMar>
              <w:top w:w="90" w:type="dxa"/>
              <w:bottom w:w="90" w:type="dxa"/>
              <w:left w:w="110" w:type="dxa"/>
              <w:right w:w="110" w:type="dxa"/>
            </w:tcMar>
          </w:tcPr>
          <w:p>
            <w:pPr>
              <w:spacing w:after="0" w:line="264" w:lineRule="auto"/>
            </w:pPr>
            <w:r>
              <w:rPr>
                <w:rFonts w:ascii="Calibri" w:hAnsi="Calibri"/>
                <w:b/>
                <w:color w:val="0F172A"/>
                <w:sz w:val="18"/>
              </w:rPr>
              <w:t>Core Engine Ready</w:t>
            </w:r>
          </w:p>
        </w:tc>
      </w:tr>
      <w:tr>
        <w:tc>
          <w:tcPr>
            <w:tcW w:type="dxa" w:w="1728"/>
            <w:shd w:fill="F5F3FF"/>
            <w:tcMar>
              <w:top w:w="90" w:type="dxa"/>
              <w:bottom w:w="90" w:type="dxa"/>
              <w:left w:w="110" w:type="dxa"/>
              <w:right w:w="110" w:type="dxa"/>
            </w:tcMar>
          </w:tcPr>
          <w:p>
            <w:pPr>
              <w:spacing w:after="0" w:line="264" w:lineRule="auto"/>
            </w:pPr>
            <w:r>
              <w:rPr>
                <w:rFonts w:ascii="Calibri" w:hAnsi="Calibri"/>
                <w:b/>
                <w:color w:val="4F1FD7"/>
                <w:sz w:val="18"/>
              </w:rPr>
              <w:t>★ Sept 15 - 18</w:t>
              <w:br/>
              <w:t>(Mid-Phase 2)</w:t>
            </w:r>
          </w:p>
        </w:tc>
        <w:tc>
          <w:tcPr>
            <w:tcW w:type="dxa" w:w="3168"/>
            <w:shd w:fill="F5F3FF"/>
            <w:tcMar>
              <w:top w:w="90" w:type="dxa"/>
              <w:bottom w:w="90" w:type="dxa"/>
              <w:left w:w="110" w:type="dxa"/>
              <w:right w:w="110" w:type="dxa"/>
            </w:tcMar>
          </w:tcPr>
          <w:p>
            <w:pPr>
              <w:spacing w:after="0" w:line="264" w:lineRule="auto"/>
            </w:pPr>
            <w:r>
              <w:rPr>
                <w:rFonts w:ascii="Calibri" w:hAnsi="Calibri"/>
                <w:color w:val="1F2937"/>
                <w:sz w:val="18"/>
              </w:rPr>
              <w:t>↳ CFO Handover: Reworked Basket Distributions</w:t>
            </w:r>
          </w:p>
        </w:tc>
        <w:tc>
          <w:tcPr>
            <w:tcW w:type="dxa" w:w="3312"/>
            <w:shd w:fill="F5F3FF"/>
            <w:tcMar>
              <w:top w:w="90" w:type="dxa"/>
              <w:bottom w:w="90" w:type="dxa"/>
              <w:left w:w="110" w:type="dxa"/>
              <w:right w:w="110" w:type="dxa"/>
            </w:tcMar>
          </w:tcPr>
          <w:p>
            <w:pPr>
              <w:spacing w:after="0" w:line="264" w:lineRule="auto"/>
            </w:pPr>
            <w:r>
              <w:rPr>
                <w:rFonts w:ascii="Calibri" w:hAnsi="Calibri"/>
                <w:color w:val="1F2937"/>
                <w:sz w:val="18"/>
              </w:rPr>
              <w:t>Ingest Shashank's finalized asset allocations, yield ranges (8-14% / 15-45%), and rebalancing weights.</w:t>
            </w:r>
          </w:p>
        </w:tc>
        <w:tc>
          <w:tcPr>
            <w:tcW w:type="dxa" w:w="1728"/>
            <w:shd w:fill="F5F3FF"/>
            <w:tcMar>
              <w:top w:w="90" w:type="dxa"/>
              <w:bottom w:w="90" w:type="dxa"/>
              <w:left w:w="110" w:type="dxa"/>
              <w:right w:w="110" w:type="dxa"/>
            </w:tcMar>
          </w:tcPr>
          <w:p>
            <w:pPr>
              <w:spacing w:after="0" w:line="264" w:lineRule="auto"/>
            </w:pPr>
            <w:r>
              <w:rPr>
                <w:rFonts w:ascii="Calibri" w:hAnsi="Calibri"/>
                <w:b/>
                <w:color w:val="4F1FD7"/>
                <w:sz w:val="18"/>
              </w:rPr>
              <w:t>CFO Sign-Off</w:t>
            </w:r>
          </w:p>
        </w:tc>
      </w:tr>
      <w:tr>
        <w:tc>
          <w:tcPr>
            <w:tcW w:type="dxa" w:w="1728"/>
            <w:shd w:fill="FFFFFF"/>
            <w:tcMar>
              <w:top w:w="90" w:type="dxa"/>
              <w:bottom w:w="90" w:type="dxa"/>
              <w:left w:w="110" w:type="dxa"/>
              <w:right w:w="110" w:type="dxa"/>
            </w:tcMar>
          </w:tcPr>
          <w:p>
            <w:pPr>
              <w:spacing w:after="0" w:line="264" w:lineRule="auto"/>
            </w:pPr>
            <w:r>
              <w:rPr>
                <w:rFonts w:ascii="Calibri" w:hAnsi="Calibri"/>
                <w:color w:val="1F2937"/>
                <w:sz w:val="18"/>
              </w:rPr>
              <w:t>Sept 21 - 28</w:t>
              <w:br/>
              <w:t>(8 Days)</w:t>
            </w:r>
          </w:p>
        </w:tc>
        <w:tc>
          <w:tcPr>
            <w:tcW w:type="dxa" w:w="3168"/>
            <w:shd w:fill="FFFFFF"/>
            <w:tcMar>
              <w:top w:w="90" w:type="dxa"/>
              <w:bottom w:w="90" w:type="dxa"/>
              <w:left w:w="110" w:type="dxa"/>
              <w:right w:w="110" w:type="dxa"/>
            </w:tcMar>
          </w:tcPr>
          <w:p>
            <w:pPr>
              <w:spacing w:after="0" w:line="264" w:lineRule="auto"/>
            </w:pPr>
            <w:r>
              <w:rPr>
                <w:rFonts w:ascii="Calibri" w:hAnsi="Calibri"/>
                <w:color w:val="1F2937"/>
                <w:sz w:val="18"/>
              </w:rPr>
              <w:t>Phase 3: Interactive Payment Modals &amp; Webhooks</w:t>
            </w:r>
          </w:p>
        </w:tc>
        <w:tc>
          <w:tcPr>
            <w:tcW w:type="dxa" w:w="3312"/>
            <w:shd w:fill="FFFFFF"/>
            <w:tcMar>
              <w:top w:w="90" w:type="dxa"/>
              <w:bottom w:w="90" w:type="dxa"/>
              <w:left w:w="110" w:type="dxa"/>
              <w:right w:w="110" w:type="dxa"/>
            </w:tcMar>
          </w:tcPr>
          <w:p>
            <w:pPr>
              <w:spacing w:after="0" w:line="264" w:lineRule="auto"/>
            </w:pPr>
            <w:r>
              <w:rPr>
                <w:rFonts w:ascii="Calibri" w:hAnsi="Calibri"/>
                <w:color w:val="1F2937"/>
                <w:sz w:val="18"/>
              </w:rPr>
              <w:t>Seamless UPI Autopay mandate creation simulation, deposit/withdraw modals, Google Apps Script lead capture.</w:t>
            </w:r>
          </w:p>
        </w:tc>
        <w:tc>
          <w:tcPr>
            <w:tcW w:type="dxa" w:w="1728"/>
            <w:shd w:fill="FFFFFF"/>
            <w:tcMar>
              <w:top w:w="90" w:type="dxa"/>
              <w:bottom w:w="90" w:type="dxa"/>
              <w:left w:w="110" w:type="dxa"/>
              <w:right w:w="110" w:type="dxa"/>
            </w:tcMar>
          </w:tcPr>
          <w:p>
            <w:pPr>
              <w:spacing w:after="0" w:line="264" w:lineRule="auto"/>
            </w:pPr>
            <w:r>
              <w:rPr>
                <w:rFonts w:ascii="Calibri" w:hAnsi="Calibri"/>
                <w:b/>
                <w:color w:val="0F172A"/>
                <w:sz w:val="18"/>
              </w:rPr>
              <w:t>Feature Complete</w:t>
            </w:r>
          </w:p>
        </w:tc>
      </w:tr>
      <w:tr>
        <w:tc>
          <w:tcPr>
            <w:tcW w:type="dxa" w:w="1728"/>
            <w:shd w:fill="F8FAFC"/>
            <w:tcMar>
              <w:top w:w="90" w:type="dxa"/>
              <w:bottom w:w="90" w:type="dxa"/>
              <w:left w:w="110" w:type="dxa"/>
              <w:right w:w="110" w:type="dxa"/>
            </w:tcMar>
          </w:tcPr>
          <w:p>
            <w:pPr>
              <w:spacing w:after="0" w:line="264" w:lineRule="auto"/>
            </w:pPr>
            <w:r>
              <w:rPr>
                <w:rFonts w:ascii="Calibri" w:hAnsi="Calibri"/>
                <w:color w:val="1F2937"/>
                <w:sz w:val="18"/>
              </w:rPr>
              <w:t>Sept 29 - Oct 08</w:t>
              <w:br/>
              <w:t>(10 Days)</w:t>
            </w:r>
          </w:p>
        </w:tc>
        <w:tc>
          <w:tcPr>
            <w:tcW w:type="dxa" w:w="3168"/>
            <w:shd w:fill="F8FAFC"/>
            <w:tcMar>
              <w:top w:w="90" w:type="dxa"/>
              <w:bottom w:w="90" w:type="dxa"/>
              <w:left w:w="110" w:type="dxa"/>
              <w:right w:w="110" w:type="dxa"/>
            </w:tcMar>
          </w:tcPr>
          <w:p>
            <w:pPr>
              <w:spacing w:after="0" w:line="264" w:lineRule="auto"/>
            </w:pPr>
            <w:r>
              <w:rPr>
                <w:rFonts w:ascii="Calibri" w:hAnsi="Calibri"/>
                <w:color w:val="1F2937"/>
                <w:sz w:val="18"/>
              </w:rPr>
              <w:t>Phase 4: Founder Dogfooding &amp; CTO Polish Loop</w:t>
            </w:r>
          </w:p>
        </w:tc>
        <w:tc>
          <w:tcPr>
            <w:tcW w:type="dxa" w:w="3312"/>
            <w:shd w:fill="F8FAFC"/>
            <w:tcMar>
              <w:top w:w="90" w:type="dxa"/>
              <w:bottom w:w="90" w:type="dxa"/>
              <w:left w:w="110" w:type="dxa"/>
              <w:right w:w="110" w:type="dxa"/>
            </w:tcMar>
          </w:tcPr>
          <w:p>
            <w:pPr>
              <w:spacing w:after="0" w:line="264" w:lineRule="auto"/>
            </w:pPr>
            <w:r>
              <w:rPr>
                <w:rFonts w:ascii="Calibri" w:hAnsi="Calibri"/>
                <w:color w:val="1F2937"/>
                <w:sz w:val="18"/>
              </w:rPr>
              <w:t>Dedicated dogfooding across iOS/Android by Veer, Sheiden &amp; Shashank, micro-interactions, feature freeze.</w:t>
            </w:r>
          </w:p>
        </w:tc>
        <w:tc>
          <w:tcPr>
            <w:tcW w:type="dxa" w:w="1728"/>
            <w:shd w:fill="F8FAFC"/>
            <w:tcMar>
              <w:top w:w="90" w:type="dxa"/>
              <w:bottom w:w="90" w:type="dxa"/>
              <w:left w:w="110" w:type="dxa"/>
              <w:right w:w="110" w:type="dxa"/>
            </w:tcMar>
          </w:tcPr>
          <w:p>
            <w:pPr>
              <w:spacing w:after="0" w:line="264" w:lineRule="auto"/>
            </w:pPr>
            <w:r>
              <w:rPr>
                <w:rFonts w:ascii="Calibri" w:hAnsi="Calibri"/>
                <w:b/>
                <w:color w:val="0F172A"/>
                <w:sz w:val="18"/>
              </w:rPr>
              <w:t>CTO Satisfaction (Buffer)</w:t>
            </w:r>
          </w:p>
        </w:tc>
      </w:tr>
    </w:tbl>
    <w:p>
      <w:pPr>
        <w:spacing w:after="160"/>
      </w:pPr>
    </w:p>
    <w:p>
      <w:pPr>
        <w:pStyle w:val="Heading1"/>
        <w:spacing w:before="280" w:after="120"/>
      </w:pPr>
      <w:r>
        <w:rPr>
          <w:rFonts w:ascii="Segoe UI" w:hAnsi="Segoe UI"/>
          <w:b/>
          <w:color w:val="4F1FD7"/>
          <w:sz w:val="28"/>
        </w:rPr>
        <w:t>2. 'Iterated to Satisfaction' Definition of Done (DoD)</w:t>
      </w:r>
    </w:p>
    <w:p>
      <w:pPr>
        <w:spacing w:before="40" w:after="80" w:line="276" w:lineRule="auto"/>
      </w:pPr>
      <w:r>
        <w:rPr>
          <w:rFonts w:ascii="Calibri" w:hAnsi="Calibri"/>
          <w:b/>
          <w:color w:val="0F172A"/>
          <w:sz w:val="20"/>
        </w:rPr>
        <w:t xml:space="preserve">1. Visual &amp; Interaction Polish (CTO Standard): </w:t>
      </w:r>
      <w:r>
        <w:rPr>
          <w:rFonts w:ascii="Calibri" w:hAnsi="Calibri"/>
          <w:color w:val="1F2937"/>
          <w:sz w:val="20"/>
        </w:rPr>
        <w:t>Flawless typography hierarchy, consistent 4pt grid alignment, and verified dark/light theme contrast. Fluid Framer Motion physics on amount sliders, portfolio charts, tab transitions, and confetti triggers. Zero layout jank across mobile (360px-430px) and desktop (1280px-1920px).</w:t>
      </w:r>
    </w:p>
    <w:p>
      <w:pPr>
        <w:spacing w:before="40" w:after="80" w:line="276" w:lineRule="auto"/>
      </w:pPr>
      <w:r>
        <w:rPr>
          <w:rFonts w:ascii="Calibri" w:hAnsi="Calibri"/>
          <w:b/>
          <w:color w:val="0F172A"/>
          <w:sz w:val="20"/>
        </w:rPr>
        <w:t xml:space="preserve">2. CFO Financial &amp; Mathematical Integrity: </w:t>
      </w:r>
      <w:r>
        <w:rPr>
          <w:rFonts w:ascii="Calibri" w:hAnsi="Calibri"/>
          <w:color w:val="1F2937"/>
          <w:sz w:val="20"/>
        </w:rPr>
        <w:t>Penny-accurate Rupee Cost Averaging (RCA) compounding math incorporating the CFO's finalized asset allocations, rebalancing schedules, and volatility bands. Live projection curves dynamically synchronizing with updated annualized yield models (Low Risk vs High Risk).</w:t>
      </w:r>
    </w:p>
    <w:p>
      <w:pPr>
        <w:spacing w:before="40" w:after="80" w:line="276" w:lineRule="auto"/>
      </w:pPr>
      <w:r>
        <w:rPr>
          <w:rFonts w:ascii="Calibri" w:hAnsi="Calibri"/>
          <w:b/>
          <w:color w:val="0F172A"/>
          <w:sz w:val="20"/>
        </w:rPr>
        <w:t xml:space="preserve">3. Seamless Interactive Payment &amp; Mandate Simulation: </w:t>
      </w:r>
      <w:r>
        <w:rPr>
          <w:rFonts w:ascii="Calibri" w:hAnsi="Calibri"/>
          <w:color w:val="1F2937"/>
          <w:sz w:val="20"/>
        </w:rPr>
        <w:t>Instantaneous, bug-free UPI Autopay mandate creation and deposit/withdrawal flows with complete error state handling. Reliable webhook logging for waitlist submissions and lead capture.</w:t>
      </w:r>
    </w:p>
    <w:p>
      <w:pPr>
        <w:spacing w:before="40" w:after="80" w:line="276" w:lineRule="auto"/>
      </w:pPr>
      <w:r>
        <w:rPr>
          <w:rFonts w:ascii="Calibri" w:hAnsi="Calibri"/>
          <w:b/>
          <w:color w:val="0F172A"/>
          <w:sz w:val="20"/>
        </w:rPr>
        <w:t xml:space="preserve">4. Frictionless Onboarding: </w:t>
      </w:r>
      <w:r>
        <w:rPr>
          <w:rFonts w:ascii="Calibri" w:hAnsi="Calibri"/>
          <w:color w:val="1F2937"/>
          <w:sz w:val="20"/>
        </w:rPr>
        <w:t>4-question risk assessment quiz completes in under 30 seconds with immediate, dynamic basket recommendations.</w:t>
      </w:r>
    </w:p>
    <w:p>
      <w:pPr>
        <w:pStyle w:val="Heading1"/>
        <w:spacing w:before="320" w:after="120"/>
      </w:pPr>
      <w:r>
        <w:rPr>
          <w:rFonts w:ascii="Segoe UI" w:hAnsi="Segoe UI"/>
          <w:b/>
          <w:color w:val="4F1FD7"/>
          <w:sz w:val="28"/>
        </w:rPr>
        <w:t>3. Detailed Phase-by-Phase Execution Breakdown</w:t>
      </w:r>
    </w:p>
    <w:p>
      <w:pPr>
        <w:pStyle w:val="Heading2"/>
        <w:spacing w:before="200" w:after="80"/>
      </w:pPr>
      <w:r>
        <w:rPr>
          <w:rFonts w:ascii="Segoe UI" w:hAnsi="Segoe UI"/>
          <w:b/>
          <w:color w:val="0F172A"/>
          <w:sz w:val="23"/>
        </w:rPr>
        <w:t>Phase 1: UI/UX Deep Polish, Design Tokens &amp; Config Architecture (Sept 1 – Sept 10, 2026 (10 Days))</w:t>
      </w:r>
    </w:p>
    <w:p>
      <w:pPr>
        <w:spacing w:before="20" w:after="60" w:line="276" w:lineRule="auto"/>
      </w:pPr>
      <w:r>
        <w:rPr>
          <w:rFonts w:ascii="Calibri" w:hAnsi="Calibri"/>
          <w:b/>
          <w:color w:val="0F172A"/>
          <w:sz w:val="19"/>
        </w:rPr>
        <w:t xml:space="preserve">• Custom SVG &amp; Canvas Charts: </w:t>
      </w:r>
      <w:r>
        <w:rPr>
          <w:rFonts w:ascii="Calibri" w:hAnsi="Calibri"/>
          <w:color w:val="1F2937"/>
          <w:sz w:val="19"/>
        </w:rPr>
        <w:t>Clean up and harden portfolio trendline charts (green positive trajectory vs benchmark comparison).</w:t>
      </w:r>
    </w:p>
    <w:p>
      <w:pPr>
        <w:spacing w:before="20" w:after="60" w:line="276" w:lineRule="auto"/>
      </w:pPr>
      <w:r>
        <w:rPr>
          <w:rFonts w:ascii="Calibri" w:hAnsi="Calibri"/>
          <w:b/>
          <w:color w:val="0F172A"/>
          <w:sz w:val="19"/>
        </w:rPr>
        <w:t xml:space="preserve">• Interactive Micro-Savings Slider: </w:t>
      </w:r>
      <w:r>
        <w:rPr>
          <w:rFonts w:ascii="Calibri" w:hAnsi="Calibri"/>
          <w:color w:val="1F2937"/>
          <w:sz w:val="19"/>
        </w:rPr>
        <w:t>Refine ₹10–₹500 slider with step physics, quick preset pills (₹10, ₹20, ₹50, ₹100), and live return projections.</w:t>
      </w:r>
    </w:p>
    <w:p>
      <w:pPr>
        <w:spacing w:before="20" w:after="60" w:line="276" w:lineRule="auto"/>
      </w:pPr>
      <w:r>
        <w:rPr>
          <w:rFonts w:ascii="Calibri" w:hAnsi="Calibri"/>
          <w:b/>
          <w:color w:val="0F172A"/>
          <w:sz w:val="19"/>
        </w:rPr>
        <w:t xml:space="preserve">• Architectural Decoupling: </w:t>
      </w:r>
      <w:r>
        <w:rPr>
          <w:rFonts w:ascii="Calibri" w:hAnsi="Calibri"/>
          <w:color w:val="1F2937"/>
          <w:sz w:val="19"/>
        </w:rPr>
        <w:t>Extract basket allocations, yield ranges, and rebalancing rules into a centralized TypeScript configuration (src/data/baskets.config.ts) so UI components render dynamically rather than using hardcoded values.</w:t>
      </w:r>
    </w:p>
    <w:p>
      <w:pPr>
        <w:spacing w:before="20" w:after="60" w:line="276" w:lineRule="auto"/>
      </w:pPr>
      <w:r>
        <w:rPr>
          <w:rFonts w:ascii="Calibri" w:hAnsi="Calibri"/>
          <w:b/>
          <w:color w:val="0F172A"/>
          <w:sz w:val="19"/>
        </w:rPr>
        <w:t xml:space="preserve">• Palette &amp; Theme Contrast: </w:t>
      </w:r>
      <w:r>
        <w:rPr>
          <w:rFonts w:ascii="Calibri" w:hAnsi="Calibri"/>
          <w:color w:val="1F2937"/>
          <w:sz w:val="19"/>
        </w:rPr>
        <w:t>Audit Dark (#08090F) and Light (#F4F6FB) mode palettes with automated WCAG contrast checks.</w:t>
      </w:r>
    </w:p>
    <w:p>
      <w:pPr>
        <w:spacing w:before="20" w:after="60" w:line="276" w:lineRule="auto"/>
      </w:pPr>
      <w:r>
        <w:rPr>
          <w:rFonts w:ascii="Calibri" w:hAnsi="Calibri"/>
          <w:b/>
          <w:color w:val="0F172A"/>
          <w:sz w:val="19"/>
        </w:rPr>
        <w:t xml:space="preserve">• Exit Criteria: </w:t>
      </w:r>
      <w:r>
        <w:rPr>
          <w:rFonts w:ascii="Calibri" w:hAnsi="Calibri"/>
          <w:color w:val="1F2937"/>
          <w:sz w:val="19"/>
        </w:rPr>
        <w:t>Design system freeze; full marketing and app screen UI approved across mobile and desktop.</w:t>
      </w:r>
    </w:p>
    <w:p>
      <w:pPr>
        <w:pStyle w:val="Heading2"/>
        <w:spacing w:before="200" w:after="80"/>
      </w:pPr>
      <w:r>
        <w:rPr>
          <w:rFonts w:ascii="Segoe UI" w:hAnsi="Segoe UI"/>
          <w:b/>
          <w:color w:val="0F172A"/>
          <w:sz w:val="23"/>
        </w:rPr>
        <w:t>Phase 2: State Engine, Calculation Core, Auth &amp; CFO Handover Integration (Sept 11 – Sept 20, 2026 (10 Days))</w:t>
      </w:r>
    </w:p>
    <w:p>
      <w:pPr>
        <w:spacing w:before="20" w:after="60" w:line="276" w:lineRule="auto"/>
      </w:pPr>
      <w:r>
        <w:rPr>
          <w:rFonts w:ascii="Calibri" w:hAnsi="Calibri"/>
          <w:b/>
          <w:color w:val="0F172A"/>
          <w:sz w:val="19"/>
        </w:rPr>
        <w:t xml:space="preserve">• State &amp; Session Store: </w:t>
      </w:r>
      <w:r>
        <w:rPr>
          <w:rFonts w:ascii="Calibri" w:hAnsi="Calibri"/>
          <w:color w:val="1F2937"/>
          <w:sz w:val="19"/>
        </w:rPr>
        <w:t>Build persistent client state (Zustand / React Context) with localStorage fallback.</w:t>
      </w:r>
    </w:p>
    <w:p>
      <w:pPr>
        <w:spacing w:before="20" w:after="60" w:line="276" w:lineRule="auto"/>
      </w:pPr>
      <w:r>
        <w:rPr>
          <w:rFonts w:ascii="Calibri" w:hAnsi="Calibri"/>
          <w:b/>
          <w:color w:val="0F172A"/>
          <w:sz w:val="19"/>
        </w:rPr>
        <w:t xml:space="preserve">• Live Crypto Price Feed: </w:t>
      </w:r>
      <w:r>
        <w:rPr>
          <w:rFonts w:ascii="Calibri" w:hAnsi="Calibri"/>
          <w:color w:val="1F2937"/>
          <w:sz w:val="19"/>
        </w:rPr>
        <w:t>Implement production-grade CoinGecko price feed handler with edge caching (5-minute TTL) and automatic stale-data fallback for /api/ticker.</w:t>
      </w:r>
    </w:p>
    <w:p>
      <w:pPr>
        <w:spacing w:before="20" w:after="60" w:line="276" w:lineRule="auto"/>
      </w:pPr>
      <w:r>
        <w:rPr>
          <w:rFonts w:ascii="Calibri" w:hAnsi="Calibri"/>
          <w:b/>
          <w:color w:val="0F172A"/>
          <w:sz w:val="19"/>
        </w:rPr>
        <w:t xml:space="preserve">• ★ CFO Handover Milestone (Sept 15 – Sept 18): </w:t>
      </w:r>
      <w:r>
        <w:rPr>
          <w:rFonts w:ascii="Calibri" w:hAnsi="Calibri"/>
          <w:color w:val="1F2937"/>
          <w:sz w:val="19"/>
        </w:rPr>
        <w:t>Ingest Shashank's finalized asset allocations (BTC/ETH/USDC for Low Risk; SOL/AVAX/DeFi/BTC for High Risk), calibrated yield ranges (8–14%* / 15–45%*), and rebalancing schedules. Propagate instantly across calculators and quiz scoring.</w:t>
      </w:r>
    </w:p>
    <w:p>
      <w:pPr>
        <w:spacing w:before="20" w:after="60" w:line="276" w:lineRule="auto"/>
      </w:pPr>
      <w:r>
        <w:rPr>
          <w:rFonts w:ascii="Calibri" w:hAnsi="Calibri"/>
          <w:b/>
          <w:color w:val="0F172A"/>
          <w:sz w:val="19"/>
        </w:rPr>
        <w:t xml:space="preserve">• Authentication Flow: </w:t>
      </w:r>
      <w:r>
        <w:rPr>
          <w:rFonts w:ascii="Calibri" w:hAnsi="Calibri"/>
          <w:color w:val="1F2937"/>
          <w:sz w:val="19"/>
        </w:rPr>
        <w:t>Wire up secure phone + 4-digit PIN authentication flow, rate limiting, and lead capture webhook (/api/waitlist).</w:t>
      </w:r>
    </w:p>
    <w:p>
      <w:pPr>
        <w:spacing w:before="20" w:after="60" w:line="276" w:lineRule="auto"/>
      </w:pPr>
      <w:r>
        <w:rPr>
          <w:rFonts w:ascii="Calibri" w:hAnsi="Calibri"/>
          <w:b/>
          <w:color w:val="0F172A"/>
          <w:sz w:val="19"/>
        </w:rPr>
        <w:t xml:space="preserve">• Exit Criteria: </w:t>
      </w:r>
      <w:r>
        <w:rPr>
          <w:rFonts w:ascii="Calibri" w:hAnsi="Calibri"/>
          <w:color w:val="1F2937"/>
          <w:sz w:val="19"/>
        </w:rPr>
        <w:t>CFO-approved financial distributions populated across platform; math verification tests passing with 100% accuracy.</w:t>
      </w:r>
    </w:p>
    <w:p>
      <w:pPr>
        <w:pStyle w:val="Heading2"/>
        <w:spacing w:before="200" w:after="80"/>
      </w:pPr>
      <w:r>
        <w:rPr>
          <w:rFonts w:ascii="Segoe UI" w:hAnsi="Segoe UI"/>
          <w:b/>
          <w:color w:val="0F172A"/>
          <w:sz w:val="23"/>
        </w:rPr>
        <w:t>Phase 3: Interactive Payment Modals, Webhooks &amp; Flow Completion (Sept 21 – Sept 28, 2026 (8 Days))</w:t>
      </w:r>
    </w:p>
    <w:p>
      <w:pPr>
        <w:spacing w:before="20" w:after="60" w:line="276" w:lineRule="auto"/>
      </w:pPr>
      <w:r>
        <w:rPr>
          <w:rFonts w:ascii="Calibri" w:hAnsi="Calibri"/>
          <w:b/>
          <w:color w:val="0F172A"/>
          <w:sz w:val="19"/>
        </w:rPr>
        <w:t xml:space="preserve">• Seamless Payment Modals: </w:t>
      </w:r>
      <w:r>
        <w:rPr>
          <w:rFonts w:ascii="Calibri" w:hAnsi="Calibri"/>
          <w:color w:val="1F2937"/>
          <w:sz w:val="19"/>
        </w:rPr>
        <w:t>Build complete interactive payment flows: Mandate Setup, Bank Selection, UPI App Selection (GPay, PhonePe, Paytm, BHIM), and instant celebration confirmations.</w:t>
      </w:r>
    </w:p>
    <w:p>
      <w:pPr>
        <w:spacing w:before="20" w:after="60" w:line="276" w:lineRule="auto"/>
      </w:pPr>
      <w:r>
        <w:rPr>
          <w:rFonts w:ascii="Calibri" w:hAnsi="Calibri"/>
          <w:b/>
          <w:color w:val="0F172A"/>
          <w:sz w:val="19"/>
        </w:rPr>
        <w:t xml:space="preserve">• User Mandate Controls: </w:t>
      </w:r>
      <w:r>
        <w:rPr>
          <w:rFonts w:ascii="Calibri" w:hAnsi="Calibri"/>
          <w:color w:val="1F2937"/>
          <w:sz w:val="19"/>
        </w:rPr>
        <w:t>Implement full user controls to pause daily investments, modify daily amounts, and request simulated withdrawals.</w:t>
      </w:r>
    </w:p>
    <w:p>
      <w:pPr>
        <w:spacing w:before="20" w:after="60" w:line="276" w:lineRule="auto"/>
      </w:pPr>
      <w:r>
        <w:rPr>
          <w:rFonts w:ascii="Calibri" w:hAnsi="Calibri"/>
          <w:b/>
          <w:color w:val="0F172A"/>
          <w:sz w:val="19"/>
        </w:rPr>
        <w:t xml:space="preserve">• Lead Pipeline &amp; Webhooks: </w:t>
      </w:r>
      <w:r>
        <w:rPr>
          <w:rFonts w:ascii="Calibri" w:hAnsi="Calibri"/>
          <w:color w:val="1F2937"/>
          <w:sz w:val="19"/>
        </w:rPr>
        <w:t>Connect waitlist and contact forms directly to Google Apps Script / Discord webhook endpoints with retry mechanisms.</w:t>
      </w:r>
    </w:p>
    <w:p>
      <w:pPr>
        <w:spacing w:before="20" w:after="60" w:line="276" w:lineRule="auto"/>
      </w:pPr>
      <w:r>
        <w:rPr>
          <w:rFonts w:ascii="Calibri" w:hAnsi="Calibri"/>
          <w:b/>
          <w:color w:val="0F172A"/>
          <w:sz w:val="19"/>
        </w:rPr>
        <w:t xml:space="preserve">• Error Boundaries: </w:t>
      </w:r>
      <w:r>
        <w:rPr>
          <w:rFonts w:ascii="Calibri" w:hAnsi="Calibri"/>
          <w:color w:val="1F2937"/>
          <w:sz w:val="19"/>
        </w:rPr>
        <w:t>Add defensive error boundary handling, offline state toasts, and input validation guards across all forms.</w:t>
      </w:r>
    </w:p>
    <w:p>
      <w:pPr>
        <w:spacing w:before="20" w:after="60" w:line="276" w:lineRule="auto"/>
      </w:pPr>
      <w:r>
        <w:rPr>
          <w:rFonts w:ascii="Calibri" w:hAnsi="Calibri"/>
          <w:b/>
          <w:color w:val="0F172A"/>
          <w:sz w:val="19"/>
        </w:rPr>
        <w:t xml:space="preserve">• Exit Criteria: </w:t>
      </w:r>
      <w:r>
        <w:rPr>
          <w:rFonts w:ascii="Calibri" w:hAnsi="Calibri"/>
          <w:color w:val="1F2937"/>
          <w:sz w:val="19"/>
        </w:rPr>
        <w:t>All user flows (onboarding → quiz → dashboard → mandate setup → withdrawal) execute end-to-end without dead ends.</w:t>
      </w:r>
    </w:p>
    <w:p>
      <w:pPr>
        <w:pStyle w:val="Heading2"/>
        <w:spacing w:before="200" w:after="80"/>
      </w:pPr>
      <w:r>
        <w:rPr>
          <w:rFonts w:ascii="Segoe UI" w:hAnsi="Segoe UI"/>
          <w:b/>
          <w:color w:val="0F172A"/>
          <w:sz w:val="23"/>
        </w:rPr>
        <w:t>Phase 4: Founder Dogfooding &amp; CTO Polish Iteration Cycle (Sept 29 – Oct 08, 2026 (10 Days - Dedicated Buffer))</w:t>
      </w:r>
    </w:p>
    <w:p>
      <w:pPr>
        <w:spacing w:before="20" w:after="60" w:line="276" w:lineRule="auto"/>
      </w:pPr>
      <w:r>
        <w:rPr>
          <w:rFonts w:ascii="Calibri" w:hAnsi="Calibri"/>
          <w:b/>
          <w:color w:val="0F172A"/>
          <w:sz w:val="19"/>
        </w:rPr>
        <w:t xml:space="preserve">• Dogfooding Cadence: </w:t>
      </w:r>
      <w:r>
        <w:rPr>
          <w:rFonts w:ascii="Calibri" w:hAnsi="Calibri"/>
          <w:color w:val="1F2937"/>
          <w:sz w:val="19"/>
        </w:rPr>
        <w:t>Daily internal testing by Veer Khanna, Sheiden Borges, and Shashank Jajodia on real iOS and Android devices.</w:t>
      </w:r>
    </w:p>
    <w:p>
      <w:pPr>
        <w:spacing w:before="20" w:after="60" w:line="276" w:lineRule="auto"/>
      </w:pPr>
      <w:r>
        <w:rPr>
          <w:rFonts w:ascii="Calibri" w:hAnsi="Calibri"/>
          <w:b/>
          <w:color w:val="0F172A"/>
          <w:sz w:val="19"/>
        </w:rPr>
        <w:t xml:space="preserve">• CFO Financial Spot-Checks: </w:t>
      </w:r>
      <w:r>
        <w:rPr>
          <w:rFonts w:ascii="Calibri" w:hAnsi="Calibri"/>
          <w:color w:val="1F2937"/>
          <w:sz w:val="19"/>
        </w:rPr>
        <w:t>Financial audits on real calculation outputs, historical backtesting curves, and portfolio rebalancing displays.</w:t>
      </w:r>
    </w:p>
    <w:p>
      <w:pPr>
        <w:spacing w:before="20" w:after="60" w:line="276" w:lineRule="auto"/>
      </w:pPr>
      <w:r>
        <w:rPr>
          <w:rFonts w:ascii="Calibri" w:hAnsi="Calibri"/>
          <w:b/>
          <w:color w:val="0F172A"/>
          <w:sz w:val="19"/>
        </w:rPr>
        <w:t xml:space="preserve">• Rapid Polish Sprints: </w:t>
      </w:r>
      <w:r>
        <w:rPr>
          <w:rFonts w:ascii="Calibri" w:hAnsi="Calibri"/>
          <w:color w:val="1F2937"/>
          <w:sz w:val="19"/>
        </w:rPr>
        <w:t>Micro-interaction tuning, copy precision, button tap targets, animation timing, and offline error states.</w:t>
      </w:r>
    </w:p>
    <w:p>
      <w:pPr>
        <w:spacing w:before="20" w:after="60" w:line="276" w:lineRule="auto"/>
      </w:pPr>
      <w:r>
        <w:rPr>
          <w:rFonts w:ascii="Calibri" w:hAnsi="Calibri"/>
          <w:b/>
          <w:color w:val="0F172A"/>
          <w:sz w:val="19"/>
        </w:rPr>
        <w:t xml:space="preserve">• Exit Criteria: </w:t>
      </w:r>
      <w:r>
        <w:rPr>
          <w:rFonts w:ascii="Calibri" w:hAnsi="Calibri"/>
          <w:color w:val="1F2937"/>
          <w:sz w:val="19"/>
        </w:rPr>
        <w:t>Written CTO and CFO sign-offs confirming quality, aesthetics, and financial accuracy. Feature freeze enacted.</w:t>
      </w:r>
    </w:p>
    <w:p>
      <w:pPr>
        <w:pStyle w:val="Heading2"/>
        <w:spacing w:before="200" w:after="80"/>
      </w:pPr>
      <w:r>
        <w:rPr>
          <w:rFonts w:ascii="Segoe UI" w:hAnsi="Segoe UI"/>
          <w:b/>
          <w:color w:val="0F172A"/>
          <w:sz w:val="23"/>
        </w:rPr>
        <w:t>Phase 5: Closed Community Pilot (100 Users) &amp; Production Go-Live (Oct 09 – Oct 16, 2026 (8 Days))</w:t>
      </w:r>
    </w:p>
    <w:p>
      <w:pPr>
        <w:spacing w:before="20" w:after="60" w:line="276" w:lineRule="auto"/>
      </w:pPr>
      <w:r>
        <w:rPr>
          <w:rFonts w:ascii="Calibri" w:hAnsi="Calibri"/>
          <w:b/>
          <w:color w:val="0F172A"/>
          <w:sz w:val="19"/>
        </w:rPr>
        <w:t xml:space="preserve">• Community Preview: </w:t>
      </w:r>
      <w:r>
        <w:rPr>
          <w:rFonts w:ascii="Calibri" w:hAnsi="Calibri"/>
          <w:color w:val="1F2937"/>
          <w:sz w:val="19"/>
        </w:rPr>
        <w:t>Roll out invites to batch 1 waitlist members via WhatsApp Community for platform walkthrough and feedback.</w:t>
      </w:r>
    </w:p>
    <w:p>
      <w:pPr>
        <w:spacing w:before="20" w:after="60" w:line="276" w:lineRule="auto"/>
      </w:pPr>
      <w:r>
        <w:rPr>
          <w:rFonts w:ascii="Calibri" w:hAnsi="Calibri"/>
          <w:b/>
          <w:color w:val="0F172A"/>
          <w:sz w:val="19"/>
        </w:rPr>
        <w:t xml:space="preserve">• Telemetry &amp; Monitoring: </w:t>
      </w:r>
      <w:r>
        <w:rPr>
          <w:rFonts w:ascii="Calibri" w:hAnsi="Calibri"/>
          <w:color w:val="1F2937"/>
          <w:sz w:val="19"/>
        </w:rPr>
        <w:t>Track real-time interaction heatmaps, error logs (Sentry), and performance metrics.</w:t>
      </w:r>
    </w:p>
    <w:p>
      <w:pPr>
        <w:spacing w:before="20" w:after="60" w:line="276" w:lineRule="auto"/>
      </w:pPr>
      <w:r>
        <w:rPr>
          <w:rFonts w:ascii="Calibri" w:hAnsi="Calibri"/>
          <w:b/>
          <w:color w:val="0F172A"/>
          <w:sz w:val="19"/>
        </w:rPr>
        <w:t xml:space="preserve">• Production Cutover: </w:t>
      </w:r>
      <w:r>
        <w:rPr>
          <w:rFonts w:ascii="Calibri" w:hAnsi="Calibri"/>
          <w:color w:val="1F2937"/>
          <w:sz w:val="19"/>
        </w:rPr>
        <w:t>Final DNS cutover to Vercel Production with global edge CDN acceleration on satmix.app / satmix.in.</w:t>
      </w:r>
    </w:p>
    <w:p>
      <w:pPr>
        <w:spacing w:before="20" w:after="60" w:line="276" w:lineRule="auto"/>
      </w:pPr>
      <w:r>
        <w:rPr>
          <w:rFonts w:ascii="Calibri" w:hAnsi="Calibri"/>
          <w:b/>
          <w:color w:val="0F172A"/>
          <w:sz w:val="19"/>
        </w:rPr>
        <w:t xml:space="preserve">• Marketing Activation: </w:t>
      </w:r>
      <w:r>
        <w:rPr>
          <w:rFonts w:ascii="Calibri" w:hAnsi="Calibri"/>
          <w:color w:val="1F2937"/>
          <w:sz w:val="19"/>
        </w:rPr>
        <w:t>Publish founder launch announcements on LinkedIn, X, and Instagram; activate WhatsApp Community onboarding.</w:t>
      </w:r>
    </w:p>
    <w:p>
      <w:pPr>
        <w:spacing w:before="20" w:after="60" w:line="276" w:lineRule="auto"/>
      </w:pPr>
      <w:r>
        <w:rPr>
          <w:rFonts w:ascii="Calibri" w:hAnsi="Calibri"/>
          <w:b/>
          <w:color w:val="0F172A"/>
          <w:sz w:val="19"/>
        </w:rPr>
        <w:t xml:space="preserve">• Exit Criteria: </w:t>
      </w:r>
      <w:r>
        <w:rPr>
          <w:rFonts w:ascii="Calibri" w:hAnsi="Calibri"/>
          <w:color w:val="1F2937"/>
          <w:sz w:val="19"/>
        </w:rPr>
        <w:t>Satmix Website &amp; Webapp 4.0 operating stably in production.</w:t>
      </w:r>
    </w:p>
    <w:p>
      <w:pPr>
        <w:pStyle w:val="Heading1"/>
        <w:spacing w:before="320" w:after="120"/>
      </w:pPr>
      <w:r>
        <w:rPr>
          <w:rFonts w:ascii="Segoe UI" w:hAnsi="Segoe UI"/>
          <w:b/>
          <w:color w:val="4F1FD7"/>
          <w:sz w:val="28"/>
        </w:rPr>
        <w:t>4. Critical Path &amp; Risk Mitigation Matrix</w:t>
      </w:r>
    </w:p>
    <w:tbl>
      <w:tblPr>
        <w:tblW w:type="auto" w:w="0"/>
        <w:jc w:val="center"/>
        <w:tblLayout w:type="fixed"/>
        <w:tblLook w:firstColumn="1" w:firstRow="1" w:lastColumn="0" w:lastRow="0" w:noHBand="0" w:noVBand="1" w:val="04A0"/>
        <w:tblBorders>
          <w:top w:val="single" w:sz="4" w:space="0" w:color="CBD5E1"/>
          <w:bottom w:val="single" w:sz="6" w:space="0" w:color="CBD5E1"/>
          <w:left w:val="none"/>
          <w:right w:val="none"/>
          <w:insideH w:val="single" w:sz="4" w:space="0" w:color="CBD5E1"/>
          <w:insideV w:val="none"/>
        </w:tblBorders>
      </w:tblPr>
      <w:tblGrid>
        <w:gridCol w:w="2484"/>
        <w:gridCol w:w="2484"/>
        <w:gridCol w:w="2484"/>
        <w:gridCol w:w="2484"/>
      </w:tblGrid>
      <w:tr>
        <w:tc>
          <w:tcPr>
            <w:tcW w:type="dxa" w:w="2304"/>
            <w:shd w:fill="1F2937"/>
            <w:tcMar>
              <w:top w:w="90" w:type="dxa"/>
              <w:bottom w:w="90" w:type="dxa"/>
              <w:left w:w="110" w:type="dxa"/>
              <w:right w:w="110" w:type="dxa"/>
            </w:tcMar>
          </w:tcPr>
          <w:p>
            <w:pPr>
              <w:spacing w:after="0"/>
            </w:pPr>
            <w:r>
              <w:rPr>
                <w:rFonts w:ascii="Calibri" w:hAnsi="Calibri"/>
                <w:b/>
                <w:color w:val="FFFFFF"/>
                <w:sz w:val="19"/>
              </w:rPr>
              <w:t>Focus Area</w:t>
            </w:r>
          </w:p>
        </w:tc>
        <w:tc>
          <w:tcPr>
            <w:tcW w:type="dxa" w:w="2592"/>
            <w:shd w:fill="1F2937"/>
            <w:tcMar>
              <w:top w:w="90" w:type="dxa"/>
              <w:bottom w:w="90" w:type="dxa"/>
              <w:left w:w="110" w:type="dxa"/>
              <w:right w:w="110" w:type="dxa"/>
            </w:tcMar>
          </w:tcPr>
          <w:p>
            <w:pPr>
              <w:spacing w:after="0"/>
            </w:pPr>
            <w:r>
              <w:rPr>
                <w:rFonts w:ascii="Calibri" w:hAnsi="Calibri"/>
                <w:b/>
                <w:color w:val="FFFFFF"/>
                <w:sz w:val="19"/>
              </w:rPr>
              <w:t>Potential Risk</w:t>
            </w:r>
          </w:p>
        </w:tc>
        <w:tc>
          <w:tcPr>
            <w:tcW w:type="dxa" w:w="1872"/>
            <w:shd w:fill="1F2937"/>
            <w:tcMar>
              <w:top w:w="90" w:type="dxa"/>
              <w:bottom w:w="90" w:type="dxa"/>
              <w:left w:w="110" w:type="dxa"/>
              <w:right w:w="110" w:type="dxa"/>
            </w:tcMar>
          </w:tcPr>
          <w:p>
            <w:pPr>
              <w:spacing w:after="0"/>
            </w:pPr>
            <w:r>
              <w:rPr>
                <w:rFonts w:ascii="Calibri" w:hAnsi="Calibri"/>
                <w:b/>
                <w:color w:val="FFFFFF"/>
                <w:sz w:val="19"/>
              </w:rPr>
              <w:t>Conservative Buffer</w:t>
            </w:r>
          </w:p>
        </w:tc>
        <w:tc>
          <w:tcPr>
            <w:tcW w:type="dxa" w:w="3168"/>
            <w:shd w:fill="1F2937"/>
            <w:tcMar>
              <w:top w:w="90" w:type="dxa"/>
              <w:bottom w:w="90" w:type="dxa"/>
              <w:left w:w="110" w:type="dxa"/>
              <w:right w:w="110" w:type="dxa"/>
            </w:tcMar>
          </w:tcPr>
          <w:p>
            <w:pPr>
              <w:spacing w:after="0"/>
            </w:pPr>
            <w:r>
              <w:rPr>
                <w:rFonts w:ascii="Calibri" w:hAnsi="Calibri"/>
                <w:b/>
                <w:color w:val="FFFFFF"/>
                <w:sz w:val="19"/>
              </w:rPr>
              <w:t>Mitigation Strategy</w:t>
            </w:r>
          </w:p>
        </w:tc>
      </w:tr>
      <w:tr>
        <w:tc>
          <w:tcPr>
            <w:tcW w:type="dxa" w:w="2304"/>
            <w:shd w:fill="F8FAFC"/>
            <w:tcMar>
              <w:top w:w="80" w:type="dxa"/>
              <w:bottom w:w="80" w:type="dxa"/>
              <w:left w:w="100" w:type="dxa"/>
              <w:right w:w="100" w:type="dxa"/>
            </w:tcMar>
          </w:tcPr>
          <w:p>
            <w:pPr>
              <w:spacing w:after="0" w:line="264" w:lineRule="auto"/>
            </w:pPr>
            <w:r>
              <w:rPr>
                <w:rFonts w:ascii="Calibri" w:hAnsi="Calibri"/>
                <w:b/>
                <w:color w:val="0F172A"/>
                <w:sz w:val="18"/>
              </w:rPr>
              <w:t>CFO Financial Rework</w:t>
            </w:r>
          </w:p>
        </w:tc>
        <w:tc>
          <w:tcPr>
            <w:tcW w:type="dxa" w:w="2592"/>
            <w:shd w:fill="F8FAFC"/>
            <w:tcMar>
              <w:top w:w="80" w:type="dxa"/>
              <w:bottom w:w="80" w:type="dxa"/>
              <w:left w:w="100" w:type="dxa"/>
              <w:right w:w="100" w:type="dxa"/>
            </w:tcMar>
          </w:tcPr>
          <w:p>
            <w:pPr>
              <w:spacing w:after="0" w:line="264" w:lineRule="auto"/>
            </w:pPr>
            <w:r>
              <w:rPr>
                <w:rFonts w:ascii="Calibri" w:hAnsi="Calibri"/>
                <w:color w:val="1F2937"/>
                <w:sz w:val="18"/>
              </w:rPr>
              <w:t>Allocation adjustments take longer than planned</w:t>
            </w:r>
          </w:p>
        </w:tc>
        <w:tc>
          <w:tcPr>
            <w:tcW w:type="dxa" w:w="1872"/>
            <w:shd w:fill="F8FAFC"/>
            <w:tcMar>
              <w:top w:w="80" w:type="dxa"/>
              <w:bottom w:w="80" w:type="dxa"/>
              <w:left w:w="100" w:type="dxa"/>
              <w:right w:w="100" w:type="dxa"/>
            </w:tcMar>
          </w:tcPr>
          <w:p>
            <w:pPr>
              <w:spacing w:after="0" w:line="264" w:lineRule="auto"/>
            </w:pPr>
            <w:r>
              <w:rPr>
                <w:rFonts w:ascii="Calibri" w:hAnsi="Calibri"/>
                <w:color w:val="1F2937"/>
                <w:sz w:val="18"/>
              </w:rPr>
              <w:t>Built into Phase 2 (Sept 15-18)</w:t>
            </w:r>
          </w:p>
        </w:tc>
        <w:tc>
          <w:tcPr>
            <w:tcW w:type="dxa" w:w="3168"/>
            <w:shd w:fill="F8FAFC"/>
            <w:tcMar>
              <w:top w:w="80" w:type="dxa"/>
              <w:bottom w:w="80" w:type="dxa"/>
              <w:left w:w="100" w:type="dxa"/>
              <w:right w:w="100" w:type="dxa"/>
            </w:tcMar>
          </w:tcPr>
          <w:p>
            <w:pPr>
              <w:spacing w:after="0" w:line="264" w:lineRule="auto"/>
            </w:pPr>
            <w:r>
              <w:rPr>
                <w:rFonts w:ascii="Calibri" w:hAnsi="Calibri"/>
                <w:color w:val="1F2937"/>
                <w:sz w:val="18"/>
              </w:rPr>
              <w:t>Decoupled architecture (baskets.config.ts) allows updating all platform math in under 1 hour.</w:t>
            </w:r>
          </w:p>
        </w:tc>
      </w:tr>
      <w:tr>
        <w:tc>
          <w:tcPr>
            <w:tcW w:type="dxa" w:w="2304"/>
            <w:shd w:fill="FFFFFF"/>
            <w:tcMar>
              <w:top w:w="80" w:type="dxa"/>
              <w:bottom w:w="80" w:type="dxa"/>
              <w:left w:w="100" w:type="dxa"/>
              <w:right w:w="100" w:type="dxa"/>
            </w:tcMar>
          </w:tcPr>
          <w:p>
            <w:pPr>
              <w:spacing w:after="0" w:line="264" w:lineRule="auto"/>
            </w:pPr>
            <w:r>
              <w:rPr>
                <w:rFonts w:ascii="Calibri" w:hAnsi="Calibri"/>
                <w:b/>
                <w:color w:val="0F172A"/>
                <w:sz w:val="18"/>
              </w:rPr>
              <w:t>CoinGecko API Failover</w:t>
            </w:r>
          </w:p>
        </w:tc>
        <w:tc>
          <w:tcPr>
            <w:tcW w:type="dxa" w:w="2592"/>
            <w:shd w:fill="FFFFFF"/>
            <w:tcMar>
              <w:top w:w="80" w:type="dxa"/>
              <w:bottom w:w="80" w:type="dxa"/>
              <w:left w:w="100" w:type="dxa"/>
              <w:right w:w="100" w:type="dxa"/>
            </w:tcMar>
          </w:tcPr>
          <w:p>
            <w:pPr>
              <w:spacing w:after="0" w:line="264" w:lineRule="auto"/>
            </w:pPr>
            <w:r>
              <w:rPr>
                <w:rFonts w:ascii="Calibri" w:hAnsi="Calibri"/>
                <w:color w:val="1F2937"/>
                <w:sz w:val="18"/>
              </w:rPr>
              <w:t>Rate limits or temporary uptime issues</w:t>
            </w:r>
          </w:p>
        </w:tc>
        <w:tc>
          <w:tcPr>
            <w:tcW w:type="dxa" w:w="1872"/>
            <w:shd w:fill="FFFFFF"/>
            <w:tcMar>
              <w:top w:w="80" w:type="dxa"/>
              <w:bottom w:w="80" w:type="dxa"/>
              <w:left w:w="100" w:type="dxa"/>
              <w:right w:w="100" w:type="dxa"/>
            </w:tcMar>
          </w:tcPr>
          <w:p>
            <w:pPr>
              <w:spacing w:after="0" w:line="264" w:lineRule="auto"/>
            </w:pPr>
            <w:r>
              <w:rPr>
                <w:rFonts w:ascii="Calibri" w:hAnsi="Calibri"/>
                <w:color w:val="1F2937"/>
                <w:sz w:val="18"/>
              </w:rPr>
              <w:t>Built into Phase 2</w:t>
            </w:r>
          </w:p>
        </w:tc>
        <w:tc>
          <w:tcPr>
            <w:tcW w:type="dxa" w:w="3168"/>
            <w:shd w:fill="FFFFFF"/>
            <w:tcMar>
              <w:top w:w="80" w:type="dxa"/>
              <w:bottom w:w="80" w:type="dxa"/>
              <w:left w:w="100" w:type="dxa"/>
              <w:right w:w="100" w:type="dxa"/>
            </w:tcMar>
          </w:tcPr>
          <w:p>
            <w:pPr>
              <w:spacing w:after="0" w:line="264" w:lineRule="auto"/>
            </w:pPr>
            <w:r>
              <w:rPr>
                <w:rFonts w:ascii="Calibri" w:hAnsi="Calibri"/>
                <w:color w:val="1F2937"/>
                <w:sz w:val="18"/>
              </w:rPr>
              <w:t>5-minute server edge caching + static fallback array prevents empty ticker states.</w:t>
            </w:r>
          </w:p>
        </w:tc>
      </w:tr>
      <w:tr>
        <w:tc>
          <w:tcPr>
            <w:tcW w:type="dxa" w:w="2304"/>
            <w:shd w:fill="F8FAFC"/>
            <w:tcMar>
              <w:top w:w="80" w:type="dxa"/>
              <w:bottom w:w="80" w:type="dxa"/>
              <w:left w:w="100" w:type="dxa"/>
              <w:right w:w="100" w:type="dxa"/>
            </w:tcMar>
          </w:tcPr>
          <w:p>
            <w:pPr>
              <w:spacing w:after="0" w:line="264" w:lineRule="auto"/>
            </w:pPr>
            <w:r>
              <w:rPr>
                <w:rFonts w:ascii="Calibri" w:hAnsi="Calibri"/>
                <w:b/>
                <w:color w:val="0F172A"/>
                <w:sz w:val="18"/>
              </w:rPr>
              <w:t>UI/UX Scope Creep</w:t>
            </w:r>
          </w:p>
        </w:tc>
        <w:tc>
          <w:tcPr>
            <w:tcW w:type="dxa" w:w="2592"/>
            <w:shd w:fill="F8FAFC"/>
            <w:tcMar>
              <w:top w:w="80" w:type="dxa"/>
              <w:bottom w:w="80" w:type="dxa"/>
              <w:left w:w="100" w:type="dxa"/>
              <w:right w:w="100" w:type="dxa"/>
            </w:tcMar>
          </w:tcPr>
          <w:p>
            <w:pPr>
              <w:spacing w:after="0" w:line="264" w:lineRule="auto"/>
            </w:pPr>
            <w:r>
              <w:rPr>
                <w:rFonts w:ascii="Calibri" w:hAnsi="Calibri"/>
                <w:color w:val="1F2937"/>
                <w:sz w:val="18"/>
              </w:rPr>
              <w:t>Unplanned feature additions delaying launch</w:t>
            </w:r>
          </w:p>
        </w:tc>
        <w:tc>
          <w:tcPr>
            <w:tcW w:type="dxa" w:w="1872"/>
            <w:shd w:fill="F8FAFC"/>
            <w:tcMar>
              <w:top w:w="80" w:type="dxa"/>
              <w:bottom w:w="80" w:type="dxa"/>
              <w:left w:w="100" w:type="dxa"/>
              <w:right w:w="100" w:type="dxa"/>
            </w:tcMar>
          </w:tcPr>
          <w:p>
            <w:pPr>
              <w:spacing w:after="0" w:line="264" w:lineRule="auto"/>
            </w:pPr>
            <w:r>
              <w:rPr>
                <w:rFonts w:ascii="Calibri" w:hAnsi="Calibri"/>
                <w:color w:val="1F2937"/>
                <w:sz w:val="18"/>
              </w:rPr>
              <w:t>10 Full Days in Phase 4</w:t>
            </w:r>
          </w:p>
        </w:tc>
        <w:tc>
          <w:tcPr>
            <w:tcW w:type="dxa" w:w="3168"/>
            <w:shd w:fill="F8FAFC"/>
            <w:tcMar>
              <w:top w:w="80" w:type="dxa"/>
              <w:bottom w:w="80" w:type="dxa"/>
              <w:left w:w="100" w:type="dxa"/>
              <w:right w:w="100" w:type="dxa"/>
            </w:tcMar>
          </w:tcPr>
          <w:p>
            <w:pPr>
              <w:spacing w:after="0" w:line="264" w:lineRule="auto"/>
            </w:pPr>
            <w:r>
              <w:rPr>
                <w:rFonts w:ascii="Calibri" w:hAnsi="Calibri"/>
                <w:color w:val="1F2937"/>
                <w:sz w:val="18"/>
              </w:rPr>
              <w:t>Strict Phase 4 feature freeze; only polish, copy adjustments, and bug fixes allowed after Sept 29.</w:t>
            </w:r>
          </w:p>
        </w:tc>
      </w:tr>
    </w:tbl>
    <w:p>
      <w:pPr>
        <w:spacing w:after="280"/>
      </w:pPr>
    </w:p>
    <w:p>
      <w:pPr>
        <w:jc w:val="center"/>
      </w:pPr>
      <w:r>
        <w:rPr>
          <w:rFonts w:ascii="Calibri" w:hAnsi="Calibri"/>
          <w:i/>
          <w:color w:val="64748B"/>
          <w:sz w:val="18"/>
        </w:rPr>
        <w:t>— Satmix Fintech • Confidential Internal Strategic Document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