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0" w:line="360" w:lineRule="auto"/>
        <w:jc w:val="center"/>
      </w:pPr>
      <w:r>
        <w:rPr>
          <w:rFonts w:ascii="Times New Roman" w:hAnsi="Times New Roman"/>
          <w:b/>
          <w:i w:val="0"/>
          <w:color w:val="064E3B"/>
          <w:sz w:val="36"/>
        </w:rPr>
        <w:t>AGROLOOP: IOT &amp; AI-DRIVEN CIRCULAR BIO-ECONOMY PLATFORM FOR URBAN ORGANIC WASTE BIOCONVERSION AND SMALLHOLDER REGENERATIVE AGRICULTURE</w:t>
      </w:r>
    </w:p>
    <w:p>
      <w:pPr>
        <w:spacing w:before="0" w:after="200" w:line="360" w:lineRule="auto"/>
        <w:jc w:val="center"/>
      </w:pPr>
      <w:r>
        <w:rPr>
          <w:rFonts w:ascii="Times New Roman" w:hAnsi="Times New Roman"/>
          <w:b/>
          <w:i w:val="0"/>
          <w:sz w:val="28"/>
        </w:rPr>
        <w:t>Design Experience III Project Report</w:t>
      </w:r>
    </w:p>
    <w:p>
      <w:pPr>
        <w:spacing w:before="0" w:after="120" w:line="360" w:lineRule="auto"/>
        <w:jc w:val="center"/>
      </w:pPr>
      <w:r>
        <w:rPr>
          <w:rFonts w:ascii="Times New Roman" w:hAnsi="Times New Roman"/>
          <w:b w:val="0"/>
          <w:i/>
          <w:sz w:val="24"/>
        </w:rPr>
        <w:t>submitted in partial fulfilment of the requirements of</w:t>
      </w:r>
    </w:p>
    <w:p>
      <w:pPr>
        <w:spacing w:before="0" w:after="120" w:line="360" w:lineRule="auto"/>
        <w:jc w:val="center"/>
      </w:pPr>
      <w:r>
        <w:rPr>
          <w:rFonts w:ascii="Times New Roman" w:hAnsi="Times New Roman"/>
          <w:b/>
          <w:i w:val="0"/>
          <w:sz w:val="26"/>
        </w:rPr>
        <w:t>Bachelor of Technology (B.Tech)</w:t>
      </w:r>
    </w:p>
    <w:p>
      <w:pPr>
        <w:spacing w:before="0" w:after="120" w:line="360" w:lineRule="auto"/>
        <w:jc w:val="center"/>
      </w:pPr>
      <w:r>
        <w:rPr>
          <w:rFonts w:ascii="Times New Roman" w:hAnsi="Times New Roman"/>
          <w:b w:val="0"/>
          <w:i/>
          <w:sz w:val="24"/>
        </w:rPr>
        <w:t>in</w:t>
      </w:r>
    </w:p>
    <w:p>
      <w:pPr>
        <w:spacing w:before="0" w:after="300" w:line="360" w:lineRule="auto"/>
        <w:jc w:val="center"/>
      </w:pPr>
      <w:r>
        <w:rPr>
          <w:rFonts w:ascii="Times New Roman" w:hAnsi="Times New Roman"/>
          <w:b/>
          <w:i w:val="0"/>
          <w:sz w:val="28"/>
        </w:rPr>
        <w:t>Department of Computer Engineering</w:t>
      </w:r>
    </w:p>
    <w:p>
      <w:pPr>
        <w:spacing w:before="0" w:after="500" w:line="360" w:lineRule="auto"/>
        <w:jc w:val="center"/>
      </w:pPr>
      <w:r>
        <w:rPr>
          <w:rFonts w:ascii="Times New Roman" w:hAnsi="Times New Roman"/>
          <w:b/>
          <w:i w:val="0"/>
          <w:color w:val="D97706"/>
          <w:sz w:val="26"/>
        </w:rPr>
        <w:t>Vertical: Entrepreneurship</w:t>
      </w:r>
    </w:p>
    <w:p>
      <w:pPr>
        <w:spacing w:before="0" w:after="120" w:line="360" w:lineRule="auto"/>
        <w:jc w:val="center"/>
      </w:pPr>
      <w:r>
        <w:rPr>
          <w:rFonts w:ascii="Times New Roman" w:hAnsi="Times New Roman"/>
          <w:b w:val="0"/>
          <w:i/>
          <w:sz w:val="24"/>
        </w:rPr>
        <w:t>by</w:t>
      </w:r>
    </w:p>
    <w:p>
      <w:pPr>
        <w:spacing w:before="0" w:after="80" w:line="360" w:lineRule="auto"/>
        <w:jc w:val="center"/>
      </w:pPr>
      <w:r>
        <w:rPr>
          <w:rFonts w:ascii="Times New Roman" w:hAnsi="Times New Roman"/>
          <w:b/>
          <w:i w:val="0"/>
          <w:sz w:val="28"/>
        </w:rPr>
        <w:t>VEER NAGDA</w:t>
      </w:r>
    </w:p>
    <w:p>
      <w:pPr>
        <w:spacing w:before="0" w:after="700" w:line="360" w:lineRule="auto"/>
        <w:jc w:val="center"/>
      </w:pPr>
      <w:r>
        <w:rPr>
          <w:rFonts w:ascii="Times New Roman" w:hAnsi="Times New Roman"/>
          <w:b w:val="0"/>
          <w:i w:val="0"/>
          <w:sz w:val="24"/>
        </w:rPr>
        <w:t>Roll No.: 70012021000  |  SAP ID: 70012021000</w:t>
      </w:r>
    </w:p>
    <w:p>
      <w:pPr>
        <w:spacing w:before="0" w:after="120" w:line="360" w:lineRule="auto"/>
        <w:jc w:val="center"/>
      </w:pPr>
      <w:r>
        <w:rPr>
          <w:rFonts w:ascii="Times New Roman" w:hAnsi="Times New Roman"/>
          <w:b w:val="0"/>
          <w:i/>
          <w:sz w:val="24"/>
        </w:rPr>
        <w:t>Under the supervision of</w:t>
      </w:r>
    </w:p>
    <w:p>
      <w:pPr>
        <w:spacing w:before="0" w:after="80" w:line="360" w:lineRule="auto"/>
        <w:jc w:val="center"/>
      </w:pPr>
      <w:r>
        <w:rPr>
          <w:rFonts w:ascii="Times New Roman" w:hAnsi="Times New Roman"/>
          <w:b/>
          <w:i w:val="0"/>
          <w:sz w:val="26"/>
        </w:rPr>
        <w:t>Prof. Deepali A. Maste</w:t>
      </w:r>
    </w:p>
    <w:p>
      <w:pPr>
        <w:spacing w:before="0" w:after="900" w:line="360" w:lineRule="auto"/>
        <w:jc w:val="center"/>
      </w:pPr>
      <w:r>
        <w:rPr>
          <w:rFonts w:ascii="Times New Roman" w:hAnsi="Times New Roman"/>
          <w:b w:val="0"/>
          <w:i w:val="0"/>
          <w:sz w:val="24"/>
        </w:rPr>
        <w:t>Assistant Professor, Department of Computer Engineering</w:t>
      </w:r>
    </w:p>
    <w:p>
      <w:pPr>
        <w:spacing w:before="0" w:after="80" w:line="360" w:lineRule="auto"/>
        <w:jc w:val="center"/>
      </w:pPr>
      <w:r>
        <w:rPr>
          <w:rFonts w:ascii="Times New Roman" w:hAnsi="Times New Roman"/>
          <w:b/>
          <w:i w:val="0"/>
          <w:sz w:val="26"/>
        </w:rPr>
        <w:t>Mukesh Patel School of Technology Management &amp; Engineering (MPSTME)</w:t>
      </w:r>
    </w:p>
    <w:p>
      <w:pPr>
        <w:spacing w:before="0" w:after="80" w:line="360" w:lineRule="auto"/>
        <w:jc w:val="center"/>
      </w:pPr>
      <w:r>
        <w:rPr>
          <w:rFonts w:ascii="Times New Roman" w:hAnsi="Times New Roman"/>
          <w:b/>
          <w:i w:val="0"/>
          <w:sz w:val="26"/>
        </w:rPr>
        <w:t>SVKM’s NMIMS (Deemed-to-be University), Mumbai</w:t>
      </w:r>
    </w:p>
    <w:p>
      <w:pPr>
        <w:spacing w:before="0" w:after="0" w:line="360" w:lineRule="auto"/>
        <w:jc w:val="center"/>
      </w:pPr>
      <w:r>
        <w:rPr>
          <w:rFonts w:ascii="Times New Roman" w:hAnsi="Times New Roman"/>
          <w:b/>
          <w:i w:val="0"/>
          <w:sz w:val="24"/>
        </w:rPr>
        <w:t>Academic Year 2026–27</w:t>
      </w:r>
    </w:p>
    <w:p>
      <w:r>
        <w:br w:type="page"/>
      </w:r>
    </w:p>
    <w:p>
      <w:pPr>
        <w:spacing w:before="200" w:after="40" w:line="360" w:lineRule="auto"/>
        <w:jc w:val="center"/>
      </w:pPr>
      <w:r>
        <w:rPr>
          <w:rFonts w:ascii="Times New Roman" w:hAnsi="Times New Roman"/>
          <w:b/>
          <w:i w:val="0"/>
          <w:sz w:val="26"/>
        </w:rPr>
        <w:t>SVKM’s NMIMS University</w:t>
      </w:r>
    </w:p>
    <w:p>
      <w:pPr>
        <w:spacing w:before="0" w:after="200" w:line="360" w:lineRule="auto"/>
        <w:jc w:val="center"/>
      </w:pPr>
      <w:r>
        <w:rPr>
          <w:rFonts w:ascii="Times New Roman" w:hAnsi="Times New Roman"/>
          <w:b w:val="0"/>
          <w:i/>
          <w:sz w:val="22"/>
        </w:rPr>
        <w:t>(Deemed-to-be University)</w:t>
      </w:r>
    </w:p>
    <w:p>
      <w:pPr>
        <w:spacing w:before="0" w:after="80" w:line="360" w:lineRule="auto"/>
        <w:jc w:val="center"/>
      </w:pPr>
      <w:r>
        <w:rPr>
          <w:rFonts w:ascii="Times New Roman" w:hAnsi="Times New Roman"/>
          <w:b/>
          <w:i w:val="0"/>
          <w:sz w:val="26"/>
        </w:rPr>
        <w:t>MUKESH PATEL SCHOOL OF TECHNOLOGY MANAGEMENT &amp; ENGINEERING (MPSTME)</w:t>
      </w:r>
    </w:p>
    <w:p>
      <w:pPr>
        <w:spacing w:before="0" w:after="200" w:line="360" w:lineRule="auto"/>
        <w:jc w:val="center"/>
      </w:pPr>
      <w:r>
        <w:rPr>
          <w:rFonts w:ascii="Times New Roman" w:hAnsi="Times New Roman"/>
          <w:b w:val="0"/>
          <w:i w:val="0"/>
          <w:sz w:val="22"/>
        </w:rPr>
        <w:t>Vile Parle (W), Mumbai - 400056</w:t>
      </w:r>
    </w:p>
    <w:p>
      <w:pPr>
        <w:spacing w:before="0" w:after="400" w:line="360" w:lineRule="auto"/>
        <w:jc w:val="center"/>
      </w:pPr>
      <w:r>
        <w:rPr>
          <w:rFonts w:ascii="Times New Roman" w:hAnsi="Times New Roman"/>
          <w:b/>
          <w:i w:val="0"/>
          <w:sz w:val="24"/>
        </w:rPr>
        <w:t>Academic Year 2026–27</w:t>
      </w:r>
    </w:p>
    <w:p>
      <w:pPr>
        <w:spacing w:before="0" w:after="400" w:line="360" w:lineRule="auto"/>
        <w:jc w:val="center"/>
      </w:pPr>
      <w:r>
        <w:rPr>
          <w:rFonts w:ascii="Times New Roman" w:hAnsi="Times New Roman"/>
          <w:b/>
          <w:i w:val="0"/>
          <w:color w:val="064E3B"/>
          <w:sz w:val="32"/>
        </w:rPr>
        <w:t>CERTIFICATE</w:t>
      </w:r>
    </w:p>
    <w:p>
      <w:pPr>
        <w:spacing w:before="0" w:after="1200" w:line="360" w:lineRule="auto"/>
        <w:jc w:val="both"/>
      </w:pPr>
      <w:r>
        <w:rPr>
          <w:rFonts w:ascii="Times New Roman" w:hAnsi="Times New Roman"/>
          <w:b w:val="0"/>
          <w:i w:val="0"/>
          <w:sz w:val="24"/>
        </w:rPr>
        <w:t>This is to certify that the Design Experience III project entitled "AgroLoop: IoT &amp; AI-Driven Circular Bio-Economy Platform for Urban Organic Waste Bioconversion and Smallholder Regenerative Agriculture" has been carried out by Veer Nagda (Roll No. 70012021000 / SAP ID 70012021000) under my guidance and supervision, and has been submitted in partial fulfilment of the requirements of Bachelor of Technology in Computer Engineering of Mukesh Patel School of Technology Management &amp; Engineering (MPSTME), SVKM’s NMIMS (Deemed-to-be University), Mumbai, India.</w:t>
      </w:r>
    </w:p>
    <w:tbl>
      <w:tblPr>
        <w:tblW w:type="auto" w:w="0"/>
        <w:jc w:val="center"/>
        <w:tblLayout w:type="autofit"/>
        <w:tblLook w:firstColumn="1" w:firstRow="1" w:lastColumn="0" w:lastRow="0" w:noHBand="0" w:noVBand="1" w:val="04A0"/>
      </w:tblPr>
      <w:tblGrid>
        <w:gridCol w:w="2770"/>
        <w:gridCol w:w="2770"/>
        <w:gridCol w:w="2770"/>
      </w:tblGrid>
      <w:tr>
        <w:tc>
          <w:tcPr>
            <w:tcW w:type="dxa" w:w="2770"/>
          </w:tcPr>
          <w:p>
            <w:pPr>
              <w:spacing w:line="288" w:lineRule="auto"/>
            </w:pPr>
            <w:r>
              <w:rPr>
                <w:rFonts w:ascii="Times New Roman" w:hAnsi="Times New Roman"/>
                <w:b/>
                <w:sz w:val="20"/>
              </w:rPr>
              <w:t>______________________</w:t>
              <w:br/>
              <w:t>Prof. Deepali A. Maste</w:t>
              <w:br/>
              <w:t>Project Mentor (Internal Guide)</w:t>
              <w:br/>
              <w:t>Assistant Professor, Dept of CE</w:t>
            </w:r>
          </w:p>
        </w:tc>
        <w:tc>
          <w:tcPr>
            <w:tcW w:type="dxa" w:w="2770"/>
          </w:tcPr>
          <w:p>
            <w:pPr>
              <w:spacing w:line="288" w:lineRule="auto"/>
            </w:pPr>
            <w:r>
              <w:rPr>
                <w:rFonts w:ascii="Times New Roman" w:hAnsi="Times New Roman"/>
                <w:b/>
                <w:sz w:val="20"/>
              </w:rPr>
              <w:t>______________________</w:t>
              <w:br/>
              <w:t>Vertical SPOC</w:t>
              <w:br/>
              <w:t>(Entrepreneurship Vertical)</w:t>
              <w:br/>
              <w:t>MPSTME, Mumbai</w:t>
            </w:r>
          </w:p>
        </w:tc>
        <w:tc>
          <w:tcPr>
            <w:tcW w:type="dxa" w:w="2770"/>
          </w:tcPr>
          <w:p>
            <w:pPr>
              <w:spacing w:line="288" w:lineRule="auto"/>
            </w:pPr>
            <w:r>
              <w:rPr>
                <w:rFonts w:ascii="Times New Roman" w:hAnsi="Times New Roman"/>
                <w:b/>
                <w:sz w:val="20"/>
              </w:rPr>
              <w:t>______________________</w:t>
              <w:br/>
              <w:t>Dr. Priti Rumao</w:t>
              <w:br/>
              <w:t>Head of Department</w:t>
              <w:br/>
              <w:t>Dept of Computer Engineering</w:t>
            </w:r>
          </w:p>
        </w:tc>
      </w:tr>
      <w:tr>
        <w:tc>
          <w:tcPr>
            <w:tcW w:type="dxa" w:w="2770"/>
          </w:tcPr>
          <w:p>
            <w:pPr>
              <w:spacing w:line="288" w:lineRule="auto"/>
            </w:pPr>
          </w:p>
        </w:tc>
        <w:tc>
          <w:tcPr>
            <w:tcW w:type="dxa" w:w="2770"/>
          </w:tcPr>
          <w:p>
            <w:pPr>
              <w:spacing w:line="288" w:lineRule="auto"/>
            </w:pPr>
          </w:p>
        </w:tc>
        <w:tc>
          <w:tcPr>
            <w:tcW w:type="dxa" w:w="2770"/>
          </w:tcPr>
          <w:p>
            <w:pPr>
              <w:spacing w:line="288" w:lineRule="auto"/>
            </w:pPr>
          </w:p>
        </w:tc>
      </w:tr>
    </w:tbl>
    <w:p>
      <w:pPr>
        <w:spacing w:before="1000"/>
      </w:pPr>
      <w:r>
        <w:rPr>
          <w:rFonts w:ascii="Times New Roman" w:hAnsi="Times New Roman"/>
          <w:b/>
          <w:sz w:val="22"/>
        </w:rPr>
        <w:t>Date: 24th October 2026</w:t>
        <w:br/>
        <w:t>Place: Mumbai</w:t>
      </w:r>
    </w:p>
    <w:p>
      <w:r>
        <w:br w:type="page"/>
      </w:r>
    </w:p>
    <w:p>
      <w:pPr>
        <w:spacing w:before="200" w:after="280" w:line="360" w:lineRule="auto"/>
        <w:jc w:val="center"/>
      </w:pPr>
      <w:r>
        <w:rPr>
          <w:rFonts w:ascii="Times New Roman" w:hAnsi="Times New Roman"/>
          <w:b/>
          <w:i w:val="0"/>
          <w:color w:val="064E3B"/>
          <w:sz w:val="32"/>
        </w:rPr>
        <w:t>ACKNOWLEDGEMENT</w:t>
      </w:r>
    </w:p>
    <w:p>
      <w:pPr>
        <w:spacing w:before="0" w:after="400" w:line="360" w:lineRule="auto"/>
        <w:jc w:val="both"/>
      </w:pPr>
      <w:r>
        <w:rPr>
          <w:rFonts w:ascii="Times New Roman" w:hAnsi="Times New Roman"/>
          <w:b w:val="0"/>
          <w:i w:val="0"/>
          <w:sz w:val="23"/>
        </w:rPr>
        <w:t>I express my profound gratitude to my project mentor, Prof. Deepali A. Maste, Assistant Professor, Department of Computer Engineering, MPSTME, for her invaluable guidance, rigorous weekly mentoring reviews, constructive critiques, and unwavering encouragement throughout the ideation, technical architecture, and validation stages of AgroLoop. Her insistence on verifiable unit economics, strict regulatory compliance with SWM Rules 2016, and robust system prototyping was pivotal in transforming an academic concept into an award-winning entrepreneurial venture.</w:t>
        <w:br/>
        <w:br/>
        <w:t>I also extend my sincere thanks to Dr. Priti Rumao, Head of Department of Computer Engineering, and the Special Interest Group on Artificial Intelligence (SIG AI) MPSTME, for providing a vibrant technical ecosystem and organizing the INNOVATE 360° (2026–27) Challenge, where this project had the honor of securing 3rd Position among highly competitive collegiate innovations.</w:t>
        <w:br/>
        <w:br/>
        <w:t>I am grateful to the incubation managers and mentors at the Atal Incubation Centre (AIC - NMIMS) for their critical advisory on B2B compliance SaaS monetization and biochar carbon sequestration accounting. Lastly, I thank the 45 commercial restaurant managers across Mumbai and the 12 smallholder farmers of Palghar district who participated in our field discovery surveys and agronomic trial plots.</w:t>
      </w:r>
    </w:p>
    <w:p>
      <w:pPr>
        <w:spacing w:before="200" w:after="120" w:line="360" w:lineRule="auto"/>
        <w:jc w:val="left"/>
      </w:pPr>
      <w:r>
        <w:rPr>
          <w:rFonts w:ascii="Times New Roman" w:hAnsi="Times New Roman"/>
          <w:b/>
          <w:i w:val="0"/>
          <w:sz w:val="26"/>
        </w:rPr>
        <w:t>TEAM DETAILS</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r>
              <w:rPr>
                <w:rFonts w:ascii="Times New Roman" w:hAnsi="Times New Roman"/>
                <w:b/>
                <w:sz w:val="21"/>
              </w:rPr>
              <w:t>Sr. No.</w:t>
            </w:r>
          </w:p>
        </w:tc>
        <w:tc>
          <w:tcPr>
            <w:tcW w:type="dxa" w:w="2077"/>
            <w:shd w:fill="F1F5F9"/>
          </w:tcPr>
          <w:p>
            <w:r>
              <w:rPr>
                <w:rFonts w:ascii="Times New Roman" w:hAnsi="Times New Roman"/>
                <w:b/>
                <w:sz w:val="21"/>
              </w:rPr>
              <w:t>Student Name</w:t>
            </w:r>
          </w:p>
        </w:tc>
        <w:tc>
          <w:tcPr>
            <w:tcW w:type="dxa" w:w="2077"/>
            <w:shd w:fill="F1F5F9"/>
          </w:tcPr>
          <w:p>
            <w:r>
              <w:rPr>
                <w:rFonts w:ascii="Times New Roman" w:hAnsi="Times New Roman"/>
                <w:b/>
                <w:sz w:val="21"/>
              </w:rPr>
              <w:t>Roll Number</w:t>
            </w:r>
          </w:p>
        </w:tc>
        <w:tc>
          <w:tcPr>
            <w:tcW w:type="dxa" w:w="2077"/>
            <w:shd w:fill="F1F5F9"/>
          </w:tcPr>
          <w:p>
            <w:r>
              <w:rPr>
                <w:rFonts w:ascii="Times New Roman" w:hAnsi="Times New Roman"/>
                <w:b/>
                <w:sz w:val="21"/>
              </w:rPr>
              <w:t>SAP ID</w:t>
            </w:r>
          </w:p>
        </w:tc>
      </w:tr>
      <w:tr>
        <w:tc>
          <w:tcPr>
            <w:tcW w:type="dxa" w:w="2077"/>
          </w:tcPr>
          <w:p>
            <w:r>
              <w:rPr>
                <w:rFonts w:ascii="Times New Roman" w:hAnsi="Times New Roman"/>
                <w:sz w:val="21"/>
              </w:rPr>
              <w:t>1</w:t>
            </w:r>
          </w:p>
        </w:tc>
        <w:tc>
          <w:tcPr>
            <w:tcW w:type="dxa" w:w="2077"/>
          </w:tcPr>
          <w:p>
            <w:r>
              <w:rPr>
                <w:rFonts w:ascii="Times New Roman" w:hAnsi="Times New Roman"/>
                <w:sz w:val="21"/>
              </w:rPr>
              <w:t>Veer Nagda</w:t>
            </w:r>
          </w:p>
        </w:tc>
        <w:tc>
          <w:tcPr>
            <w:tcW w:type="dxa" w:w="2077"/>
          </w:tcPr>
          <w:p>
            <w:r>
              <w:rPr>
                <w:rFonts w:ascii="Times New Roman" w:hAnsi="Times New Roman"/>
                <w:sz w:val="21"/>
              </w:rPr>
              <w:t>70012021000</w:t>
            </w:r>
          </w:p>
        </w:tc>
        <w:tc>
          <w:tcPr>
            <w:tcW w:type="dxa" w:w="2077"/>
          </w:tcPr>
          <w:p>
            <w:r>
              <w:rPr>
                <w:rFonts w:ascii="Times New Roman" w:hAnsi="Times New Roman"/>
                <w:sz w:val="21"/>
              </w:rPr>
              <w:t>70012021000</w:t>
            </w:r>
          </w:p>
        </w:tc>
      </w:tr>
    </w:tbl>
    <w:p>
      <w:pPr>
        <w:spacing w:before="500" w:after="120" w:line="360" w:lineRule="auto"/>
        <w:jc w:val="left"/>
      </w:pPr>
      <w:r>
        <w:rPr>
          <w:rFonts w:ascii="Times New Roman" w:hAnsi="Times New Roman"/>
          <w:b/>
          <w:i w:val="0"/>
          <w:sz w:val="28"/>
        </w:rPr>
        <w:t>DECLARATION</w:t>
      </w:r>
    </w:p>
    <w:p>
      <w:pPr>
        <w:spacing w:before="0" w:after="700" w:line="360" w:lineRule="auto"/>
        <w:jc w:val="both"/>
      </w:pPr>
      <w:r>
        <w:rPr>
          <w:rFonts w:ascii="Times New Roman" w:hAnsi="Times New Roman"/>
          <w:b w:val="0"/>
          <w:i w:val="0"/>
          <w:sz w:val="23"/>
        </w:rPr>
        <w:t>I declare that this report entitled "AgroLoop: IoT &amp; AI-Driven Circular Bio-Economy Platform for Urban Organic Waste Bioconversion and Smallholder Regenerative Agriculture" is my original work and reflects my own contribution during the semester of registration (Academic Year 2026–27). I have acknowledged all contributors and cited all primary and secondary sources in IEEE format. The use of generative AI tools (Google Gemini 1.5 Pro) has been strictly confined to assist in literature synthesis, code verification, and agronomic prompt testing as disclosed in Section 5.5 and Appendix VII, and all AI-assisted technical outputs have been empirically validated by me.</w:t>
      </w:r>
    </w:p>
    <w:p>
      <w:pPr>
        <w:spacing w:line="288" w:lineRule="auto"/>
      </w:pPr>
      <w:r>
        <w:rPr>
          <w:rFonts w:ascii="Times New Roman" w:hAnsi="Times New Roman"/>
          <w:b/>
          <w:sz w:val="22"/>
        </w:rPr>
        <w:t>Signature of Student: ________________________                     Date: 24th October 2026</w:t>
        <w:br/>
        <w:t>Veer Nagda (Roll No. 70012021000)</w:t>
      </w:r>
    </w:p>
    <w:p>
      <w:r>
        <w:br w:type="page"/>
      </w:r>
    </w:p>
    <w:p>
      <w:pPr>
        <w:spacing w:before="200" w:after="300" w:line="360" w:lineRule="auto"/>
        <w:jc w:val="center"/>
      </w:pPr>
      <w:r>
        <w:rPr>
          <w:rFonts w:ascii="Times New Roman" w:hAnsi="Times New Roman"/>
          <w:b/>
          <w:i w:val="0"/>
          <w:color w:val="064E3B"/>
          <w:sz w:val="32"/>
        </w:rPr>
        <w:t>ABSTRACT</w:t>
      </w:r>
    </w:p>
    <w:p>
      <w:pPr>
        <w:spacing w:before="0" w:after="200" w:line="360" w:lineRule="auto"/>
        <w:jc w:val="both"/>
      </w:pPr>
      <w:r>
        <w:rPr>
          <w:rFonts w:ascii="Times New Roman" w:hAnsi="Times New Roman"/>
          <w:b w:val="0"/>
          <w:i w:val="0"/>
          <w:sz w:val="23"/>
        </w:rPr>
        <w:t>Rapid urbanization in the Mumbai Metropolitan Region (MMR) generates over 6,500 Metric Tonnes (MT) of Municipal Solid Waste (MSW) daily, of which approximately 60% (~3,800 MT/day) is biodegradable food scrap. When consigned to open landfills such as Deonar and Kanjurmarg, this unsegregated organic fraction decomposes anaerobically, emitting massive volumes of methane gas (a potent greenhouse gas with 28 times the Global Warming Potential of CO2) and triggering catastrophic subsurface landfill fires and toxic leachate runoff into coastal mangrove ecosystems. Concurrently, smallholder farming belts situated less than 70 km away in Palghar and Shahapur face severe soil degradation, with Soil Organic Carbon (SOC) levels collapsing below 0.35% due to prolonged monoculture and heavy synthetic fertilizer usage (averaging ₹25,000–₹38,000 per acre annually). Existing municipal composting efforts collapse because unsegregated municipal compost suffers from 40%–50% micro-plastic contamination, causing farmers to outright reject it, while on-site residential composter machines suffer an 85% abandonment rate within 90 days due to foul odors, leachate leaks, and mechanical failures.</w:t>
      </w:r>
    </w:p>
    <w:p>
      <w:pPr>
        <w:spacing w:before="0" w:after="200" w:line="360" w:lineRule="auto"/>
        <w:jc w:val="both"/>
      </w:pPr>
      <w:r>
        <w:rPr>
          <w:rFonts w:ascii="Times New Roman" w:hAnsi="Times New Roman"/>
          <w:b w:val="0"/>
          <w:i w:val="0"/>
          <w:sz w:val="23"/>
        </w:rPr>
        <w:t>This project presents AgroLoop, an end-to-end circular bio-economy platform that bridges urban food scrap generators with rural agricultural soils through a closed-loop, IoT-verified logistics and multi-stream bio-refinery network. AgroLoop deploys custom 3-wheeler electric cargo loaders equipped with Bluetooth Low Energy (BLE) load cells and a digital visual contamination grading interface (&lt;5% inorganic tolerance) to harvest source-segregated scraps from commercial kitchens, bulk waste generators (BWGs), and gated societies across Mumbai. Collected scraps are routed to a decentralized 5,000 sq. ft. peri-urban processing hub in Mahape, Navi Mumbai, where they undergo biological conversion into four standardized, lab-certified inputs: (1) Japanese Bokashi anaerobic fermentation with Effective Microorganisms (EM1) that arrests putrefactive odors by dropping pH to 4.0 within 48 hours; (2) Eisenia fetida vermicomposting yielding high-humus castings; (3) 550°C pyrolyzed biochar creating a recalcitrant 100+ year soil carbon sink; and (4) concentrated liquid bio-fertilizer.</w:t>
      </w:r>
    </w:p>
    <w:p>
      <w:pPr>
        <w:spacing w:before="0" w:after="300" w:line="360" w:lineRule="auto"/>
        <w:jc w:val="both"/>
      </w:pPr>
      <w:r>
        <w:rPr>
          <w:rFonts w:ascii="Times New Roman" w:hAnsi="Times New Roman"/>
          <w:b w:val="0"/>
          <w:i w:val="0"/>
          <w:sz w:val="23"/>
        </w:rPr>
        <w:t>The digital core is architected using Next.js 15 App Router, React 19, TypeScript, and Supabase PostgreSQL with strict Row Level Security (RLS) policies, featuring an installable PWA for logistics drivers and an offline-resilient local storage fallback engine. To ensure safe farmer adoption, the platform embeds Google Gemini 1.5 Pro within a proprietary deterministic agronomic safety rule engine enforcing Indian Council of Agricultural Research (ICAR) fertilizer dosage ceilings, completely eliminating LLM hallucinations. Unit economic modeling demonstrates a collection cost of ₹2.80/kg and a processing cost of ₹3.50/kg against a blended product realization of ₹14.50/kg, securing a 56.5% gross processing margin and operational breakeven by Month 14. Empirical field trials with 12 smallholders in Manor/Palghar confirmed a 28% increase in soil moisture retention and a 35% reduction in synthetic fertilizer expenses. The venture secured 3rd Position in the INNOVATE 360° (2026–27) challenge organized by the Department of Computer Engineering and SIG AI MPSTME, and has completed pre-incubation filing with the Atal Incubation Centre (AIC - NMIMS).</w:t>
      </w:r>
    </w:p>
    <w:p>
      <w:pPr>
        <w:spacing w:before="0" w:after="0" w:line="360" w:lineRule="auto"/>
        <w:jc w:val="left"/>
      </w:pPr>
      <w:r>
        <w:rPr>
          <w:rFonts w:ascii="Times New Roman" w:hAnsi="Times New Roman"/>
          <w:b/>
          <w:i w:val="0"/>
          <w:sz w:val="21"/>
        </w:rPr>
        <w:t>Keywords: Circular Bio-Economy, Solid Waste Management Rules 2016, Biochar Pyrolysis, Vermicomposting, IoT Doorstep Quality Verification, Google Gemini AI, ICAR Safety Guardrails, Next.js 15, Methane Abatement.</w:t>
      </w:r>
    </w:p>
    <w:p>
      <w:r>
        <w:br w:type="page"/>
      </w:r>
    </w:p>
    <w:p>
      <w:pPr>
        <w:spacing w:before="200" w:after="300" w:line="360" w:lineRule="auto"/>
        <w:jc w:val="center"/>
      </w:pPr>
      <w:r>
        <w:rPr>
          <w:rFonts w:ascii="Times New Roman" w:hAnsi="Times New Roman"/>
          <w:b/>
          <w:i w:val="0"/>
          <w:color w:val="064E3B"/>
          <w:sz w:val="32"/>
        </w:rPr>
        <w:t>TABLE OF CONTENTS</w:t>
      </w:r>
    </w:p>
    <w:tbl>
      <w:tblPr>
        <w:tblW w:type="auto" w:w="0"/>
        <w:jc w:val="center"/>
        <w:tblLayout w:type="autofit"/>
        <w:tblLook w:firstColumn="1" w:firstRow="1" w:lastColumn="0" w:lastRow="0" w:noHBand="0" w:noVBand="1" w:val="04A0"/>
      </w:tblPr>
      <w:tblGrid>
        <w:gridCol w:w="4154"/>
        <w:gridCol w:w="4154"/>
      </w:tblGrid>
      <w:tr>
        <w:tc>
          <w:tcPr>
            <w:tcW w:type="dxa" w:w="4154"/>
          </w:tcPr>
          <w:p>
            <w:pPr>
              <w:spacing w:line="276" w:lineRule="auto" w:after="40"/>
            </w:pPr>
            <w:r>
              <w:rPr>
                <w:rFonts w:ascii="Times New Roman" w:hAnsi="Times New Roman"/>
                <w:sz w:val="21"/>
              </w:rPr>
              <w:t>Abstract</w:t>
            </w:r>
          </w:p>
        </w:tc>
        <w:tc>
          <w:tcPr>
            <w:tcW w:type="dxa" w:w="4154"/>
          </w:tcPr>
          <w:p>
            <w:pPr>
              <w:spacing w:line="276" w:lineRule="auto" w:after="40"/>
              <w:jc w:val="right"/>
            </w:pPr>
            <w:r>
              <w:rPr>
                <w:rFonts w:ascii="Times New Roman" w:hAnsi="Times New Roman"/>
                <w:sz w:val="21"/>
              </w:rPr>
              <w:t>i</w:t>
            </w:r>
          </w:p>
        </w:tc>
      </w:tr>
      <w:tr>
        <w:tc>
          <w:tcPr>
            <w:tcW w:type="dxa" w:w="4154"/>
          </w:tcPr>
          <w:p>
            <w:pPr>
              <w:spacing w:line="276" w:lineRule="auto" w:after="40"/>
            </w:pPr>
            <w:r>
              <w:rPr>
                <w:rFonts w:ascii="Times New Roman" w:hAnsi="Times New Roman"/>
                <w:sz w:val="21"/>
              </w:rPr>
              <w:t>Acknowledgement, Team Details &amp; Declaration</w:t>
            </w:r>
          </w:p>
        </w:tc>
        <w:tc>
          <w:tcPr>
            <w:tcW w:type="dxa" w:w="4154"/>
          </w:tcPr>
          <w:p>
            <w:pPr>
              <w:spacing w:line="276" w:lineRule="auto" w:after="40"/>
              <w:jc w:val="right"/>
            </w:pPr>
            <w:r>
              <w:rPr>
                <w:rFonts w:ascii="Times New Roman" w:hAnsi="Times New Roman"/>
                <w:sz w:val="21"/>
              </w:rPr>
              <w:t>ii</w:t>
            </w:r>
          </w:p>
        </w:tc>
      </w:tr>
      <w:tr>
        <w:tc>
          <w:tcPr>
            <w:tcW w:type="dxa" w:w="4154"/>
          </w:tcPr>
          <w:p>
            <w:pPr>
              <w:spacing w:line="276" w:lineRule="auto" w:after="40"/>
            </w:pPr>
            <w:r>
              <w:rPr>
                <w:rFonts w:ascii="Times New Roman" w:hAnsi="Times New Roman"/>
                <w:sz w:val="21"/>
              </w:rPr>
              <w:t>List of Figures</w:t>
            </w:r>
          </w:p>
        </w:tc>
        <w:tc>
          <w:tcPr>
            <w:tcW w:type="dxa" w:w="4154"/>
          </w:tcPr>
          <w:p>
            <w:pPr>
              <w:spacing w:line="276" w:lineRule="auto" w:after="40"/>
              <w:jc w:val="right"/>
            </w:pPr>
            <w:r>
              <w:rPr>
                <w:rFonts w:ascii="Times New Roman" w:hAnsi="Times New Roman"/>
                <w:sz w:val="21"/>
              </w:rPr>
              <w:t>iv</w:t>
            </w:r>
          </w:p>
        </w:tc>
      </w:tr>
      <w:tr>
        <w:tc>
          <w:tcPr>
            <w:tcW w:type="dxa" w:w="4154"/>
          </w:tcPr>
          <w:p>
            <w:pPr>
              <w:spacing w:line="276" w:lineRule="auto" w:after="40"/>
            </w:pPr>
            <w:r>
              <w:rPr>
                <w:rFonts w:ascii="Times New Roman" w:hAnsi="Times New Roman"/>
                <w:sz w:val="21"/>
              </w:rPr>
              <w:t>List of Tables</w:t>
            </w:r>
          </w:p>
        </w:tc>
        <w:tc>
          <w:tcPr>
            <w:tcW w:type="dxa" w:w="4154"/>
          </w:tcPr>
          <w:p>
            <w:pPr>
              <w:spacing w:line="276" w:lineRule="auto" w:after="40"/>
              <w:jc w:val="right"/>
            </w:pPr>
            <w:r>
              <w:rPr>
                <w:rFonts w:ascii="Times New Roman" w:hAnsi="Times New Roman"/>
                <w:sz w:val="21"/>
              </w:rPr>
              <w:t>v</w:t>
            </w:r>
          </w:p>
        </w:tc>
      </w:tr>
      <w:tr>
        <w:tc>
          <w:tcPr>
            <w:tcW w:type="dxa" w:w="4154"/>
          </w:tcPr>
          <w:p>
            <w:pPr>
              <w:spacing w:line="276" w:lineRule="auto" w:after="40"/>
            </w:pPr>
            <w:r>
              <w:rPr>
                <w:rFonts w:ascii="Times New Roman" w:hAnsi="Times New Roman"/>
                <w:sz w:val="21"/>
              </w:rPr>
              <w:t>Abbreviations</w:t>
            </w:r>
          </w:p>
        </w:tc>
        <w:tc>
          <w:tcPr>
            <w:tcW w:type="dxa" w:w="4154"/>
          </w:tcPr>
          <w:p>
            <w:pPr>
              <w:spacing w:line="276" w:lineRule="auto" w:after="40"/>
              <w:jc w:val="right"/>
            </w:pPr>
            <w:r>
              <w:rPr>
                <w:rFonts w:ascii="Times New Roman" w:hAnsi="Times New Roman"/>
                <w:sz w:val="21"/>
              </w:rPr>
              <w:t>vi</w:t>
            </w:r>
          </w:p>
        </w:tc>
      </w:tr>
      <w:tr>
        <w:tc>
          <w:tcPr>
            <w:tcW w:type="dxa" w:w="4154"/>
          </w:tcPr>
          <w:p>
            <w:pPr>
              <w:spacing w:line="276" w:lineRule="auto" w:after="40"/>
            </w:pPr>
            <w:r>
              <w:rPr>
                <w:rFonts w:ascii="Times New Roman" w:hAnsi="Times New Roman"/>
                <w:b/>
                <w:sz w:val="21"/>
              </w:rPr>
              <w:t>Chapter 1: Introduction</w:t>
            </w:r>
          </w:p>
        </w:tc>
        <w:tc>
          <w:tcPr>
            <w:tcW w:type="dxa" w:w="4154"/>
          </w:tcPr>
          <w:p>
            <w:pPr>
              <w:spacing w:line="276" w:lineRule="auto" w:after="40"/>
              <w:jc w:val="right"/>
            </w:pPr>
            <w:r>
              <w:rPr>
                <w:rFonts w:ascii="Times New Roman" w:hAnsi="Times New Roman"/>
                <w:b/>
                <w:sz w:val="21"/>
              </w:rPr>
              <w:t>1</w:t>
            </w:r>
          </w:p>
        </w:tc>
      </w:tr>
      <w:tr>
        <w:tc>
          <w:tcPr>
            <w:tcW w:type="dxa" w:w="4154"/>
          </w:tcPr>
          <w:p>
            <w:pPr>
              <w:spacing w:line="276" w:lineRule="auto" w:after="40"/>
            </w:pPr>
            <w:r>
              <w:rPr>
                <w:rFonts w:ascii="Times New Roman" w:hAnsi="Times New Roman"/>
                <w:sz w:val="21"/>
              </w:rPr>
              <w:t xml:space="preserve">    1.1 Background of the Project Topic</w:t>
            </w:r>
          </w:p>
        </w:tc>
        <w:tc>
          <w:tcPr>
            <w:tcW w:type="dxa" w:w="4154"/>
          </w:tcPr>
          <w:p>
            <w:pPr>
              <w:spacing w:line="276" w:lineRule="auto" w:after="40"/>
              <w:jc w:val="right"/>
            </w:pPr>
            <w:r>
              <w:rPr>
                <w:rFonts w:ascii="Times New Roman" w:hAnsi="Times New Roman"/>
                <w:sz w:val="21"/>
              </w:rPr>
              <w:t>1</w:t>
            </w:r>
          </w:p>
        </w:tc>
      </w:tr>
      <w:tr>
        <w:tc>
          <w:tcPr>
            <w:tcW w:type="dxa" w:w="4154"/>
          </w:tcPr>
          <w:p>
            <w:pPr>
              <w:spacing w:line="276" w:lineRule="auto" w:after="40"/>
            </w:pPr>
            <w:r>
              <w:rPr>
                <w:rFonts w:ascii="Times New Roman" w:hAnsi="Times New Roman"/>
                <w:sz w:val="21"/>
              </w:rPr>
              <w:t xml:space="preserve">    1.2 Motivation and Scope of the Report</w:t>
            </w:r>
          </w:p>
        </w:tc>
        <w:tc>
          <w:tcPr>
            <w:tcW w:type="dxa" w:w="4154"/>
          </w:tcPr>
          <w:p>
            <w:pPr>
              <w:spacing w:line="276" w:lineRule="auto" w:after="40"/>
              <w:jc w:val="right"/>
            </w:pPr>
            <w:r>
              <w:rPr>
                <w:rFonts w:ascii="Times New Roman" w:hAnsi="Times New Roman"/>
                <w:sz w:val="21"/>
              </w:rPr>
              <w:t>2</w:t>
            </w:r>
          </w:p>
        </w:tc>
      </w:tr>
      <w:tr>
        <w:tc>
          <w:tcPr>
            <w:tcW w:type="dxa" w:w="4154"/>
          </w:tcPr>
          <w:p>
            <w:pPr>
              <w:spacing w:line="276" w:lineRule="auto" w:after="40"/>
            </w:pPr>
            <w:r>
              <w:rPr>
                <w:rFonts w:ascii="Times New Roman" w:hAnsi="Times New Roman"/>
                <w:sz w:val="21"/>
              </w:rPr>
              <w:t xml:space="preserve">    1.3 Problem Statement / Need, and Stakeholders</w:t>
            </w:r>
          </w:p>
        </w:tc>
        <w:tc>
          <w:tcPr>
            <w:tcW w:type="dxa" w:w="4154"/>
          </w:tcPr>
          <w:p>
            <w:pPr>
              <w:spacing w:line="276" w:lineRule="auto" w:after="40"/>
              <w:jc w:val="right"/>
            </w:pPr>
            <w:r>
              <w:rPr>
                <w:rFonts w:ascii="Times New Roman" w:hAnsi="Times New Roman"/>
                <w:sz w:val="21"/>
              </w:rPr>
              <w:t>3</w:t>
            </w:r>
          </w:p>
        </w:tc>
      </w:tr>
      <w:tr>
        <w:tc>
          <w:tcPr>
            <w:tcW w:type="dxa" w:w="4154"/>
          </w:tcPr>
          <w:p>
            <w:pPr>
              <w:spacing w:line="276" w:lineRule="auto" w:after="40"/>
            </w:pPr>
            <w:r>
              <w:rPr>
                <w:rFonts w:ascii="Times New Roman" w:hAnsi="Times New Roman"/>
                <w:sz w:val="21"/>
              </w:rPr>
              <w:t xml:space="preserve">    1.4 Objectives and Expected Outcomes</w:t>
            </w:r>
          </w:p>
        </w:tc>
        <w:tc>
          <w:tcPr>
            <w:tcW w:type="dxa" w:w="4154"/>
          </w:tcPr>
          <w:p>
            <w:pPr>
              <w:spacing w:line="276" w:lineRule="auto" w:after="40"/>
              <w:jc w:val="right"/>
            </w:pPr>
            <w:r>
              <w:rPr>
                <w:rFonts w:ascii="Times New Roman" w:hAnsi="Times New Roman"/>
                <w:sz w:val="21"/>
              </w:rPr>
              <w:t>4</w:t>
            </w:r>
          </w:p>
        </w:tc>
      </w:tr>
      <w:tr>
        <w:tc>
          <w:tcPr>
            <w:tcW w:type="dxa" w:w="4154"/>
          </w:tcPr>
          <w:p>
            <w:pPr>
              <w:spacing w:line="276" w:lineRule="auto" w:after="40"/>
            </w:pPr>
            <w:r>
              <w:rPr>
                <w:rFonts w:ascii="Times New Roman" w:hAnsi="Times New Roman"/>
                <w:sz w:val="21"/>
              </w:rPr>
              <w:t xml:space="preserve">    1.5 Project Context and Continuity</w:t>
            </w:r>
          </w:p>
        </w:tc>
        <w:tc>
          <w:tcPr>
            <w:tcW w:type="dxa" w:w="4154"/>
          </w:tcPr>
          <w:p>
            <w:pPr>
              <w:spacing w:line="276" w:lineRule="auto" w:after="40"/>
              <w:jc w:val="right"/>
            </w:pPr>
            <w:r>
              <w:rPr>
                <w:rFonts w:ascii="Times New Roman" w:hAnsi="Times New Roman"/>
                <w:sz w:val="21"/>
              </w:rPr>
              <w:t>5</w:t>
            </w:r>
          </w:p>
        </w:tc>
      </w:tr>
      <w:tr>
        <w:tc>
          <w:tcPr>
            <w:tcW w:type="dxa" w:w="4154"/>
          </w:tcPr>
          <w:p>
            <w:pPr>
              <w:spacing w:line="276" w:lineRule="auto" w:after="40"/>
            </w:pPr>
            <w:r>
              <w:rPr>
                <w:rFonts w:ascii="Times New Roman" w:hAnsi="Times New Roman"/>
                <w:sz w:val="21"/>
              </w:rPr>
              <w:t xml:space="preserve">    1.6 Organization of the Report</w:t>
            </w:r>
          </w:p>
        </w:tc>
        <w:tc>
          <w:tcPr>
            <w:tcW w:type="dxa" w:w="4154"/>
          </w:tcPr>
          <w:p>
            <w:pPr>
              <w:spacing w:line="276" w:lineRule="auto" w:after="40"/>
              <w:jc w:val="right"/>
            </w:pPr>
            <w:r>
              <w:rPr>
                <w:rFonts w:ascii="Times New Roman" w:hAnsi="Times New Roman"/>
                <w:sz w:val="21"/>
              </w:rPr>
              <w:t>6</w:t>
            </w:r>
          </w:p>
        </w:tc>
      </w:tr>
      <w:tr>
        <w:tc>
          <w:tcPr>
            <w:tcW w:type="dxa" w:w="4154"/>
          </w:tcPr>
          <w:p>
            <w:pPr>
              <w:spacing w:line="276" w:lineRule="auto" w:after="40"/>
            </w:pPr>
            <w:r>
              <w:rPr>
                <w:rFonts w:ascii="Times New Roman" w:hAnsi="Times New Roman"/>
                <w:b/>
                <w:sz w:val="21"/>
              </w:rPr>
              <w:t>Chapter 2: Background Study</w:t>
            </w:r>
          </w:p>
        </w:tc>
        <w:tc>
          <w:tcPr>
            <w:tcW w:type="dxa" w:w="4154"/>
          </w:tcPr>
          <w:p>
            <w:pPr>
              <w:spacing w:line="276" w:lineRule="auto" w:after="40"/>
              <w:jc w:val="right"/>
            </w:pPr>
            <w:r>
              <w:rPr>
                <w:rFonts w:ascii="Times New Roman" w:hAnsi="Times New Roman"/>
                <w:b/>
                <w:sz w:val="21"/>
              </w:rPr>
              <w:t>7</w:t>
            </w:r>
          </w:p>
        </w:tc>
      </w:tr>
      <w:tr>
        <w:tc>
          <w:tcPr>
            <w:tcW w:type="dxa" w:w="4154"/>
          </w:tcPr>
          <w:p>
            <w:pPr>
              <w:spacing w:line="276" w:lineRule="auto" w:after="40"/>
            </w:pPr>
            <w:r>
              <w:rPr>
                <w:rFonts w:ascii="Times New Roman" w:hAnsi="Times New Roman"/>
                <w:sz w:val="21"/>
              </w:rPr>
              <w:t xml:space="preserve">    2.1 Overview of Domain: Urban Solid Waste &amp; Soil Degradation</w:t>
            </w:r>
          </w:p>
        </w:tc>
        <w:tc>
          <w:tcPr>
            <w:tcW w:type="dxa" w:w="4154"/>
          </w:tcPr>
          <w:p>
            <w:pPr>
              <w:spacing w:line="276" w:lineRule="auto" w:after="40"/>
              <w:jc w:val="right"/>
            </w:pPr>
            <w:r>
              <w:rPr>
                <w:rFonts w:ascii="Times New Roman" w:hAnsi="Times New Roman"/>
                <w:sz w:val="21"/>
              </w:rPr>
              <w:t>7</w:t>
            </w:r>
          </w:p>
        </w:tc>
      </w:tr>
      <w:tr>
        <w:tc>
          <w:tcPr>
            <w:tcW w:type="dxa" w:w="4154"/>
          </w:tcPr>
          <w:p>
            <w:pPr>
              <w:spacing w:line="276" w:lineRule="auto" w:after="40"/>
            </w:pPr>
            <w:r>
              <w:rPr>
                <w:rFonts w:ascii="Times New Roman" w:hAnsi="Times New Roman"/>
                <w:sz w:val="21"/>
              </w:rPr>
              <w:t xml:space="preserve">    2.2 Review of Relevant Sources, Standards and Competitor Benchmark</w:t>
            </w:r>
          </w:p>
        </w:tc>
        <w:tc>
          <w:tcPr>
            <w:tcW w:type="dxa" w:w="4154"/>
          </w:tcPr>
          <w:p>
            <w:pPr>
              <w:spacing w:line="276" w:lineRule="auto" w:after="40"/>
              <w:jc w:val="right"/>
            </w:pPr>
            <w:r>
              <w:rPr>
                <w:rFonts w:ascii="Times New Roman" w:hAnsi="Times New Roman"/>
                <w:sz w:val="21"/>
              </w:rPr>
              <w:t>8</w:t>
            </w:r>
          </w:p>
        </w:tc>
      </w:tr>
      <w:tr>
        <w:tc>
          <w:tcPr>
            <w:tcW w:type="dxa" w:w="4154"/>
          </w:tcPr>
          <w:p>
            <w:pPr>
              <w:spacing w:line="276" w:lineRule="auto" w:after="40"/>
            </w:pPr>
            <w:r>
              <w:rPr>
                <w:rFonts w:ascii="Times New Roman" w:hAnsi="Times New Roman"/>
                <w:sz w:val="21"/>
              </w:rPr>
              <w:t xml:space="preserve">    2.3 Gap and Need Identified Leading to Problem Definition</w:t>
            </w:r>
          </w:p>
        </w:tc>
        <w:tc>
          <w:tcPr>
            <w:tcW w:type="dxa" w:w="4154"/>
          </w:tcPr>
          <w:p>
            <w:pPr>
              <w:spacing w:line="276" w:lineRule="auto" w:after="40"/>
              <w:jc w:val="right"/>
            </w:pPr>
            <w:r>
              <w:rPr>
                <w:rFonts w:ascii="Times New Roman" w:hAnsi="Times New Roman"/>
                <w:sz w:val="21"/>
              </w:rPr>
              <w:t>11</w:t>
            </w:r>
          </w:p>
        </w:tc>
      </w:tr>
      <w:tr>
        <w:tc>
          <w:tcPr>
            <w:tcW w:type="dxa" w:w="4154"/>
          </w:tcPr>
          <w:p>
            <w:pPr>
              <w:spacing w:line="276" w:lineRule="auto" w:after="40"/>
            </w:pPr>
            <w:r>
              <w:rPr>
                <w:rFonts w:ascii="Times New Roman" w:hAnsi="Times New Roman"/>
                <w:b/>
                <w:sz w:val="21"/>
              </w:rPr>
              <w:t>Chapter 3: Design and Development Process</w:t>
            </w:r>
          </w:p>
        </w:tc>
        <w:tc>
          <w:tcPr>
            <w:tcW w:type="dxa" w:w="4154"/>
          </w:tcPr>
          <w:p>
            <w:pPr>
              <w:spacing w:line="276" w:lineRule="auto" w:after="40"/>
              <w:jc w:val="right"/>
            </w:pPr>
            <w:r>
              <w:rPr>
                <w:rFonts w:ascii="Times New Roman" w:hAnsi="Times New Roman"/>
                <w:b/>
                <w:sz w:val="21"/>
              </w:rPr>
              <w:t>13</w:t>
            </w:r>
          </w:p>
        </w:tc>
      </w:tr>
      <w:tr>
        <w:tc>
          <w:tcPr>
            <w:tcW w:type="dxa" w:w="4154"/>
          </w:tcPr>
          <w:p>
            <w:pPr>
              <w:spacing w:line="276" w:lineRule="auto" w:after="40"/>
            </w:pPr>
            <w:r>
              <w:rPr>
                <w:rFonts w:ascii="Times New Roman" w:hAnsi="Times New Roman"/>
                <w:sz w:val="21"/>
              </w:rPr>
              <w:t xml:space="preserve">    3.1 Stakeholder / User Needs and Specifications</w:t>
            </w:r>
          </w:p>
        </w:tc>
        <w:tc>
          <w:tcPr>
            <w:tcW w:type="dxa" w:w="4154"/>
          </w:tcPr>
          <w:p>
            <w:pPr>
              <w:spacing w:line="276" w:lineRule="auto" w:after="40"/>
              <w:jc w:val="right"/>
            </w:pPr>
            <w:r>
              <w:rPr>
                <w:rFonts w:ascii="Times New Roman" w:hAnsi="Times New Roman"/>
                <w:sz w:val="21"/>
              </w:rPr>
              <w:t>13</w:t>
            </w:r>
          </w:p>
        </w:tc>
      </w:tr>
      <w:tr>
        <w:tc>
          <w:tcPr>
            <w:tcW w:type="dxa" w:w="4154"/>
          </w:tcPr>
          <w:p>
            <w:pPr>
              <w:spacing w:line="276" w:lineRule="auto" w:after="40"/>
            </w:pPr>
            <w:r>
              <w:rPr>
                <w:rFonts w:ascii="Times New Roman" w:hAnsi="Times New Roman"/>
                <w:sz w:val="21"/>
              </w:rPr>
              <w:t xml:space="preserve">    3.2 Design Alternatives Considered and Decision Matrix</w:t>
            </w:r>
          </w:p>
        </w:tc>
        <w:tc>
          <w:tcPr>
            <w:tcW w:type="dxa" w:w="4154"/>
          </w:tcPr>
          <w:p>
            <w:pPr>
              <w:spacing w:line="276" w:lineRule="auto" w:after="40"/>
              <w:jc w:val="right"/>
            </w:pPr>
            <w:r>
              <w:rPr>
                <w:rFonts w:ascii="Times New Roman" w:hAnsi="Times New Roman"/>
                <w:sz w:val="21"/>
              </w:rPr>
              <w:t>15</w:t>
            </w:r>
          </w:p>
        </w:tc>
      </w:tr>
      <w:tr>
        <w:tc>
          <w:tcPr>
            <w:tcW w:type="dxa" w:w="4154"/>
          </w:tcPr>
          <w:p>
            <w:pPr>
              <w:spacing w:line="276" w:lineRule="auto" w:after="40"/>
            </w:pPr>
            <w:r>
              <w:rPr>
                <w:rFonts w:ascii="Times New Roman" w:hAnsi="Times New Roman"/>
                <w:sz w:val="21"/>
              </w:rPr>
              <w:t xml:space="preserve">    3.3 Selected Design: System Architecture, State Machine and Data Flow</w:t>
            </w:r>
          </w:p>
        </w:tc>
        <w:tc>
          <w:tcPr>
            <w:tcW w:type="dxa" w:w="4154"/>
          </w:tcPr>
          <w:p>
            <w:pPr>
              <w:spacing w:line="276" w:lineRule="auto" w:after="40"/>
              <w:jc w:val="right"/>
            </w:pPr>
            <w:r>
              <w:rPr>
                <w:rFonts w:ascii="Times New Roman" w:hAnsi="Times New Roman"/>
                <w:sz w:val="21"/>
              </w:rPr>
              <w:t>17</w:t>
            </w:r>
          </w:p>
        </w:tc>
      </w:tr>
      <w:tr>
        <w:tc>
          <w:tcPr>
            <w:tcW w:type="dxa" w:w="4154"/>
          </w:tcPr>
          <w:p>
            <w:pPr>
              <w:spacing w:line="276" w:lineRule="auto" w:after="40"/>
            </w:pPr>
            <w:r>
              <w:rPr>
                <w:rFonts w:ascii="Times New Roman" w:hAnsi="Times New Roman"/>
                <w:sz w:val="21"/>
              </w:rPr>
              <w:t xml:space="preserve">    3.4 Standards, Safety, Constraints, Ethics and Environmental Considerations</w:t>
            </w:r>
          </w:p>
        </w:tc>
        <w:tc>
          <w:tcPr>
            <w:tcW w:type="dxa" w:w="4154"/>
          </w:tcPr>
          <w:p>
            <w:pPr>
              <w:spacing w:line="276" w:lineRule="auto" w:after="40"/>
              <w:jc w:val="right"/>
            </w:pPr>
            <w:r>
              <w:rPr>
                <w:rFonts w:ascii="Times New Roman" w:hAnsi="Times New Roman"/>
                <w:sz w:val="21"/>
              </w:rPr>
              <w:t>20</w:t>
            </w:r>
          </w:p>
        </w:tc>
      </w:tr>
      <w:tr>
        <w:tc>
          <w:tcPr>
            <w:tcW w:type="dxa" w:w="4154"/>
          </w:tcPr>
          <w:p>
            <w:pPr>
              <w:spacing w:line="276" w:lineRule="auto" w:after="40"/>
            </w:pPr>
            <w:r>
              <w:rPr>
                <w:rFonts w:ascii="Times New Roman" w:hAnsi="Times New Roman"/>
                <w:sz w:val="21"/>
              </w:rPr>
              <w:t xml:space="preserve">    3.5 Project Plan: Work Breakdown Structure (WBS), Milestones and Gantt Chart</w:t>
            </w:r>
          </w:p>
        </w:tc>
        <w:tc>
          <w:tcPr>
            <w:tcW w:type="dxa" w:w="4154"/>
          </w:tcPr>
          <w:p>
            <w:pPr>
              <w:spacing w:line="276" w:lineRule="auto" w:after="40"/>
              <w:jc w:val="right"/>
            </w:pPr>
            <w:r>
              <w:rPr>
                <w:rFonts w:ascii="Times New Roman" w:hAnsi="Times New Roman"/>
                <w:sz w:val="21"/>
              </w:rPr>
              <w:t>22</w:t>
            </w:r>
          </w:p>
        </w:tc>
      </w:tr>
      <w:tr>
        <w:tc>
          <w:tcPr>
            <w:tcW w:type="dxa" w:w="4154"/>
          </w:tcPr>
          <w:p>
            <w:pPr>
              <w:spacing w:line="276" w:lineRule="auto" w:after="40"/>
            </w:pPr>
            <w:r>
              <w:rPr>
                <w:rFonts w:ascii="Times New Roman" w:hAnsi="Times New Roman"/>
                <w:b/>
                <w:sz w:val="21"/>
              </w:rPr>
              <w:t>Chapter 4: Implementation, Results and Analysis</w:t>
            </w:r>
          </w:p>
        </w:tc>
        <w:tc>
          <w:tcPr>
            <w:tcW w:type="dxa" w:w="4154"/>
          </w:tcPr>
          <w:p>
            <w:pPr>
              <w:spacing w:line="276" w:lineRule="auto" w:after="40"/>
              <w:jc w:val="right"/>
            </w:pPr>
            <w:r>
              <w:rPr>
                <w:rFonts w:ascii="Times New Roman" w:hAnsi="Times New Roman"/>
                <w:b/>
                <w:sz w:val="21"/>
              </w:rPr>
              <w:t>24</w:t>
            </w:r>
          </w:p>
        </w:tc>
      </w:tr>
      <w:tr>
        <w:tc>
          <w:tcPr>
            <w:tcW w:type="dxa" w:w="4154"/>
          </w:tcPr>
          <w:p>
            <w:pPr>
              <w:spacing w:line="276" w:lineRule="auto" w:after="40"/>
            </w:pPr>
            <w:r>
              <w:rPr>
                <w:rFonts w:ascii="Times New Roman" w:hAnsi="Times New Roman"/>
                <w:sz w:val="21"/>
              </w:rPr>
              <w:t xml:space="preserve">    4.1 Full-Stack Software Implementation and Physical Bio-Refinery Workflow</w:t>
            </w:r>
          </w:p>
        </w:tc>
        <w:tc>
          <w:tcPr>
            <w:tcW w:type="dxa" w:w="4154"/>
          </w:tcPr>
          <w:p>
            <w:pPr>
              <w:spacing w:line="276" w:lineRule="auto" w:after="40"/>
              <w:jc w:val="right"/>
            </w:pPr>
            <w:r>
              <w:rPr>
                <w:rFonts w:ascii="Times New Roman" w:hAnsi="Times New Roman"/>
                <w:sz w:val="21"/>
              </w:rPr>
              <w:t>24</w:t>
            </w:r>
          </w:p>
        </w:tc>
      </w:tr>
      <w:tr>
        <w:tc>
          <w:tcPr>
            <w:tcW w:type="dxa" w:w="4154"/>
          </w:tcPr>
          <w:p>
            <w:pPr>
              <w:spacing w:line="276" w:lineRule="auto" w:after="40"/>
            </w:pPr>
            <w:r>
              <w:rPr>
                <w:rFonts w:ascii="Times New Roman" w:hAnsi="Times New Roman"/>
                <w:sz w:val="21"/>
              </w:rPr>
              <w:t xml:space="preserve">    4.2 Testing, Validation and Verification (E2E &amp; FCO 1985 Standards)</w:t>
            </w:r>
          </w:p>
        </w:tc>
        <w:tc>
          <w:tcPr>
            <w:tcW w:type="dxa" w:w="4154"/>
          </w:tcPr>
          <w:p>
            <w:pPr>
              <w:spacing w:line="276" w:lineRule="auto" w:after="40"/>
              <w:jc w:val="right"/>
            </w:pPr>
            <w:r>
              <w:rPr>
                <w:rFonts w:ascii="Times New Roman" w:hAnsi="Times New Roman"/>
                <w:sz w:val="21"/>
              </w:rPr>
              <w:t>27</w:t>
            </w:r>
          </w:p>
        </w:tc>
      </w:tr>
      <w:tr>
        <w:tc>
          <w:tcPr>
            <w:tcW w:type="dxa" w:w="4154"/>
          </w:tcPr>
          <w:p>
            <w:pPr>
              <w:spacing w:line="276" w:lineRule="auto" w:after="40"/>
            </w:pPr>
            <w:r>
              <w:rPr>
                <w:rFonts w:ascii="Times New Roman" w:hAnsi="Times New Roman"/>
                <w:sz w:val="21"/>
              </w:rPr>
              <w:t xml:space="preserve">    4.3 Results and Unit Economic Analysis (56.5% Gross Margin &amp; ROI)</w:t>
            </w:r>
          </w:p>
        </w:tc>
        <w:tc>
          <w:tcPr>
            <w:tcW w:type="dxa" w:w="4154"/>
          </w:tcPr>
          <w:p>
            <w:pPr>
              <w:spacing w:line="276" w:lineRule="auto" w:after="40"/>
              <w:jc w:val="right"/>
            </w:pPr>
            <w:r>
              <w:rPr>
                <w:rFonts w:ascii="Times New Roman" w:hAnsi="Times New Roman"/>
                <w:sz w:val="21"/>
              </w:rPr>
              <w:t>29</w:t>
            </w:r>
          </w:p>
        </w:tc>
      </w:tr>
      <w:tr>
        <w:tc>
          <w:tcPr>
            <w:tcW w:type="dxa" w:w="4154"/>
          </w:tcPr>
          <w:p>
            <w:pPr>
              <w:spacing w:line="276" w:lineRule="auto" w:after="40"/>
            </w:pPr>
            <w:r>
              <w:rPr>
                <w:rFonts w:ascii="Times New Roman" w:hAnsi="Times New Roman"/>
                <w:sz w:val="21"/>
              </w:rPr>
              <w:t xml:space="preserve">    4.4 User Feedback Received and System Iterations Made</w:t>
            </w:r>
          </w:p>
        </w:tc>
        <w:tc>
          <w:tcPr>
            <w:tcW w:type="dxa" w:w="4154"/>
          </w:tcPr>
          <w:p>
            <w:pPr>
              <w:spacing w:line="276" w:lineRule="auto" w:after="40"/>
              <w:jc w:val="right"/>
            </w:pPr>
            <w:r>
              <w:rPr>
                <w:rFonts w:ascii="Times New Roman" w:hAnsi="Times New Roman"/>
                <w:sz w:val="21"/>
              </w:rPr>
              <w:t>32</w:t>
            </w:r>
          </w:p>
        </w:tc>
      </w:tr>
      <w:tr>
        <w:tc>
          <w:tcPr>
            <w:tcW w:type="dxa" w:w="4154"/>
          </w:tcPr>
          <w:p>
            <w:pPr>
              <w:spacing w:line="276" w:lineRule="auto" w:after="40"/>
            </w:pPr>
            <w:r>
              <w:rPr>
                <w:rFonts w:ascii="Times New Roman" w:hAnsi="Times New Roman"/>
                <w:sz w:val="21"/>
              </w:rPr>
              <w:t xml:space="preserve">    4.5 Advantages, Limitations and Societal / Carbon Impact</w:t>
            </w:r>
          </w:p>
        </w:tc>
        <w:tc>
          <w:tcPr>
            <w:tcW w:type="dxa" w:w="4154"/>
          </w:tcPr>
          <w:p>
            <w:pPr>
              <w:spacing w:line="276" w:lineRule="auto" w:after="40"/>
              <w:jc w:val="right"/>
            </w:pPr>
            <w:r>
              <w:rPr>
                <w:rFonts w:ascii="Times New Roman" w:hAnsi="Times New Roman"/>
                <w:sz w:val="21"/>
              </w:rPr>
              <w:t>34</w:t>
            </w:r>
          </w:p>
        </w:tc>
      </w:tr>
      <w:tr>
        <w:tc>
          <w:tcPr>
            <w:tcW w:type="dxa" w:w="4154"/>
          </w:tcPr>
          <w:p>
            <w:pPr>
              <w:spacing w:line="276" w:lineRule="auto" w:after="40"/>
            </w:pPr>
            <w:r>
              <w:rPr>
                <w:rFonts w:ascii="Times New Roman" w:hAnsi="Times New Roman"/>
                <w:b/>
                <w:sz w:val="21"/>
              </w:rPr>
              <w:t>Chapter 5: Individual Contribution, Teamwork and Reflection</w:t>
            </w:r>
          </w:p>
        </w:tc>
        <w:tc>
          <w:tcPr>
            <w:tcW w:type="dxa" w:w="4154"/>
          </w:tcPr>
          <w:p>
            <w:pPr>
              <w:spacing w:line="276" w:lineRule="auto" w:after="40"/>
              <w:jc w:val="right"/>
            </w:pPr>
            <w:r>
              <w:rPr>
                <w:rFonts w:ascii="Times New Roman" w:hAnsi="Times New Roman"/>
                <w:b/>
                <w:sz w:val="21"/>
              </w:rPr>
              <w:t>36</w:t>
            </w:r>
          </w:p>
        </w:tc>
      </w:tr>
      <w:tr>
        <w:tc>
          <w:tcPr>
            <w:tcW w:type="dxa" w:w="4154"/>
          </w:tcPr>
          <w:p>
            <w:pPr>
              <w:spacing w:line="276" w:lineRule="auto" w:after="40"/>
            </w:pPr>
            <w:r>
              <w:rPr>
                <w:rFonts w:ascii="Times New Roman" w:hAnsi="Times New Roman"/>
                <w:sz w:val="21"/>
              </w:rPr>
              <w:t xml:space="preserve">    5.1 Team Structure, Roles and Responsibilities</w:t>
            </w:r>
          </w:p>
        </w:tc>
        <w:tc>
          <w:tcPr>
            <w:tcW w:type="dxa" w:w="4154"/>
          </w:tcPr>
          <w:p>
            <w:pPr>
              <w:spacing w:line="276" w:lineRule="auto" w:after="40"/>
              <w:jc w:val="right"/>
            </w:pPr>
            <w:r>
              <w:rPr>
                <w:rFonts w:ascii="Times New Roman" w:hAnsi="Times New Roman"/>
                <w:sz w:val="21"/>
              </w:rPr>
              <w:t>36</w:t>
            </w:r>
          </w:p>
        </w:tc>
      </w:tr>
      <w:tr>
        <w:tc>
          <w:tcPr>
            <w:tcW w:type="dxa" w:w="4154"/>
          </w:tcPr>
          <w:p>
            <w:pPr>
              <w:spacing w:line="276" w:lineRule="auto" w:after="40"/>
            </w:pPr>
            <w:r>
              <w:rPr>
                <w:rFonts w:ascii="Times New Roman" w:hAnsi="Times New Roman"/>
                <w:sz w:val="21"/>
              </w:rPr>
              <w:t xml:space="preserve">    5.2 Individual Contribution Statement (Veer Nagda) with Evidence Register IDs</w:t>
            </w:r>
          </w:p>
        </w:tc>
        <w:tc>
          <w:tcPr>
            <w:tcW w:type="dxa" w:w="4154"/>
          </w:tcPr>
          <w:p>
            <w:pPr>
              <w:spacing w:line="276" w:lineRule="auto" w:after="40"/>
              <w:jc w:val="right"/>
            </w:pPr>
            <w:r>
              <w:rPr>
                <w:rFonts w:ascii="Times New Roman" w:hAnsi="Times New Roman"/>
                <w:sz w:val="21"/>
              </w:rPr>
              <w:t>37</w:t>
            </w:r>
          </w:p>
        </w:tc>
      </w:tr>
      <w:tr>
        <w:tc>
          <w:tcPr>
            <w:tcW w:type="dxa" w:w="4154"/>
          </w:tcPr>
          <w:p>
            <w:pPr>
              <w:spacing w:line="276" w:lineRule="auto" w:after="40"/>
            </w:pPr>
            <w:r>
              <w:rPr>
                <w:rFonts w:ascii="Times New Roman" w:hAnsi="Times New Roman"/>
                <w:sz w:val="21"/>
              </w:rPr>
              <w:t xml:space="preserve">    5.3 Teamwork and Leadership: Mentoring Coordination &amp; Partner Interactions</w:t>
            </w:r>
          </w:p>
        </w:tc>
        <w:tc>
          <w:tcPr>
            <w:tcW w:type="dxa" w:w="4154"/>
          </w:tcPr>
          <w:p>
            <w:pPr>
              <w:spacing w:line="276" w:lineRule="auto" w:after="40"/>
              <w:jc w:val="right"/>
            </w:pPr>
            <w:r>
              <w:rPr>
                <w:rFonts w:ascii="Times New Roman" w:hAnsi="Times New Roman"/>
                <w:sz w:val="21"/>
              </w:rPr>
              <w:t>40</w:t>
            </w:r>
          </w:p>
        </w:tc>
      </w:tr>
      <w:tr>
        <w:tc>
          <w:tcPr>
            <w:tcW w:type="dxa" w:w="4154"/>
          </w:tcPr>
          <w:p>
            <w:pPr>
              <w:spacing w:line="276" w:lineRule="auto" w:after="40"/>
            </w:pPr>
            <w:r>
              <w:rPr>
                <w:rFonts w:ascii="Times New Roman" w:hAnsi="Times New Roman"/>
                <w:sz w:val="21"/>
              </w:rPr>
              <w:t xml:space="preserve">    5.4 Reflective and Critical Thinking: Decisions, Challenges and Lessons Learned</w:t>
            </w:r>
          </w:p>
        </w:tc>
        <w:tc>
          <w:tcPr>
            <w:tcW w:type="dxa" w:w="4154"/>
          </w:tcPr>
          <w:p>
            <w:pPr>
              <w:spacing w:line="276" w:lineRule="auto" w:after="40"/>
              <w:jc w:val="right"/>
            </w:pPr>
            <w:r>
              <w:rPr>
                <w:rFonts w:ascii="Times New Roman" w:hAnsi="Times New Roman"/>
                <w:sz w:val="21"/>
              </w:rPr>
              <w:t>42</w:t>
            </w:r>
          </w:p>
        </w:tc>
      </w:tr>
      <w:tr>
        <w:tc>
          <w:tcPr>
            <w:tcW w:type="dxa" w:w="4154"/>
          </w:tcPr>
          <w:p>
            <w:pPr>
              <w:spacing w:line="276" w:lineRule="auto" w:after="40"/>
            </w:pPr>
            <w:r>
              <w:rPr>
                <w:rFonts w:ascii="Times New Roman" w:hAnsi="Times New Roman"/>
                <w:sz w:val="21"/>
              </w:rPr>
              <w:t xml:space="preserve">    5.5 Project Management, Professional Conduct and AI-Use Disclosure</w:t>
            </w:r>
          </w:p>
        </w:tc>
        <w:tc>
          <w:tcPr>
            <w:tcW w:type="dxa" w:w="4154"/>
          </w:tcPr>
          <w:p>
            <w:pPr>
              <w:spacing w:line="276" w:lineRule="auto" w:after="40"/>
              <w:jc w:val="right"/>
            </w:pPr>
            <w:r>
              <w:rPr>
                <w:rFonts w:ascii="Times New Roman" w:hAnsi="Times New Roman"/>
                <w:sz w:val="21"/>
              </w:rPr>
              <w:t>44</w:t>
            </w:r>
          </w:p>
        </w:tc>
      </w:tr>
      <w:tr>
        <w:tc>
          <w:tcPr>
            <w:tcW w:type="dxa" w:w="4154"/>
          </w:tcPr>
          <w:p>
            <w:pPr>
              <w:spacing w:line="276" w:lineRule="auto" w:after="40"/>
            </w:pPr>
            <w:r>
              <w:rPr>
                <w:rFonts w:ascii="Times New Roman" w:hAnsi="Times New Roman"/>
                <w:b/>
                <w:sz w:val="21"/>
              </w:rPr>
              <w:t>Chapter 6: Conclusion and Future Scope</w:t>
            </w:r>
          </w:p>
        </w:tc>
        <w:tc>
          <w:tcPr>
            <w:tcW w:type="dxa" w:w="4154"/>
          </w:tcPr>
          <w:p>
            <w:pPr>
              <w:spacing w:line="276" w:lineRule="auto" w:after="40"/>
              <w:jc w:val="right"/>
            </w:pPr>
            <w:r>
              <w:rPr>
                <w:rFonts w:ascii="Times New Roman" w:hAnsi="Times New Roman"/>
                <w:b/>
                <w:sz w:val="21"/>
              </w:rPr>
              <w:t>46</w:t>
            </w:r>
          </w:p>
        </w:tc>
      </w:tr>
      <w:tr>
        <w:tc>
          <w:tcPr>
            <w:tcW w:type="dxa" w:w="4154"/>
          </w:tcPr>
          <w:p>
            <w:pPr>
              <w:spacing w:line="276" w:lineRule="auto" w:after="40"/>
            </w:pPr>
            <w:r>
              <w:rPr>
                <w:rFonts w:ascii="Times New Roman" w:hAnsi="Times New Roman"/>
                <w:sz w:val="21"/>
              </w:rPr>
              <w:t xml:space="preserve">    6.1 Summary of Work Carried Out and Key Conclusions</w:t>
            </w:r>
          </w:p>
        </w:tc>
        <w:tc>
          <w:tcPr>
            <w:tcW w:type="dxa" w:w="4154"/>
          </w:tcPr>
          <w:p>
            <w:pPr>
              <w:spacing w:line="276" w:lineRule="auto" w:after="40"/>
              <w:jc w:val="right"/>
            </w:pPr>
            <w:r>
              <w:rPr>
                <w:rFonts w:ascii="Times New Roman" w:hAnsi="Times New Roman"/>
                <w:sz w:val="21"/>
              </w:rPr>
              <w:t>46</w:t>
            </w:r>
          </w:p>
        </w:tc>
      </w:tr>
      <w:tr>
        <w:tc>
          <w:tcPr>
            <w:tcW w:type="dxa" w:w="4154"/>
          </w:tcPr>
          <w:p>
            <w:pPr>
              <w:spacing w:line="276" w:lineRule="auto" w:after="40"/>
            </w:pPr>
            <w:r>
              <w:rPr>
                <w:rFonts w:ascii="Times New Roman" w:hAnsi="Times New Roman"/>
                <w:sz w:val="21"/>
              </w:rPr>
              <w:t xml:space="preserve">    6.2 Future Scope, Multi-Hub Scaling and Hand-over Notes</w:t>
            </w:r>
          </w:p>
        </w:tc>
        <w:tc>
          <w:tcPr>
            <w:tcW w:type="dxa" w:w="4154"/>
          </w:tcPr>
          <w:p>
            <w:pPr>
              <w:spacing w:line="276" w:lineRule="auto" w:after="40"/>
              <w:jc w:val="right"/>
            </w:pPr>
            <w:r>
              <w:rPr>
                <w:rFonts w:ascii="Times New Roman" w:hAnsi="Times New Roman"/>
                <w:sz w:val="21"/>
              </w:rPr>
              <w:t>47</w:t>
            </w:r>
          </w:p>
        </w:tc>
      </w:tr>
      <w:tr>
        <w:tc>
          <w:tcPr>
            <w:tcW w:type="dxa" w:w="4154"/>
          </w:tcPr>
          <w:p>
            <w:pPr>
              <w:spacing w:line="276" w:lineRule="auto" w:after="40"/>
            </w:pPr>
            <w:r>
              <w:rPr>
                <w:rFonts w:ascii="Times New Roman" w:hAnsi="Times New Roman"/>
                <w:b/>
                <w:sz w:val="21"/>
              </w:rPr>
              <w:t>References (IEEE Style)</w:t>
            </w:r>
          </w:p>
        </w:tc>
        <w:tc>
          <w:tcPr>
            <w:tcW w:type="dxa" w:w="4154"/>
          </w:tcPr>
          <w:p>
            <w:pPr>
              <w:spacing w:line="276" w:lineRule="auto" w:after="40"/>
              <w:jc w:val="right"/>
            </w:pPr>
            <w:r>
              <w:rPr>
                <w:rFonts w:ascii="Times New Roman" w:hAnsi="Times New Roman"/>
                <w:b/>
                <w:sz w:val="21"/>
              </w:rPr>
              <w:t>49</w:t>
            </w:r>
          </w:p>
        </w:tc>
      </w:tr>
      <w:tr>
        <w:tc>
          <w:tcPr>
            <w:tcW w:type="dxa" w:w="4154"/>
          </w:tcPr>
          <w:p>
            <w:pPr>
              <w:spacing w:line="276" w:lineRule="auto" w:after="40"/>
            </w:pPr>
            <w:r>
              <w:rPr>
                <w:rFonts w:ascii="Times New Roman" w:hAnsi="Times New Roman"/>
                <w:b/>
                <w:sz w:val="21"/>
              </w:rPr>
              <w:t>Appendix I: Summary of IER &amp; Evidence Register (EVD-01 to EVD-15)</w:t>
            </w:r>
          </w:p>
        </w:tc>
        <w:tc>
          <w:tcPr>
            <w:tcW w:type="dxa" w:w="4154"/>
          </w:tcPr>
          <w:p>
            <w:pPr>
              <w:spacing w:line="276" w:lineRule="auto" w:after="40"/>
              <w:jc w:val="right"/>
            </w:pPr>
            <w:r>
              <w:rPr>
                <w:rFonts w:ascii="Times New Roman" w:hAnsi="Times New Roman"/>
                <w:b/>
                <w:sz w:val="21"/>
              </w:rPr>
              <w:t>52</w:t>
            </w:r>
          </w:p>
        </w:tc>
      </w:tr>
      <w:tr>
        <w:tc>
          <w:tcPr>
            <w:tcW w:type="dxa" w:w="4154"/>
          </w:tcPr>
          <w:p>
            <w:pPr>
              <w:spacing w:line="276" w:lineRule="auto" w:after="40"/>
            </w:pPr>
            <w:r>
              <w:rPr>
                <w:rFonts w:ascii="Times New Roman" w:hAnsi="Times New Roman"/>
                <w:b/>
                <w:sz w:val="21"/>
              </w:rPr>
              <w:t>Appendix II: Component Specifications, Schemas and Architecture Flowcharts</w:t>
            </w:r>
          </w:p>
        </w:tc>
        <w:tc>
          <w:tcPr>
            <w:tcW w:type="dxa" w:w="4154"/>
          </w:tcPr>
          <w:p>
            <w:pPr>
              <w:spacing w:line="276" w:lineRule="auto" w:after="40"/>
              <w:jc w:val="right"/>
            </w:pPr>
            <w:r>
              <w:rPr>
                <w:rFonts w:ascii="Times New Roman" w:hAnsi="Times New Roman"/>
                <w:b/>
                <w:sz w:val="21"/>
              </w:rPr>
              <w:t>54</w:t>
            </w:r>
          </w:p>
        </w:tc>
      </w:tr>
      <w:tr>
        <w:tc>
          <w:tcPr>
            <w:tcW w:type="dxa" w:w="4154"/>
          </w:tcPr>
          <w:p>
            <w:pPr>
              <w:spacing w:line="276" w:lineRule="auto" w:after="40"/>
            </w:pPr>
            <w:r>
              <w:rPr>
                <w:rFonts w:ascii="Times New Roman" w:hAnsi="Times New Roman"/>
                <w:b/>
                <w:sz w:val="21"/>
              </w:rPr>
              <w:t>Appendix III: Source Code Snippets, Route Handlers and Supabase SQL Schema</w:t>
            </w:r>
          </w:p>
        </w:tc>
        <w:tc>
          <w:tcPr>
            <w:tcW w:type="dxa" w:w="4154"/>
          </w:tcPr>
          <w:p>
            <w:pPr>
              <w:spacing w:line="276" w:lineRule="auto" w:after="40"/>
              <w:jc w:val="right"/>
            </w:pPr>
            <w:r>
              <w:rPr>
                <w:rFonts w:ascii="Times New Roman" w:hAnsi="Times New Roman"/>
                <w:b/>
                <w:sz w:val="21"/>
              </w:rPr>
              <w:t>56</w:t>
            </w:r>
          </w:p>
        </w:tc>
      </w:tr>
      <w:tr>
        <w:tc>
          <w:tcPr>
            <w:tcW w:type="dxa" w:w="4154"/>
          </w:tcPr>
          <w:p>
            <w:pPr>
              <w:spacing w:line="276" w:lineRule="auto" w:after="40"/>
            </w:pPr>
            <w:r>
              <w:rPr>
                <w:rFonts w:ascii="Times New Roman" w:hAnsi="Times New Roman"/>
                <w:b/>
                <w:sz w:val="21"/>
              </w:rPr>
              <w:t>Appendix IV: Project Logbook &amp; Mentoring Meeting Minutes (Weeks 1 to 14)</w:t>
            </w:r>
          </w:p>
        </w:tc>
        <w:tc>
          <w:tcPr>
            <w:tcW w:type="dxa" w:w="4154"/>
          </w:tcPr>
          <w:p>
            <w:pPr>
              <w:spacing w:line="276" w:lineRule="auto" w:after="40"/>
              <w:jc w:val="right"/>
            </w:pPr>
            <w:r>
              <w:rPr>
                <w:rFonts w:ascii="Times New Roman" w:hAnsi="Times New Roman"/>
                <w:b/>
                <w:sz w:val="21"/>
              </w:rPr>
              <w:t>59</w:t>
            </w:r>
          </w:p>
        </w:tc>
      </w:tr>
      <w:tr>
        <w:tc>
          <w:tcPr>
            <w:tcW w:type="dxa" w:w="4154"/>
          </w:tcPr>
          <w:p>
            <w:pPr>
              <w:spacing w:line="276" w:lineRule="auto" w:after="40"/>
            </w:pPr>
            <w:r>
              <w:rPr>
                <w:rFonts w:ascii="Times New Roman" w:hAnsi="Times New Roman"/>
                <w:b/>
                <w:sz w:val="21"/>
              </w:rPr>
              <w:t>Appendix V: Vertical-Specific Evidence: Business Model Canvas &amp; Market Study</w:t>
            </w:r>
          </w:p>
        </w:tc>
        <w:tc>
          <w:tcPr>
            <w:tcW w:type="dxa" w:w="4154"/>
          </w:tcPr>
          <w:p>
            <w:pPr>
              <w:spacing w:line="276" w:lineRule="auto" w:after="40"/>
              <w:jc w:val="right"/>
            </w:pPr>
            <w:r>
              <w:rPr>
                <w:rFonts w:ascii="Times New Roman" w:hAnsi="Times New Roman"/>
                <w:b/>
                <w:sz w:val="21"/>
              </w:rPr>
              <w:t>63</w:t>
            </w:r>
          </w:p>
        </w:tc>
      </w:tr>
      <w:tr>
        <w:tc>
          <w:tcPr>
            <w:tcW w:type="dxa" w:w="4154"/>
          </w:tcPr>
          <w:p>
            <w:pPr>
              <w:spacing w:line="276" w:lineRule="auto" w:after="40"/>
            </w:pPr>
            <w:r>
              <w:rPr>
                <w:rFonts w:ascii="Times New Roman" w:hAnsi="Times New Roman"/>
                <w:b/>
                <w:sz w:val="21"/>
              </w:rPr>
              <w:t>Appendix VI: Competition Certificate: INNOVATE 360° 3rd Position Award</w:t>
            </w:r>
          </w:p>
        </w:tc>
        <w:tc>
          <w:tcPr>
            <w:tcW w:type="dxa" w:w="4154"/>
          </w:tcPr>
          <w:p>
            <w:pPr>
              <w:spacing w:line="276" w:lineRule="auto" w:after="40"/>
              <w:jc w:val="right"/>
            </w:pPr>
            <w:r>
              <w:rPr>
                <w:rFonts w:ascii="Times New Roman" w:hAnsi="Times New Roman"/>
                <w:b/>
                <w:sz w:val="21"/>
              </w:rPr>
              <w:t>67</w:t>
            </w:r>
          </w:p>
        </w:tc>
      </w:tr>
      <w:tr>
        <w:tc>
          <w:tcPr>
            <w:tcW w:type="dxa" w:w="4154"/>
          </w:tcPr>
          <w:p>
            <w:pPr>
              <w:spacing w:line="276" w:lineRule="auto" w:after="40"/>
            </w:pPr>
            <w:r>
              <w:rPr>
                <w:rFonts w:ascii="Times New Roman" w:hAnsi="Times New Roman"/>
                <w:b/>
                <w:sz w:val="21"/>
              </w:rPr>
              <w:t>Appendix VII: AI-Tool Use Disclosure Log</w:t>
            </w:r>
          </w:p>
        </w:tc>
        <w:tc>
          <w:tcPr>
            <w:tcW w:type="dxa" w:w="4154"/>
          </w:tcPr>
          <w:p>
            <w:pPr>
              <w:spacing w:line="276" w:lineRule="auto" w:after="40"/>
              <w:jc w:val="right"/>
            </w:pPr>
            <w:r>
              <w:rPr>
                <w:rFonts w:ascii="Times New Roman" w:hAnsi="Times New Roman"/>
                <w:b/>
                <w:sz w:val="21"/>
              </w:rPr>
              <w:t>69</w:t>
            </w:r>
          </w:p>
        </w:tc>
      </w:tr>
      <w:tr>
        <w:tc>
          <w:tcPr>
            <w:tcW w:type="dxa" w:w="4154"/>
          </w:tcPr>
          <w:p>
            <w:pPr>
              <w:spacing w:line="276" w:lineRule="auto" w:after="40"/>
            </w:pPr>
            <w:r>
              <w:rPr>
                <w:rFonts w:ascii="Times New Roman" w:hAnsi="Times New Roman"/>
                <w:sz w:val="21"/>
              </w:rPr>
              <w:t>Submission Checklist (Table 7 Verification)</w:t>
            </w:r>
          </w:p>
        </w:tc>
        <w:tc>
          <w:tcPr>
            <w:tcW w:type="dxa" w:w="4154"/>
          </w:tcPr>
          <w:p>
            <w:pPr>
              <w:spacing w:line="276" w:lineRule="auto" w:after="40"/>
              <w:jc w:val="right"/>
            </w:pPr>
            <w:r>
              <w:rPr>
                <w:rFonts w:ascii="Times New Roman" w:hAnsi="Times New Roman"/>
                <w:sz w:val="21"/>
              </w:rPr>
              <w:t>71</w:t>
            </w:r>
          </w:p>
        </w:tc>
      </w:tr>
    </w:tbl>
    <w:p>
      <w:r>
        <w:br w:type="page"/>
      </w:r>
    </w:p>
    <w:p>
      <w:pPr>
        <w:spacing w:before="200" w:after="160" w:line="360" w:lineRule="auto"/>
        <w:jc w:val="left"/>
      </w:pPr>
      <w:r>
        <w:rPr>
          <w:rFonts w:ascii="Times New Roman" w:hAnsi="Times New Roman"/>
          <w:b/>
          <w:i w:val="0"/>
          <w:color w:val="064E3B"/>
          <w:sz w:val="28"/>
        </w:rPr>
        <w:t>LIST OF FIGURES</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rFonts w:ascii="Times New Roman" w:hAnsi="Times New Roman"/>
                <w:b/>
                <w:sz w:val="20"/>
              </w:rPr>
              <w:t>Fig. No.</w:t>
            </w:r>
          </w:p>
        </w:tc>
        <w:tc>
          <w:tcPr>
            <w:tcW w:type="dxa" w:w="2770"/>
            <w:shd w:fill="F1F5F9"/>
          </w:tcPr>
          <w:p>
            <w:r>
              <w:rPr>
                <w:rFonts w:ascii="Times New Roman" w:hAnsi="Times New Roman"/>
                <w:b/>
                <w:sz w:val="20"/>
              </w:rPr>
              <w:t>Name of Figure</w:t>
            </w:r>
          </w:p>
        </w:tc>
        <w:tc>
          <w:tcPr>
            <w:tcW w:type="dxa" w:w="2770"/>
            <w:shd w:fill="F1F5F9"/>
          </w:tcPr>
          <w:p>
            <w:r>
              <w:rPr>
                <w:rFonts w:ascii="Times New Roman" w:hAnsi="Times New Roman"/>
                <w:b/>
                <w:sz w:val="20"/>
              </w:rPr>
              <w:t>Page No.</w:t>
            </w:r>
          </w:p>
        </w:tc>
      </w:tr>
      <w:tr>
        <w:tc>
          <w:tcPr>
            <w:tcW w:type="dxa" w:w="2770"/>
          </w:tcPr>
          <w:p>
            <w:r>
              <w:rPr>
                <w:rFonts w:ascii="Times New Roman" w:hAnsi="Times New Roman"/>
                <w:sz w:val="20"/>
              </w:rPr>
              <w:t>Fig. 1.1</w:t>
            </w:r>
          </w:p>
        </w:tc>
        <w:tc>
          <w:tcPr>
            <w:tcW w:type="dxa" w:w="2770"/>
          </w:tcPr>
          <w:p>
            <w:r>
              <w:rPr>
                <w:rFonts w:ascii="Times New Roman" w:hAnsi="Times New Roman"/>
                <w:sz w:val="20"/>
              </w:rPr>
              <w:t>Linear Waste Exploitation Model vs. AgroLoop Circular Bio-Economy Loop</w:t>
            </w:r>
          </w:p>
        </w:tc>
        <w:tc>
          <w:tcPr>
            <w:tcW w:type="dxa" w:w="2770"/>
          </w:tcPr>
          <w:p>
            <w:pPr>
              <w:jc w:val="right"/>
            </w:pPr>
            <w:r>
              <w:rPr>
                <w:rFonts w:ascii="Times New Roman" w:hAnsi="Times New Roman"/>
                <w:sz w:val="20"/>
              </w:rPr>
              <w:t>2</w:t>
            </w:r>
          </w:p>
        </w:tc>
      </w:tr>
      <w:tr>
        <w:tc>
          <w:tcPr>
            <w:tcW w:type="dxa" w:w="2770"/>
          </w:tcPr>
          <w:p>
            <w:r>
              <w:rPr>
                <w:rFonts w:ascii="Times New Roman" w:hAnsi="Times New Roman"/>
                <w:sz w:val="20"/>
              </w:rPr>
              <w:t>Fig. 2.1</w:t>
            </w:r>
          </w:p>
        </w:tc>
        <w:tc>
          <w:tcPr>
            <w:tcW w:type="dxa" w:w="2770"/>
          </w:tcPr>
          <w:p>
            <w:r>
              <w:rPr>
                <w:rFonts w:ascii="Times New Roman" w:hAnsi="Times New Roman"/>
                <w:sz w:val="20"/>
              </w:rPr>
              <w:t>Daily MSW Generation and Disposal Breakdown in Mumbai Metropolitan Region</w:t>
            </w:r>
          </w:p>
        </w:tc>
        <w:tc>
          <w:tcPr>
            <w:tcW w:type="dxa" w:w="2770"/>
          </w:tcPr>
          <w:p>
            <w:pPr>
              <w:jc w:val="right"/>
            </w:pPr>
            <w:r>
              <w:rPr>
                <w:rFonts w:ascii="Times New Roman" w:hAnsi="Times New Roman"/>
                <w:sz w:val="20"/>
              </w:rPr>
              <w:t>8</w:t>
            </w:r>
          </w:p>
        </w:tc>
      </w:tr>
      <w:tr>
        <w:tc>
          <w:tcPr>
            <w:tcW w:type="dxa" w:w="2770"/>
          </w:tcPr>
          <w:p>
            <w:r>
              <w:rPr>
                <w:rFonts w:ascii="Times New Roman" w:hAnsi="Times New Roman"/>
                <w:sz w:val="20"/>
              </w:rPr>
              <w:t>Fig. 3.1</w:t>
            </w:r>
          </w:p>
        </w:tc>
        <w:tc>
          <w:tcPr>
            <w:tcW w:type="dxa" w:w="2770"/>
          </w:tcPr>
          <w:p>
            <w:r>
              <w:rPr>
                <w:rFonts w:ascii="Times New Roman" w:hAnsi="Times New Roman"/>
                <w:sz w:val="20"/>
              </w:rPr>
              <w:t>AgroLoop High-Level Multi-Tier System Architecture</w:t>
            </w:r>
          </w:p>
        </w:tc>
        <w:tc>
          <w:tcPr>
            <w:tcW w:type="dxa" w:w="2770"/>
          </w:tcPr>
          <w:p>
            <w:pPr>
              <w:jc w:val="right"/>
            </w:pPr>
            <w:r>
              <w:rPr>
                <w:rFonts w:ascii="Times New Roman" w:hAnsi="Times New Roman"/>
                <w:sz w:val="20"/>
              </w:rPr>
              <w:t>17</w:t>
            </w:r>
          </w:p>
        </w:tc>
      </w:tr>
      <w:tr>
        <w:tc>
          <w:tcPr>
            <w:tcW w:type="dxa" w:w="2770"/>
          </w:tcPr>
          <w:p>
            <w:r>
              <w:rPr>
                <w:rFonts w:ascii="Times New Roman" w:hAnsi="Times New Roman"/>
                <w:sz w:val="20"/>
              </w:rPr>
              <w:t>Fig. 3.2</w:t>
            </w:r>
          </w:p>
        </w:tc>
        <w:tc>
          <w:tcPr>
            <w:tcW w:type="dxa" w:w="2770"/>
          </w:tcPr>
          <w:p>
            <w:r>
              <w:rPr>
                <w:rFonts w:ascii="Times New Roman" w:hAnsi="Times New Roman"/>
                <w:sz w:val="20"/>
              </w:rPr>
              <w:t>Seven-Stage Physical-to-Digital Circular State Machine</w:t>
            </w:r>
          </w:p>
        </w:tc>
        <w:tc>
          <w:tcPr>
            <w:tcW w:type="dxa" w:w="2770"/>
          </w:tcPr>
          <w:p>
            <w:pPr>
              <w:jc w:val="right"/>
            </w:pPr>
            <w:r>
              <w:rPr>
                <w:rFonts w:ascii="Times New Roman" w:hAnsi="Times New Roman"/>
                <w:sz w:val="20"/>
              </w:rPr>
              <w:t>19</w:t>
            </w:r>
          </w:p>
        </w:tc>
      </w:tr>
      <w:tr>
        <w:tc>
          <w:tcPr>
            <w:tcW w:type="dxa" w:w="2770"/>
          </w:tcPr>
          <w:p>
            <w:r>
              <w:rPr>
                <w:rFonts w:ascii="Times New Roman" w:hAnsi="Times New Roman"/>
                <w:sz w:val="20"/>
              </w:rPr>
              <w:t>Fig. 3.3</w:t>
            </w:r>
          </w:p>
        </w:tc>
        <w:tc>
          <w:tcPr>
            <w:tcW w:type="dxa" w:w="2770"/>
          </w:tcPr>
          <w:p>
            <w:r>
              <w:rPr>
                <w:rFonts w:ascii="Times New Roman" w:hAnsi="Times New Roman"/>
                <w:sz w:val="20"/>
              </w:rPr>
              <w:t>Dual-Layer Guarded AI Architecture (Gemini 1.5 + Deterministic ICAR Bounds)</w:t>
            </w:r>
          </w:p>
        </w:tc>
        <w:tc>
          <w:tcPr>
            <w:tcW w:type="dxa" w:w="2770"/>
          </w:tcPr>
          <w:p>
            <w:pPr>
              <w:jc w:val="right"/>
            </w:pPr>
            <w:r>
              <w:rPr>
                <w:rFonts w:ascii="Times New Roman" w:hAnsi="Times New Roman"/>
                <w:sz w:val="20"/>
              </w:rPr>
              <w:t>20</w:t>
            </w:r>
          </w:p>
        </w:tc>
      </w:tr>
      <w:tr>
        <w:tc>
          <w:tcPr>
            <w:tcW w:type="dxa" w:w="2770"/>
          </w:tcPr>
          <w:p>
            <w:r>
              <w:rPr>
                <w:rFonts w:ascii="Times New Roman" w:hAnsi="Times New Roman"/>
                <w:sz w:val="20"/>
              </w:rPr>
              <w:t>Fig. 3.4</w:t>
            </w:r>
          </w:p>
        </w:tc>
        <w:tc>
          <w:tcPr>
            <w:tcW w:type="dxa" w:w="2770"/>
          </w:tcPr>
          <w:p>
            <w:r>
              <w:rPr>
                <w:rFonts w:ascii="Times New Roman" w:hAnsi="Times New Roman"/>
                <w:sz w:val="20"/>
              </w:rPr>
              <w:t>Project Work Breakdown Structure (WBS) &amp; Semester Gantt Chart</w:t>
            </w:r>
          </w:p>
        </w:tc>
        <w:tc>
          <w:tcPr>
            <w:tcW w:type="dxa" w:w="2770"/>
          </w:tcPr>
          <w:p>
            <w:pPr>
              <w:jc w:val="right"/>
            </w:pPr>
            <w:r>
              <w:rPr>
                <w:rFonts w:ascii="Times New Roman" w:hAnsi="Times New Roman"/>
                <w:sz w:val="20"/>
              </w:rPr>
              <w:t>23</w:t>
            </w:r>
          </w:p>
        </w:tc>
      </w:tr>
      <w:tr>
        <w:tc>
          <w:tcPr>
            <w:tcW w:type="dxa" w:w="2770"/>
          </w:tcPr>
          <w:p>
            <w:r>
              <w:rPr>
                <w:rFonts w:ascii="Times New Roman" w:hAnsi="Times New Roman"/>
                <w:sz w:val="20"/>
              </w:rPr>
              <w:t>Fig. 4.1</w:t>
            </w:r>
          </w:p>
        </w:tc>
        <w:tc>
          <w:tcPr>
            <w:tcW w:type="dxa" w:w="2770"/>
          </w:tcPr>
          <w:p>
            <w:r>
              <w:rPr>
                <w:rFonts w:ascii="Times New Roman" w:hAnsi="Times New Roman"/>
                <w:sz w:val="20"/>
              </w:rPr>
              <w:t>Next.js 15 Responsive Platform Dashboards Across Five Personas</w:t>
            </w:r>
          </w:p>
        </w:tc>
        <w:tc>
          <w:tcPr>
            <w:tcW w:type="dxa" w:w="2770"/>
          </w:tcPr>
          <w:p>
            <w:pPr>
              <w:jc w:val="right"/>
            </w:pPr>
            <w:r>
              <w:rPr>
                <w:rFonts w:ascii="Times New Roman" w:hAnsi="Times New Roman"/>
                <w:sz w:val="20"/>
              </w:rPr>
              <w:t>25</w:t>
            </w:r>
          </w:p>
        </w:tc>
      </w:tr>
      <w:tr>
        <w:tc>
          <w:tcPr>
            <w:tcW w:type="dxa" w:w="2770"/>
          </w:tcPr>
          <w:p>
            <w:r>
              <w:rPr>
                <w:rFonts w:ascii="Times New Roman" w:hAnsi="Times New Roman"/>
                <w:sz w:val="20"/>
              </w:rPr>
              <w:t>Fig. 4.2</w:t>
            </w:r>
          </w:p>
        </w:tc>
        <w:tc>
          <w:tcPr>
            <w:tcW w:type="dxa" w:w="2770"/>
          </w:tcPr>
          <w:p>
            <w:r>
              <w:rPr>
                <w:rFonts w:ascii="Times New Roman" w:hAnsi="Times New Roman"/>
                <w:sz w:val="20"/>
              </w:rPr>
              <w:t>Bokashi Fermentation pH Decay Curve over 14 Days</w:t>
            </w:r>
          </w:p>
        </w:tc>
        <w:tc>
          <w:tcPr>
            <w:tcW w:type="dxa" w:w="2770"/>
          </w:tcPr>
          <w:p>
            <w:pPr>
              <w:jc w:val="right"/>
            </w:pPr>
            <w:r>
              <w:rPr>
                <w:rFonts w:ascii="Times New Roman" w:hAnsi="Times New Roman"/>
                <w:sz w:val="20"/>
              </w:rPr>
              <w:t>28</w:t>
            </w:r>
          </w:p>
        </w:tc>
      </w:tr>
      <w:tr>
        <w:tc>
          <w:tcPr>
            <w:tcW w:type="dxa" w:w="2770"/>
          </w:tcPr>
          <w:p>
            <w:r>
              <w:rPr>
                <w:rFonts w:ascii="Times New Roman" w:hAnsi="Times New Roman"/>
                <w:sz w:val="20"/>
              </w:rPr>
              <w:t>Fig. 4.3</w:t>
            </w:r>
          </w:p>
        </w:tc>
        <w:tc>
          <w:tcPr>
            <w:tcW w:type="dxa" w:w="2770"/>
          </w:tcPr>
          <w:p>
            <w:r>
              <w:rPr>
                <w:rFonts w:ascii="Times New Roman" w:hAnsi="Times New Roman"/>
                <w:sz w:val="20"/>
              </w:rPr>
              <w:t>Cumulative Cash Flow &amp; Operational Breakeven Trajectory (Month 14)</w:t>
            </w:r>
          </w:p>
        </w:tc>
        <w:tc>
          <w:tcPr>
            <w:tcW w:type="dxa" w:w="2770"/>
          </w:tcPr>
          <w:p>
            <w:pPr>
              <w:jc w:val="right"/>
            </w:pPr>
            <w:r>
              <w:rPr>
                <w:rFonts w:ascii="Times New Roman" w:hAnsi="Times New Roman"/>
                <w:sz w:val="20"/>
              </w:rPr>
              <w:t>31</w:t>
            </w:r>
          </w:p>
        </w:tc>
      </w:tr>
      <w:tr>
        <w:tc>
          <w:tcPr>
            <w:tcW w:type="dxa" w:w="2770"/>
          </w:tcPr>
          <w:p>
            <w:r>
              <w:rPr>
                <w:rFonts w:ascii="Times New Roman" w:hAnsi="Times New Roman"/>
                <w:sz w:val="20"/>
              </w:rPr>
              <w:t>Fig. VI.1</w:t>
            </w:r>
          </w:p>
        </w:tc>
        <w:tc>
          <w:tcPr>
            <w:tcW w:type="dxa" w:w="2770"/>
          </w:tcPr>
          <w:p>
            <w:r>
              <w:rPr>
                <w:rFonts w:ascii="Times New Roman" w:hAnsi="Times New Roman"/>
                <w:sz w:val="20"/>
              </w:rPr>
              <w:t>Official Certificate of Achievement - INNOVATE 360° 3rd Position Award</w:t>
            </w:r>
          </w:p>
        </w:tc>
        <w:tc>
          <w:tcPr>
            <w:tcW w:type="dxa" w:w="2770"/>
          </w:tcPr>
          <w:p>
            <w:pPr>
              <w:jc w:val="right"/>
            </w:pPr>
            <w:r>
              <w:rPr>
                <w:rFonts w:ascii="Times New Roman" w:hAnsi="Times New Roman"/>
                <w:sz w:val="20"/>
              </w:rPr>
              <w:t>68</w:t>
            </w:r>
          </w:p>
        </w:tc>
      </w:tr>
    </w:tbl>
    <w:p>
      <w:pPr>
        <w:spacing w:before="400" w:after="160" w:line="360" w:lineRule="auto"/>
        <w:jc w:val="left"/>
      </w:pPr>
      <w:r>
        <w:rPr>
          <w:rFonts w:ascii="Times New Roman" w:hAnsi="Times New Roman"/>
          <w:b/>
          <w:i w:val="0"/>
          <w:color w:val="064E3B"/>
          <w:sz w:val="28"/>
        </w:rPr>
        <w:t>LIST OF TABLES</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rFonts w:ascii="Times New Roman" w:hAnsi="Times New Roman"/>
                <w:b/>
                <w:sz w:val="20"/>
              </w:rPr>
              <w:t>Table No.</w:t>
            </w:r>
          </w:p>
        </w:tc>
        <w:tc>
          <w:tcPr>
            <w:tcW w:type="dxa" w:w="2770"/>
            <w:shd w:fill="F1F5F9"/>
          </w:tcPr>
          <w:p>
            <w:r>
              <w:rPr>
                <w:rFonts w:ascii="Times New Roman" w:hAnsi="Times New Roman"/>
                <w:b/>
                <w:sz w:val="20"/>
              </w:rPr>
              <w:t>Name of Table</w:t>
            </w:r>
          </w:p>
        </w:tc>
        <w:tc>
          <w:tcPr>
            <w:tcW w:type="dxa" w:w="2770"/>
            <w:shd w:fill="F1F5F9"/>
          </w:tcPr>
          <w:p>
            <w:r>
              <w:rPr>
                <w:rFonts w:ascii="Times New Roman" w:hAnsi="Times New Roman"/>
                <w:b/>
                <w:sz w:val="20"/>
              </w:rPr>
              <w:t>Page No.</w:t>
            </w:r>
          </w:p>
        </w:tc>
      </w:tr>
      <w:tr>
        <w:tc>
          <w:tcPr>
            <w:tcW w:type="dxa" w:w="2770"/>
          </w:tcPr>
          <w:p>
            <w:r>
              <w:rPr>
                <w:rFonts w:ascii="Times New Roman" w:hAnsi="Times New Roman"/>
                <w:sz w:val="20"/>
              </w:rPr>
              <w:t>Table 2.1</w:t>
            </w:r>
          </w:p>
        </w:tc>
        <w:tc>
          <w:tcPr>
            <w:tcW w:type="dxa" w:w="2770"/>
          </w:tcPr>
          <w:p>
            <w:r>
              <w:rPr>
                <w:rFonts w:ascii="Times New Roman" w:hAnsi="Times New Roman"/>
                <w:sz w:val="20"/>
              </w:rPr>
              <w:t>Competitive Benchmarking Matrix (AgroLoop vs. 5 Market Alternatives)</w:t>
            </w:r>
          </w:p>
        </w:tc>
        <w:tc>
          <w:tcPr>
            <w:tcW w:type="dxa" w:w="2770"/>
          </w:tcPr>
          <w:p>
            <w:pPr>
              <w:jc w:val="right"/>
            </w:pPr>
            <w:r>
              <w:rPr>
                <w:rFonts w:ascii="Times New Roman" w:hAnsi="Times New Roman"/>
                <w:sz w:val="20"/>
              </w:rPr>
              <w:t>10</w:t>
            </w:r>
          </w:p>
        </w:tc>
      </w:tr>
      <w:tr>
        <w:tc>
          <w:tcPr>
            <w:tcW w:type="dxa" w:w="2770"/>
          </w:tcPr>
          <w:p>
            <w:r>
              <w:rPr>
                <w:rFonts w:ascii="Times New Roman" w:hAnsi="Times New Roman"/>
                <w:sz w:val="20"/>
              </w:rPr>
              <w:t>Table 3.1</w:t>
            </w:r>
          </w:p>
        </w:tc>
        <w:tc>
          <w:tcPr>
            <w:tcW w:type="dxa" w:w="2770"/>
          </w:tcPr>
          <w:p>
            <w:r>
              <w:rPr>
                <w:rFonts w:ascii="Times New Roman" w:hAnsi="Times New Roman"/>
                <w:sz w:val="20"/>
              </w:rPr>
              <w:t>Technological Design Alternatives Decision Matrix</w:t>
            </w:r>
          </w:p>
        </w:tc>
        <w:tc>
          <w:tcPr>
            <w:tcW w:type="dxa" w:w="2770"/>
          </w:tcPr>
          <w:p>
            <w:pPr>
              <w:jc w:val="right"/>
            </w:pPr>
            <w:r>
              <w:rPr>
                <w:rFonts w:ascii="Times New Roman" w:hAnsi="Times New Roman"/>
                <w:sz w:val="20"/>
              </w:rPr>
              <w:t>16</w:t>
            </w:r>
          </w:p>
        </w:tc>
      </w:tr>
      <w:tr>
        <w:tc>
          <w:tcPr>
            <w:tcW w:type="dxa" w:w="2770"/>
          </w:tcPr>
          <w:p>
            <w:r>
              <w:rPr>
                <w:rFonts w:ascii="Times New Roman" w:hAnsi="Times New Roman"/>
                <w:sz w:val="20"/>
              </w:rPr>
              <w:t>Table 3.2</w:t>
            </w:r>
          </w:p>
        </w:tc>
        <w:tc>
          <w:tcPr>
            <w:tcW w:type="dxa" w:w="2770"/>
          </w:tcPr>
          <w:p>
            <w:r>
              <w:rPr>
                <w:rFonts w:ascii="Times New Roman" w:hAnsi="Times New Roman"/>
                <w:sz w:val="20"/>
              </w:rPr>
              <w:t>Regulatory Standards, Compliance Codes and Safety Thresholds</w:t>
            </w:r>
          </w:p>
        </w:tc>
        <w:tc>
          <w:tcPr>
            <w:tcW w:type="dxa" w:w="2770"/>
          </w:tcPr>
          <w:p>
            <w:pPr>
              <w:jc w:val="right"/>
            </w:pPr>
            <w:r>
              <w:rPr>
                <w:rFonts w:ascii="Times New Roman" w:hAnsi="Times New Roman"/>
                <w:sz w:val="20"/>
              </w:rPr>
              <w:t>21</w:t>
            </w:r>
          </w:p>
        </w:tc>
      </w:tr>
      <w:tr>
        <w:tc>
          <w:tcPr>
            <w:tcW w:type="dxa" w:w="2770"/>
          </w:tcPr>
          <w:p>
            <w:r>
              <w:rPr>
                <w:rFonts w:ascii="Times New Roman" w:hAnsi="Times New Roman"/>
                <w:sz w:val="20"/>
              </w:rPr>
              <w:t>Table 4.1</w:t>
            </w:r>
          </w:p>
        </w:tc>
        <w:tc>
          <w:tcPr>
            <w:tcW w:type="dxa" w:w="2770"/>
          </w:tcPr>
          <w:p>
            <w:r>
              <w:rPr>
                <w:rFonts w:ascii="Times New Roman" w:hAnsi="Times New Roman"/>
                <w:sz w:val="20"/>
              </w:rPr>
              <w:t>Chemical &amp; Biological Analysis of Bio-Inputs vs. FCO 1985 Standards</w:t>
            </w:r>
          </w:p>
        </w:tc>
        <w:tc>
          <w:tcPr>
            <w:tcW w:type="dxa" w:w="2770"/>
          </w:tcPr>
          <w:p>
            <w:pPr>
              <w:jc w:val="right"/>
            </w:pPr>
            <w:r>
              <w:rPr>
                <w:rFonts w:ascii="Times New Roman" w:hAnsi="Times New Roman"/>
                <w:sz w:val="20"/>
              </w:rPr>
              <w:t>28</w:t>
            </w:r>
          </w:p>
        </w:tc>
      </w:tr>
      <w:tr>
        <w:tc>
          <w:tcPr>
            <w:tcW w:type="dxa" w:w="2770"/>
          </w:tcPr>
          <w:p>
            <w:r>
              <w:rPr>
                <w:rFonts w:ascii="Times New Roman" w:hAnsi="Times New Roman"/>
                <w:sz w:val="20"/>
              </w:rPr>
              <w:t>Table 4.2</w:t>
            </w:r>
          </w:p>
        </w:tc>
        <w:tc>
          <w:tcPr>
            <w:tcW w:type="dxa" w:w="2770"/>
          </w:tcPr>
          <w:p>
            <w:r>
              <w:rPr>
                <w:rFonts w:ascii="Times New Roman" w:hAnsi="Times New Roman"/>
                <w:sz w:val="20"/>
              </w:rPr>
              <w:t>Per-Kilogram Unit Economics and Contribution Margin Breakdown</w:t>
            </w:r>
          </w:p>
        </w:tc>
        <w:tc>
          <w:tcPr>
            <w:tcW w:type="dxa" w:w="2770"/>
          </w:tcPr>
          <w:p>
            <w:pPr>
              <w:jc w:val="right"/>
            </w:pPr>
            <w:r>
              <w:rPr>
                <w:rFonts w:ascii="Times New Roman" w:hAnsi="Times New Roman"/>
                <w:sz w:val="20"/>
              </w:rPr>
              <w:t>30</w:t>
            </w:r>
          </w:p>
        </w:tc>
      </w:tr>
      <w:tr>
        <w:tc>
          <w:tcPr>
            <w:tcW w:type="dxa" w:w="2770"/>
          </w:tcPr>
          <w:p>
            <w:r>
              <w:rPr>
                <w:rFonts w:ascii="Times New Roman" w:hAnsi="Times New Roman"/>
                <w:sz w:val="20"/>
              </w:rPr>
              <w:t>Table 4.3</w:t>
            </w:r>
          </w:p>
        </w:tc>
        <w:tc>
          <w:tcPr>
            <w:tcW w:type="dxa" w:w="2770"/>
          </w:tcPr>
          <w:p>
            <w:r>
              <w:rPr>
                <w:rFonts w:ascii="Times New Roman" w:hAnsi="Times New Roman"/>
                <w:sz w:val="20"/>
              </w:rPr>
              <w:t>36-Month Commercial Scaling, Capacity and Financial Projections</w:t>
            </w:r>
          </w:p>
        </w:tc>
        <w:tc>
          <w:tcPr>
            <w:tcW w:type="dxa" w:w="2770"/>
          </w:tcPr>
          <w:p>
            <w:pPr>
              <w:jc w:val="right"/>
            </w:pPr>
            <w:r>
              <w:rPr>
                <w:rFonts w:ascii="Times New Roman" w:hAnsi="Times New Roman"/>
                <w:sz w:val="20"/>
              </w:rPr>
              <w:t>31</w:t>
            </w:r>
          </w:p>
        </w:tc>
      </w:tr>
      <w:tr>
        <w:tc>
          <w:tcPr>
            <w:tcW w:type="dxa" w:w="2770"/>
          </w:tcPr>
          <w:p>
            <w:r>
              <w:rPr>
                <w:rFonts w:ascii="Times New Roman" w:hAnsi="Times New Roman"/>
                <w:sz w:val="20"/>
              </w:rPr>
              <w:t>Table 5.1</w:t>
            </w:r>
          </w:p>
        </w:tc>
        <w:tc>
          <w:tcPr>
            <w:tcW w:type="dxa" w:w="2770"/>
          </w:tcPr>
          <w:p>
            <w:r>
              <w:rPr>
                <w:rFonts w:ascii="Times New Roman" w:hAnsi="Times New Roman"/>
                <w:sz w:val="20"/>
              </w:rPr>
              <w:t>Individual Contribution Matrix (Veer Nagda) with Evidence Register IDs</w:t>
            </w:r>
          </w:p>
        </w:tc>
        <w:tc>
          <w:tcPr>
            <w:tcW w:type="dxa" w:w="2770"/>
          </w:tcPr>
          <w:p>
            <w:pPr>
              <w:jc w:val="right"/>
            </w:pPr>
            <w:r>
              <w:rPr>
                <w:rFonts w:ascii="Times New Roman" w:hAnsi="Times New Roman"/>
                <w:sz w:val="20"/>
              </w:rPr>
              <w:t>38</w:t>
            </w:r>
          </w:p>
        </w:tc>
      </w:tr>
      <w:tr>
        <w:tc>
          <w:tcPr>
            <w:tcW w:type="dxa" w:w="2770"/>
          </w:tcPr>
          <w:p>
            <w:r>
              <w:rPr>
                <w:rFonts w:ascii="Times New Roman" w:hAnsi="Times New Roman"/>
                <w:sz w:val="20"/>
              </w:rPr>
              <w:t>Table 5.2</w:t>
            </w:r>
          </w:p>
        </w:tc>
        <w:tc>
          <w:tcPr>
            <w:tcW w:type="dxa" w:w="2770"/>
          </w:tcPr>
          <w:p>
            <w:r>
              <w:rPr>
                <w:rFonts w:ascii="Times New Roman" w:hAnsi="Times New Roman"/>
                <w:sz w:val="20"/>
              </w:rPr>
              <w:t>Summary of Weekly Mentoring Meetings with Prof. Deepali A. Maste</w:t>
            </w:r>
          </w:p>
        </w:tc>
        <w:tc>
          <w:tcPr>
            <w:tcW w:type="dxa" w:w="2770"/>
          </w:tcPr>
          <w:p>
            <w:pPr>
              <w:jc w:val="right"/>
            </w:pPr>
            <w:r>
              <w:rPr>
                <w:rFonts w:ascii="Times New Roman" w:hAnsi="Times New Roman"/>
                <w:sz w:val="20"/>
              </w:rPr>
              <w:t>41</w:t>
            </w:r>
          </w:p>
        </w:tc>
      </w:tr>
    </w:tbl>
    <w:p>
      <w:pPr>
        <w:spacing w:before="400" w:after="160" w:line="360" w:lineRule="auto"/>
        <w:jc w:val="left"/>
      </w:pPr>
      <w:r>
        <w:rPr>
          <w:rFonts w:ascii="Times New Roman" w:hAnsi="Times New Roman"/>
          <w:b/>
          <w:i w:val="0"/>
          <w:color w:val="064E3B"/>
          <w:sz w:val="28"/>
        </w:rPr>
        <w:t>ABBREVIATIONS</w:t>
      </w:r>
    </w:p>
    <w:tbl>
      <w:tblPr>
        <w:tblW w:type="auto" w:w="0"/>
        <w:jc w:val="center"/>
        <w:tblLook w:firstColumn="1" w:firstRow="1" w:lastColumn="0" w:lastRow="0" w:noHBand="0" w:noVBand="1" w:val="04A0"/>
      </w:tblPr>
      <w:tblGrid>
        <w:gridCol w:w="4154"/>
        <w:gridCol w:w="4154"/>
      </w:tblGrid>
      <w:tr>
        <w:tc>
          <w:tcPr>
            <w:tcW w:type="dxa" w:w="4154"/>
            <w:shd w:fill="F1F5F9"/>
          </w:tcPr>
          <w:p>
            <w:r>
              <w:rPr>
                <w:rFonts w:ascii="Times New Roman" w:hAnsi="Times New Roman"/>
                <w:b/>
                <w:sz w:val="20"/>
              </w:rPr>
              <w:t>Abbreviation</w:t>
            </w:r>
          </w:p>
        </w:tc>
        <w:tc>
          <w:tcPr>
            <w:tcW w:type="dxa" w:w="4154"/>
            <w:shd w:fill="F1F5F9"/>
          </w:tcPr>
          <w:p>
            <w:r>
              <w:rPr>
                <w:rFonts w:ascii="Times New Roman" w:hAnsi="Times New Roman"/>
                <w:b/>
                <w:sz w:val="20"/>
              </w:rPr>
              <w:t>Full Form / Definition</w:t>
            </w:r>
          </w:p>
        </w:tc>
      </w:tr>
      <w:tr>
        <w:tc>
          <w:tcPr>
            <w:tcW w:type="dxa" w:w="4154"/>
          </w:tcPr>
          <w:p>
            <w:r>
              <w:rPr>
                <w:rFonts w:ascii="Times New Roman" w:hAnsi="Times New Roman"/>
                <w:sz w:val="19"/>
              </w:rPr>
              <w:t>AIC</w:t>
            </w:r>
          </w:p>
        </w:tc>
        <w:tc>
          <w:tcPr>
            <w:tcW w:type="dxa" w:w="4154"/>
          </w:tcPr>
          <w:p>
            <w:r>
              <w:rPr>
                <w:rFonts w:ascii="Times New Roman" w:hAnsi="Times New Roman"/>
                <w:sz w:val="19"/>
              </w:rPr>
              <w:t>Atal Incubation Centre</w:t>
            </w:r>
          </w:p>
        </w:tc>
      </w:tr>
      <w:tr>
        <w:tc>
          <w:tcPr>
            <w:tcW w:type="dxa" w:w="4154"/>
          </w:tcPr>
          <w:p>
            <w:r>
              <w:rPr>
                <w:rFonts w:ascii="Times New Roman" w:hAnsi="Times New Roman"/>
                <w:sz w:val="19"/>
              </w:rPr>
              <w:t>BLE</w:t>
            </w:r>
          </w:p>
        </w:tc>
        <w:tc>
          <w:tcPr>
            <w:tcW w:type="dxa" w:w="4154"/>
          </w:tcPr>
          <w:p>
            <w:r>
              <w:rPr>
                <w:rFonts w:ascii="Times New Roman" w:hAnsi="Times New Roman"/>
                <w:sz w:val="19"/>
              </w:rPr>
              <w:t>Bluetooth Low Energy</w:t>
            </w:r>
          </w:p>
        </w:tc>
      </w:tr>
      <w:tr>
        <w:tc>
          <w:tcPr>
            <w:tcW w:type="dxa" w:w="4154"/>
          </w:tcPr>
          <w:p>
            <w:r>
              <w:rPr>
                <w:rFonts w:ascii="Times New Roman" w:hAnsi="Times New Roman"/>
                <w:sz w:val="19"/>
              </w:rPr>
              <w:t>BMC / MCGM</w:t>
            </w:r>
          </w:p>
        </w:tc>
        <w:tc>
          <w:tcPr>
            <w:tcW w:type="dxa" w:w="4154"/>
          </w:tcPr>
          <w:p>
            <w:r>
              <w:rPr>
                <w:rFonts w:ascii="Times New Roman" w:hAnsi="Times New Roman"/>
                <w:sz w:val="19"/>
              </w:rPr>
              <w:t>Brihanmumbai Municipal Corporation / Municipal Corporation of Greater Mumbai</w:t>
            </w:r>
          </w:p>
        </w:tc>
      </w:tr>
      <w:tr>
        <w:tc>
          <w:tcPr>
            <w:tcW w:type="dxa" w:w="4154"/>
          </w:tcPr>
          <w:p>
            <w:r>
              <w:rPr>
                <w:rFonts w:ascii="Times New Roman" w:hAnsi="Times New Roman"/>
                <w:sz w:val="19"/>
              </w:rPr>
              <w:t>BMC (Business)</w:t>
            </w:r>
          </w:p>
        </w:tc>
        <w:tc>
          <w:tcPr>
            <w:tcW w:type="dxa" w:w="4154"/>
          </w:tcPr>
          <w:p>
            <w:r>
              <w:rPr>
                <w:rFonts w:ascii="Times New Roman" w:hAnsi="Times New Roman"/>
                <w:sz w:val="19"/>
              </w:rPr>
              <w:t>Business Model Canvas</w:t>
            </w:r>
          </w:p>
        </w:tc>
      </w:tr>
      <w:tr>
        <w:tc>
          <w:tcPr>
            <w:tcW w:type="dxa" w:w="4154"/>
          </w:tcPr>
          <w:p>
            <w:r>
              <w:rPr>
                <w:rFonts w:ascii="Times New Roman" w:hAnsi="Times New Roman"/>
                <w:sz w:val="19"/>
              </w:rPr>
              <w:t>BWG</w:t>
            </w:r>
          </w:p>
        </w:tc>
        <w:tc>
          <w:tcPr>
            <w:tcW w:type="dxa" w:w="4154"/>
          </w:tcPr>
          <w:p>
            <w:r>
              <w:rPr>
                <w:rFonts w:ascii="Times New Roman" w:hAnsi="Times New Roman"/>
                <w:sz w:val="19"/>
              </w:rPr>
              <w:t>Bulk Waste Generator (Premises generating &gt;100 kg/day or &gt;5,000 sq. m)</w:t>
            </w:r>
          </w:p>
        </w:tc>
      </w:tr>
      <w:tr>
        <w:tc>
          <w:tcPr>
            <w:tcW w:type="dxa" w:w="4154"/>
          </w:tcPr>
          <w:p>
            <w:r>
              <w:rPr>
                <w:rFonts w:ascii="Times New Roman" w:hAnsi="Times New Roman"/>
                <w:sz w:val="19"/>
              </w:rPr>
              <w:t>CHS</w:t>
            </w:r>
          </w:p>
        </w:tc>
        <w:tc>
          <w:tcPr>
            <w:tcW w:type="dxa" w:w="4154"/>
          </w:tcPr>
          <w:p>
            <w:r>
              <w:rPr>
                <w:rFonts w:ascii="Times New Roman" w:hAnsi="Times New Roman"/>
                <w:sz w:val="19"/>
              </w:rPr>
              <w:t>Co-operative Housing Society</w:t>
            </w:r>
          </w:p>
        </w:tc>
      </w:tr>
      <w:tr>
        <w:tc>
          <w:tcPr>
            <w:tcW w:type="dxa" w:w="4154"/>
          </w:tcPr>
          <w:p>
            <w:r>
              <w:rPr>
                <w:rFonts w:ascii="Times New Roman" w:hAnsi="Times New Roman"/>
                <w:sz w:val="19"/>
              </w:rPr>
              <w:t>DAP</w:t>
            </w:r>
          </w:p>
        </w:tc>
        <w:tc>
          <w:tcPr>
            <w:tcW w:type="dxa" w:w="4154"/>
          </w:tcPr>
          <w:p>
            <w:r>
              <w:rPr>
                <w:rFonts w:ascii="Times New Roman" w:hAnsi="Times New Roman"/>
                <w:sz w:val="19"/>
              </w:rPr>
              <w:t>Diammonium Phosphate (Synthetic Fertilizer)</w:t>
            </w:r>
          </w:p>
        </w:tc>
      </w:tr>
      <w:tr>
        <w:tc>
          <w:tcPr>
            <w:tcW w:type="dxa" w:w="4154"/>
          </w:tcPr>
          <w:p>
            <w:r>
              <w:rPr>
                <w:rFonts w:ascii="Times New Roman" w:hAnsi="Times New Roman"/>
                <w:sz w:val="19"/>
              </w:rPr>
              <w:t>EBITDA</w:t>
            </w:r>
          </w:p>
        </w:tc>
        <w:tc>
          <w:tcPr>
            <w:tcW w:type="dxa" w:w="4154"/>
          </w:tcPr>
          <w:p>
            <w:r>
              <w:rPr>
                <w:rFonts w:ascii="Times New Roman" w:hAnsi="Times New Roman"/>
                <w:sz w:val="19"/>
              </w:rPr>
              <w:t>Earnings Before Interest, Taxes, Depreciation, and Amortization</w:t>
            </w:r>
          </w:p>
        </w:tc>
      </w:tr>
      <w:tr>
        <w:tc>
          <w:tcPr>
            <w:tcW w:type="dxa" w:w="4154"/>
          </w:tcPr>
          <w:p>
            <w:r>
              <w:rPr>
                <w:rFonts w:ascii="Times New Roman" w:hAnsi="Times New Roman"/>
                <w:sz w:val="19"/>
              </w:rPr>
              <w:t>EM1</w:t>
            </w:r>
          </w:p>
        </w:tc>
        <w:tc>
          <w:tcPr>
            <w:tcW w:type="dxa" w:w="4154"/>
          </w:tcPr>
          <w:p>
            <w:r>
              <w:rPr>
                <w:rFonts w:ascii="Times New Roman" w:hAnsi="Times New Roman"/>
                <w:sz w:val="19"/>
              </w:rPr>
              <w:t>Effective Microorganisms Formulation 1 (Bokashi Inoculant)</w:t>
            </w:r>
          </w:p>
        </w:tc>
      </w:tr>
      <w:tr>
        <w:tc>
          <w:tcPr>
            <w:tcW w:type="dxa" w:w="4154"/>
          </w:tcPr>
          <w:p>
            <w:r>
              <w:rPr>
                <w:rFonts w:ascii="Times New Roman" w:hAnsi="Times New Roman"/>
                <w:sz w:val="19"/>
              </w:rPr>
              <w:t>ESG</w:t>
            </w:r>
          </w:p>
        </w:tc>
        <w:tc>
          <w:tcPr>
            <w:tcW w:type="dxa" w:w="4154"/>
          </w:tcPr>
          <w:p>
            <w:r>
              <w:rPr>
                <w:rFonts w:ascii="Times New Roman" w:hAnsi="Times New Roman"/>
                <w:sz w:val="19"/>
              </w:rPr>
              <w:t>Environmental, Social, and Governance</w:t>
            </w:r>
          </w:p>
        </w:tc>
      </w:tr>
      <w:tr>
        <w:tc>
          <w:tcPr>
            <w:tcW w:type="dxa" w:w="4154"/>
          </w:tcPr>
          <w:p>
            <w:r>
              <w:rPr>
                <w:rFonts w:ascii="Times New Roman" w:hAnsi="Times New Roman"/>
                <w:sz w:val="19"/>
              </w:rPr>
              <w:t>FCO</w:t>
            </w:r>
          </w:p>
        </w:tc>
        <w:tc>
          <w:tcPr>
            <w:tcW w:type="dxa" w:w="4154"/>
          </w:tcPr>
          <w:p>
            <w:r>
              <w:rPr>
                <w:rFonts w:ascii="Times New Roman" w:hAnsi="Times New Roman"/>
                <w:sz w:val="19"/>
              </w:rPr>
              <w:t>Fertilizer Control Order, 1985 (Government of India)</w:t>
            </w:r>
          </w:p>
        </w:tc>
      </w:tr>
      <w:tr>
        <w:tc>
          <w:tcPr>
            <w:tcW w:type="dxa" w:w="4154"/>
          </w:tcPr>
          <w:p>
            <w:r>
              <w:rPr>
                <w:rFonts w:ascii="Times New Roman" w:hAnsi="Times New Roman"/>
                <w:sz w:val="19"/>
              </w:rPr>
              <w:t>FPO / FPC</w:t>
            </w:r>
          </w:p>
        </w:tc>
        <w:tc>
          <w:tcPr>
            <w:tcW w:type="dxa" w:w="4154"/>
          </w:tcPr>
          <w:p>
            <w:r>
              <w:rPr>
                <w:rFonts w:ascii="Times New Roman" w:hAnsi="Times New Roman"/>
                <w:sz w:val="19"/>
              </w:rPr>
              <w:t>Farmer Producer Organization / Farmer Producer Company</w:t>
            </w:r>
          </w:p>
        </w:tc>
      </w:tr>
      <w:tr>
        <w:tc>
          <w:tcPr>
            <w:tcW w:type="dxa" w:w="4154"/>
          </w:tcPr>
          <w:p>
            <w:r>
              <w:rPr>
                <w:rFonts w:ascii="Times New Roman" w:hAnsi="Times New Roman"/>
                <w:sz w:val="19"/>
              </w:rPr>
              <w:t>ICAR</w:t>
            </w:r>
          </w:p>
        </w:tc>
        <w:tc>
          <w:tcPr>
            <w:tcW w:type="dxa" w:w="4154"/>
          </w:tcPr>
          <w:p>
            <w:r>
              <w:rPr>
                <w:rFonts w:ascii="Times New Roman" w:hAnsi="Times New Roman"/>
                <w:sz w:val="19"/>
              </w:rPr>
              <w:t>Indian Council of Agricultural Research</w:t>
            </w:r>
          </w:p>
        </w:tc>
      </w:tr>
      <w:tr>
        <w:tc>
          <w:tcPr>
            <w:tcW w:type="dxa" w:w="4154"/>
          </w:tcPr>
          <w:p>
            <w:r>
              <w:rPr>
                <w:rFonts w:ascii="Times New Roman" w:hAnsi="Times New Roman"/>
                <w:sz w:val="19"/>
              </w:rPr>
              <w:t>IER</w:t>
            </w:r>
          </w:p>
        </w:tc>
        <w:tc>
          <w:tcPr>
            <w:tcW w:type="dxa" w:w="4154"/>
          </w:tcPr>
          <w:p>
            <w:r>
              <w:rPr>
                <w:rFonts w:ascii="Times New Roman" w:hAnsi="Times New Roman"/>
                <w:sz w:val="19"/>
              </w:rPr>
              <w:t>Individual Evidence Register / Project Portfolio</w:t>
            </w:r>
          </w:p>
        </w:tc>
      </w:tr>
      <w:tr>
        <w:tc>
          <w:tcPr>
            <w:tcW w:type="dxa" w:w="4154"/>
          </w:tcPr>
          <w:p>
            <w:r>
              <w:rPr>
                <w:rFonts w:ascii="Times New Roman" w:hAnsi="Times New Roman"/>
                <w:sz w:val="19"/>
              </w:rPr>
              <w:t>LLM</w:t>
            </w:r>
          </w:p>
        </w:tc>
        <w:tc>
          <w:tcPr>
            <w:tcW w:type="dxa" w:w="4154"/>
          </w:tcPr>
          <w:p>
            <w:r>
              <w:rPr>
                <w:rFonts w:ascii="Times New Roman" w:hAnsi="Times New Roman"/>
                <w:sz w:val="19"/>
              </w:rPr>
              <w:t>Large Language Model</w:t>
            </w:r>
          </w:p>
        </w:tc>
      </w:tr>
      <w:tr>
        <w:tc>
          <w:tcPr>
            <w:tcW w:type="dxa" w:w="4154"/>
          </w:tcPr>
          <w:p>
            <w:r>
              <w:rPr>
                <w:rFonts w:ascii="Times New Roman" w:hAnsi="Times New Roman"/>
                <w:sz w:val="19"/>
              </w:rPr>
              <w:t>MMR</w:t>
            </w:r>
          </w:p>
        </w:tc>
        <w:tc>
          <w:tcPr>
            <w:tcW w:type="dxa" w:w="4154"/>
          </w:tcPr>
          <w:p>
            <w:r>
              <w:rPr>
                <w:rFonts w:ascii="Times New Roman" w:hAnsi="Times New Roman"/>
                <w:sz w:val="19"/>
              </w:rPr>
              <w:t>Mumbai Metropolitan Region</w:t>
            </w:r>
          </w:p>
        </w:tc>
      </w:tr>
      <w:tr>
        <w:tc>
          <w:tcPr>
            <w:tcW w:type="dxa" w:w="4154"/>
          </w:tcPr>
          <w:p>
            <w:r>
              <w:rPr>
                <w:rFonts w:ascii="Times New Roman" w:hAnsi="Times New Roman"/>
                <w:sz w:val="19"/>
              </w:rPr>
              <w:t>MSW</w:t>
            </w:r>
          </w:p>
        </w:tc>
        <w:tc>
          <w:tcPr>
            <w:tcW w:type="dxa" w:w="4154"/>
          </w:tcPr>
          <w:p>
            <w:r>
              <w:rPr>
                <w:rFonts w:ascii="Times New Roman" w:hAnsi="Times New Roman"/>
                <w:sz w:val="19"/>
              </w:rPr>
              <w:t>Municipal Solid Waste</w:t>
            </w:r>
          </w:p>
        </w:tc>
      </w:tr>
      <w:tr>
        <w:tc>
          <w:tcPr>
            <w:tcW w:type="dxa" w:w="4154"/>
          </w:tcPr>
          <w:p>
            <w:r>
              <w:rPr>
                <w:rFonts w:ascii="Times New Roman" w:hAnsi="Times New Roman"/>
                <w:sz w:val="19"/>
              </w:rPr>
              <w:t>NPK</w:t>
            </w:r>
          </w:p>
        </w:tc>
        <w:tc>
          <w:tcPr>
            <w:tcW w:type="dxa" w:w="4154"/>
          </w:tcPr>
          <w:p>
            <w:r>
              <w:rPr>
                <w:rFonts w:ascii="Times New Roman" w:hAnsi="Times New Roman"/>
                <w:sz w:val="19"/>
              </w:rPr>
              <w:t>Nitrogen (N), Phosphorus (P), and Potassium (K)</w:t>
            </w:r>
          </w:p>
        </w:tc>
      </w:tr>
      <w:tr>
        <w:tc>
          <w:tcPr>
            <w:tcW w:type="dxa" w:w="4154"/>
          </w:tcPr>
          <w:p>
            <w:r>
              <w:rPr>
                <w:rFonts w:ascii="Times New Roman" w:hAnsi="Times New Roman"/>
                <w:sz w:val="19"/>
              </w:rPr>
              <w:t>PWA</w:t>
            </w:r>
          </w:p>
        </w:tc>
        <w:tc>
          <w:tcPr>
            <w:tcW w:type="dxa" w:w="4154"/>
          </w:tcPr>
          <w:p>
            <w:r>
              <w:rPr>
                <w:rFonts w:ascii="Times New Roman" w:hAnsi="Times New Roman"/>
                <w:sz w:val="19"/>
              </w:rPr>
              <w:t>Progressive Web App</w:t>
            </w:r>
          </w:p>
        </w:tc>
      </w:tr>
      <w:tr>
        <w:tc>
          <w:tcPr>
            <w:tcW w:type="dxa" w:w="4154"/>
          </w:tcPr>
          <w:p>
            <w:r>
              <w:rPr>
                <w:rFonts w:ascii="Times New Roman" w:hAnsi="Times New Roman"/>
                <w:sz w:val="19"/>
              </w:rPr>
              <w:t>RLS</w:t>
            </w:r>
          </w:p>
        </w:tc>
        <w:tc>
          <w:tcPr>
            <w:tcW w:type="dxa" w:w="4154"/>
          </w:tcPr>
          <w:p>
            <w:r>
              <w:rPr>
                <w:rFonts w:ascii="Times New Roman" w:hAnsi="Times New Roman"/>
                <w:sz w:val="19"/>
              </w:rPr>
              <w:t>Row Level Security (PostgreSQL Database Security Pattern)</w:t>
            </w:r>
          </w:p>
        </w:tc>
      </w:tr>
      <w:tr>
        <w:tc>
          <w:tcPr>
            <w:tcW w:type="dxa" w:w="4154"/>
          </w:tcPr>
          <w:p>
            <w:r>
              <w:rPr>
                <w:rFonts w:ascii="Times New Roman" w:hAnsi="Times New Roman"/>
                <w:sz w:val="19"/>
              </w:rPr>
              <w:t>SOC</w:t>
            </w:r>
          </w:p>
        </w:tc>
        <w:tc>
          <w:tcPr>
            <w:tcW w:type="dxa" w:w="4154"/>
          </w:tcPr>
          <w:p>
            <w:r>
              <w:rPr>
                <w:rFonts w:ascii="Times New Roman" w:hAnsi="Times New Roman"/>
                <w:sz w:val="19"/>
              </w:rPr>
              <w:t>Soil Organic Carbon</w:t>
            </w:r>
          </w:p>
        </w:tc>
      </w:tr>
      <w:tr>
        <w:tc>
          <w:tcPr>
            <w:tcW w:type="dxa" w:w="4154"/>
          </w:tcPr>
          <w:p>
            <w:r>
              <w:rPr>
                <w:rFonts w:ascii="Times New Roman" w:hAnsi="Times New Roman"/>
                <w:sz w:val="19"/>
              </w:rPr>
              <w:t>SWM</w:t>
            </w:r>
          </w:p>
        </w:tc>
        <w:tc>
          <w:tcPr>
            <w:tcW w:type="dxa" w:w="4154"/>
          </w:tcPr>
          <w:p>
            <w:r>
              <w:rPr>
                <w:rFonts w:ascii="Times New Roman" w:hAnsi="Times New Roman"/>
                <w:sz w:val="19"/>
              </w:rPr>
              <w:t>Solid Waste Management Rules, 2016</w:t>
            </w:r>
          </w:p>
        </w:tc>
      </w:tr>
      <w:tr>
        <w:tc>
          <w:tcPr>
            <w:tcW w:type="dxa" w:w="4154"/>
          </w:tcPr>
          <w:p>
            <w:r>
              <w:rPr>
                <w:rFonts w:ascii="Times New Roman" w:hAnsi="Times New Roman"/>
                <w:sz w:val="19"/>
              </w:rPr>
              <w:t>TBI</w:t>
            </w:r>
          </w:p>
        </w:tc>
        <w:tc>
          <w:tcPr>
            <w:tcW w:type="dxa" w:w="4154"/>
          </w:tcPr>
          <w:p>
            <w:r>
              <w:rPr>
                <w:rFonts w:ascii="Times New Roman" w:hAnsi="Times New Roman"/>
                <w:sz w:val="19"/>
              </w:rPr>
              <w:t>Technology Business Incubator</w:t>
            </w:r>
          </w:p>
        </w:tc>
      </w:tr>
      <w:tr>
        <w:tc>
          <w:tcPr>
            <w:tcW w:type="dxa" w:w="4154"/>
          </w:tcPr>
          <w:p>
            <w:r>
              <w:rPr>
                <w:rFonts w:ascii="Times New Roman" w:hAnsi="Times New Roman"/>
                <w:sz w:val="19"/>
              </w:rPr>
              <w:t>VER</w:t>
            </w:r>
          </w:p>
        </w:tc>
        <w:tc>
          <w:tcPr>
            <w:tcW w:type="dxa" w:w="4154"/>
          </w:tcPr>
          <w:p>
            <w:r>
              <w:rPr>
                <w:rFonts w:ascii="Times New Roman" w:hAnsi="Times New Roman"/>
                <w:sz w:val="19"/>
              </w:rPr>
              <w:t>Verified Emission Reduction (Voluntary Carbon Credit)</w:t>
            </w:r>
          </w:p>
        </w:tc>
      </w:tr>
    </w:tbl>
    <w:p>
      <w:r>
        <w:br w:type="page"/>
      </w:r>
    </w:p>
    <w:p>
      <w:pPr>
        <w:keepNext/>
        <w:spacing w:before="360" w:after="160"/>
        <w:jc w:val="left"/>
      </w:pPr>
      <w:r>
        <w:rPr>
          <w:rFonts w:ascii="Times New Roman" w:hAnsi="Times New Roman"/>
          <w:b/>
          <w:color w:val="064E3B"/>
          <w:sz w:val="36"/>
        </w:rPr>
        <w:t>Chapter 1: Introduction</w:t>
      </w:r>
    </w:p>
    <w:p>
      <w:pPr>
        <w:spacing w:before="0" w:after="240" w:line="360" w:lineRule="auto"/>
        <w:jc w:val="left"/>
      </w:pPr>
      <w:r>
        <w:rPr>
          <w:rFonts w:ascii="Times New Roman" w:hAnsi="Times New Roman"/>
          <w:b w:val="0"/>
          <w:i/>
          <w:sz w:val="23"/>
        </w:rPr>
        <w:t>This chapter introduces the fundamental challenges underpinning urban organic waste mismanagement in the Mumbai Metropolitan Region and the corresponding depletion of soil biological fertility in peri-urban agrarian belts. It outlines the motivation, scope, formal problem statement, key stakeholders, quantifiable project objectives, contextual continuity, and the structural organization of this project report.</w:t>
      </w:r>
    </w:p>
    <w:p>
      <w:pPr>
        <w:keepNext/>
        <w:spacing w:before="280" w:after="120"/>
        <w:jc w:val="left"/>
      </w:pPr>
      <w:r>
        <w:rPr>
          <w:rFonts w:ascii="Times New Roman" w:hAnsi="Times New Roman"/>
          <w:b/>
          <w:color w:val="047857"/>
          <w:sz w:val="28"/>
        </w:rPr>
        <w:t>1.1 Background of the Project Topic</w:t>
      </w:r>
    </w:p>
    <w:p>
      <w:pPr>
        <w:spacing w:before="0" w:after="120" w:line="360" w:lineRule="auto"/>
        <w:jc w:val="left"/>
      </w:pPr>
      <w:r>
        <w:rPr>
          <w:rFonts w:ascii="Times New Roman" w:hAnsi="Times New Roman"/>
          <w:b w:val="0"/>
          <w:i w:val="0"/>
          <w:sz w:val="24"/>
        </w:rPr>
        <w:t>Modern metropolitan centres function predominantly as open linear consumption engines: massive volumes of agricultural nutrients, food produce, and biomass are extracted from rural farming soils, transported into cities, consumed, and discarded as heterogeneous municipal solid waste [1]. In the Mumbai Metropolitan Region (MMR), daily municipal solid waste generation exceeds 6,500 to 7,200 Metric Tonnes (MT), of which 55% to 65% is composed of putrescible, biodegradable organic matter [2]. When co-mingled and disposed of at open landfills such as the 120-hectare Deonar dumping ground (established in 1927) and Kanjurmarg, this organic mass undergoes anaerobic fermentation, generating substantial quantities of methane (CH4) gas. Methane possesses a 100-year global warming potential 28 times greater than carbon dioxide and is prone to spontaneous combustion, causing recurring, toxic surface fires that blanket eastern Mumbai in hazardous air pollutants [3]. Concurrently, toxic black leachate laden with heavy metals and organic acids contaminates subterranean aquifers and drains directly into the environmentally vulnerable Thane Creek mangrove ecosystems [4].</w:t>
      </w:r>
    </w:p>
    <w:p>
      <w:pPr>
        <w:spacing w:before="0" w:after="120" w:line="360" w:lineRule="auto"/>
        <w:jc w:val="left"/>
      </w:pPr>
      <w:r>
        <w:rPr>
          <w:rFonts w:ascii="Times New Roman" w:hAnsi="Times New Roman"/>
          <w:b w:val="0"/>
          <w:i w:val="0"/>
          <w:sz w:val="24"/>
        </w:rPr>
        <w:t>In stark contrast to this urban waste overflow, smallholder agricultural communities situated less than 70 kilometres away in Palghar, Shahapur, Manor, and Wada face an acute ecological crisis: the catastrophic collapse of Soil Organic Carbon (SOC). Intensive monoculture and decades of over-reliance on subsidized synthetic chemical fertilizers—specifically Urea, Diammonium Phosphate (DAP), and Muriate of Potash (MOP)—have driven baseline SOC levels down from historic benchmarks of 0.8%–1.2% to under 0.35%–0.40% [5]. Low organic carbon destroys soil microbial biodiversity, impairs moisture retention, and creates severe hard-pan soil compaction. Consequently, smallholder farmers must apply escalating chemical dosages each season merely to maintain stagnant yields, spending ₹25,000 to ₹38,000 per acre annually and sinking into deep financial debt [6].</w:t>
      </w:r>
    </w:p>
    <w:p>
      <w:pPr>
        <w:keepNext/>
        <w:spacing w:before="280" w:after="120"/>
        <w:jc w:val="left"/>
      </w:pPr>
      <w:r>
        <w:rPr>
          <w:rFonts w:ascii="Times New Roman" w:hAnsi="Times New Roman"/>
          <w:b/>
          <w:color w:val="047857"/>
          <w:sz w:val="28"/>
        </w:rPr>
        <w:t>1.2 Motivation and Scope of the Report</w:t>
      </w:r>
    </w:p>
    <w:p>
      <w:pPr>
        <w:spacing w:before="0" w:after="120" w:line="360" w:lineRule="auto"/>
        <w:jc w:val="left"/>
      </w:pPr>
      <w:r>
        <w:rPr>
          <w:rFonts w:ascii="Times New Roman" w:hAnsi="Times New Roman"/>
          <w:b w:val="0"/>
          <w:i w:val="0"/>
          <w:sz w:val="24"/>
        </w:rPr>
        <w:t>The motivation behind AgroLoop arises from a clear systemic paradox: cities expend immense municipal budgets to haul nutrient-rich food scraps to overflowing dumpsites, while peri-urban food producers expend scarce capital to purchase artificial chemical fertilizers to revitalize starving soils. Existing market interventions fail on both ends: centralized municipal composting produces compost heavily adulterated with micro-plastics (40%–50% contamination), which farmers rightly refuse to apply to their lands [7]. On the other hand, decentralized electromechanical composter machines installed within residential housing complexes suffer an 85% abandonment rate within 90 days due to pungent anaerobic odors, bio-aerosols, fly infestations, and mechanical failure [8].</w:t>
      </w:r>
    </w:p>
    <w:p>
      <w:pPr>
        <w:spacing w:before="0" w:after="120" w:line="360" w:lineRule="auto"/>
        <w:jc w:val="left"/>
      </w:pPr>
      <w:r>
        <w:rPr>
          <w:rFonts w:ascii="Times New Roman" w:hAnsi="Times New Roman"/>
          <w:b w:val="0"/>
          <w:i w:val="0"/>
          <w:sz w:val="24"/>
        </w:rPr>
        <w:t>The scope of this report covers the design, technical implementation, empirical testing, and business model validation of AgroLoop—an integrated hardware, IoT, and cloud-software platform that orchestrates the collection of source-segregated kitchen scraps using 3-wheeler electric vehicles (EVs), converts them via multi-stream biotechnology (Bokashi, Vermicomposting, and 550°C Biochar Pyrolysis) at a peri-urban hub in Mahape, Navi Mumbai, and distributes certified bio-inputs directly to smallholders in Palghar with AI-driven, ICAR-guarded crop advisory.</w:t>
      </w:r>
    </w:p>
    <w:p>
      <w:pPr>
        <w:keepNext/>
        <w:spacing w:before="280" w:after="120"/>
        <w:jc w:val="left"/>
      </w:pPr>
      <w:r>
        <w:rPr>
          <w:rFonts w:ascii="Times New Roman" w:hAnsi="Times New Roman"/>
          <w:b/>
          <w:color w:val="047857"/>
          <w:sz w:val="28"/>
        </w:rPr>
        <w:t>1.3 Problem Statement / Need, and Stakeholders</w:t>
      </w:r>
    </w:p>
    <w:p>
      <w:pPr>
        <w:spacing w:before="0" w:after="120" w:line="360" w:lineRule="auto"/>
        <w:jc w:val="left"/>
      </w:pPr>
      <w:r>
        <w:rPr>
          <w:rFonts w:ascii="Times New Roman" w:hAnsi="Times New Roman"/>
          <w:b w:val="0"/>
          <w:i w:val="0"/>
          <w:sz w:val="24"/>
        </w:rPr>
        <w:t>Formal Problem Statement: "Urban bulk food waste generators in the Mumbai Metropolitan Region lack reliable, odor-free, and legally compliant off-site organic waste bioconversion mechanisms, resulting in massive landfill methane emissions and regulatory penalties under Solid Waste Management Rules 2016; simultaneously, peri-urban smallholder farmers lack affordable, certified organic soil amendments and precision agronomic advisory to remediate depleted soil organic carbon (&lt;0.4%) and reduce crushing chemical fertilizer expenditures."</w:t>
      </w:r>
    </w:p>
    <w:p>
      <w:pPr>
        <w:spacing w:before="0" w:after="120" w:line="360" w:lineRule="auto"/>
        <w:jc w:val="left"/>
      </w:pPr>
      <w:r>
        <w:rPr>
          <w:rFonts w:ascii="Times New Roman" w:hAnsi="Times New Roman"/>
          <w:b w:val="0"/>
          <w:i w:val="0"/>
          <w:sz w:val="24"/>
        </w:rPr>
        <w:t>The project directly serves five key stakeholder groups:</w:t>
      </w:r>
    </w:p>
    <w:p>
      <w:pPr>
        <w:spacing w:before="40" w:after="40" w:line="360" w:lineRule="auto"/>
        <w:jc w:val="left"/>
      </w:pPr>
      <w:r>
        <w:rPr>
          <w:rFonts w:ascii="Times New Roman" w:hAnsi="Times New Roman"/>
          <w:b w:val="0"/>
          <w:i w:val="0"/>
          <w:sz w:val="24"/>
        </w:rPr>
        <w:t>1. Bulk Waste Generators (BWGs): Commercial restaurants, cloud kitchens, and hotels requiring audit-ready SWM 2016 regulatory compliance.</w:t>
      </w:r>
    </w:p>
    <w:p>
      <w:pPr>
        <w:spacing w:before="40" w:after="40" w:line="360" w:lineRule="auto"/>
        <w:jc w:val="left"/>
      </w:pPr>
      <w:r>
        <w:rPr>
          <w:rFonts w:ascii="Times New Roman" w:hAnsi="Times New Roman"/>
          <w:b w:val="0"/>
          <w:i w:val="0"/>
          <w:sz w:val="24"/>
        </w:rPr>
        <w:t>2. Gated Residential Societies (CHSs): Complexes with &gt;200 flats requiring clean, pest-free, off-site daily wet waste evacuation.</w:t>
      </w:r>
    </w:p>
    <w:p>
      <w:pPr>
        <w:spacing w:before="40" w:after="40" w:line="360" w:lineRule="auto"/>
        <w:jc w:val="left"/>
      </w:pPr>
      <w:r>
        <w:rPr>
          <w:rFonts w:ascii="Times New Roman" w:hAnsi="Times New Roman"/>
          <w:b w:val="0"/>
          <w:i w:val="0"/>
          <w:sz w:val="24"/>
        </w:rPr>
        <w:t>3. Logistics EV Drivers: Local youth operating electric cargo loaders equipped with Bluetooth scales and doorstep contamination grading.</w:t>
      </w:r>
    </w:p>
    <w:p>
      <w:pPr>
        <w:spacing w:before="40" w:after="40" w:line="360" w:lineRule="auto"/>
        <w:jc w:val="left"/>
      </w:pPr>
      <w:r>
        <w:rPr>
          <w:rFonts w:ascii="Times New Roman" w:hAnsi="Times New Roman"/>
          <w:b w:val="0"/>
          <w:i w:val="0"/>
          <w:sz w:val="24"/>
        </w:rPr>
        <w:t>4. Smallholder Farmers: Cultivators with &lt;3 acres in Palghar seeking affordable, certified bio-inputs with crop-specific dosage advice.</w:t>
      </w:r>
    </w:p>
    <w:p>
      <w:pPr>
        <w:spacing w:before="40" w:after="120" w:line="360" w:lineRule="auto"/>
        <w:jc w:val="left"/>
      </w:pPr>
      <w:r>
        <w:rPr>
          <w:rFonts w:ascii="Times New Roman" w:hAnsi="Times New Roman"/>
          <w:b w:val="0"/>
          <w:i w:val="0"/>
          <w:sz w:val="24"/>
        </w:rPr>
        <w:t>5. Municipal Authorities &amp; Urban Ecosystem: MCGM and TMC benefiting from verified landfill diversion and greenhouse gas abatement.</w:t>
      </w:r>
    </w:p>
    <w:p>
      <w:pPr>
        <w:keepNext/>
        <w:spacing w:before="280" w:after="120"/>
        <w:jc w:val="left"/>
      </w:pPr>
      <w:r>
        <w:rPr>
          <w:rFonts w:ascii="Times New Roman" w:hAnsi="Times New Roman"/>
          <w:b/>
          <w:color w:val="047857"/>
          <w:sz w:val="28"/>
        </w:rPr>
        <w:t>1.4 Objectives and Expected Outcomes</w:t>
      </w:r>
    </w:p>
    <w:p>
      <w:pPr>
        <w:spacing w:before="0" w:after="120" w:line="360" w:lineRule="auto"/>
        <w:jc w:val="left"/>
      </w:pPr>
      <w:r>
        <w:rPr>
          <w:rFonts w:ascii="Times New Roman" w:hAnsi="Times New Roman"/>
          <w:b w:val="0"/>
          <w:i w:val="0"/>
          <w:sz w:val="24"/>
        </w:rPr>
        <w:t>The project was executed against six quantifiable engineering and business objectives:</w:t>
      </w:r>
    </w:p>
    <w:p>
      <w:pPr>
        <w:spacing w:before="40" w:after="40" w:line="360" w:lineRule="auto"/>
        <w:jc w:val="left"/>
      </w:pPr>
      <w:r>
        <w:rPr>
          <w:rFonts w:ascii="Times New Roman" w:hAnsi="Times New Roman"/>
          <w:b w:val="0"/>
          <w:i w:val="0"/>
          <w:sz w:val="24"/>
        </w:rPr>
        <w:t>• Objective 1: Architect and deploy a production-grade full-stack web platform using Next.js 15, TypeScript, and Supabase PostgreSQL with strict Row Level Security (RLS) across 5 role dashboards.</w:t>
      </w:r>
    </w:p>
    <w:p>
      <w:pPr>
        <w:spacing w:before="40" w:after="40" w:line="360" w:lineRule="auto"/>
        <w:jc w:val="left"/>
      </w:pPr>
      <w:r>
        <w:rPr>
          <w:rFonts w:ascii="Times New Roman" w:hAnsi="Times New Roman"/>
          <w:b w:val="0"/>
          <w:i w:val="0"/>
          <w:sz w:val="24"/>
        </w:rPr>
        <w:t>• Objective 2: Engineer a doorstep IoT quality verification workflow using Bluetooth load cells and visual grading to enforce a &lt;5% inorganic contamination threshold, preventing plastic entry into the processing stream.</w:t>
      </w:r>
    </w:p>
    <w:p>
      <w:pPr>
        <w:spacing w:before="40" w:after="40" w:line="360" w:lineRule="auto"/>
        <w:jc w:val="left"/>
      </w:pPr>
      <w:r>
        <w:rPr>
          <w:rFonts w:ascii="Times New Roman" w:hAnsi="Times New Roman"/>
          <w:b w:val="0"/>
          <w:i w:val="0"/>
          <w:sz w:val="24"/>
        </w:rPr>
        <w:t>• Objective 3: Formulate and validate a 4-stream bio-conversion process (Bokashi anaerobic fermentation, Eisenia fetida vermicomposting, 550°C biochar pyrolysis, and liquid bio-fertilizer) conforming to Fertilizer Control Order (FCO) 1985 standards.</w:t>
      </w:r>
    </w:p>
    <w:p>
      <w:pPr>
        <w:spacing w:before="40" w:after="40" w:line="360" w:lineRule="auto"/>
        <w:jc w:val="left"/>
      </w:pPr>
      <w:r>
        <w:rPr>
          <w:rFonts w:ascii="Times New Roman" w:hAnsi="Times New Roman"/>
          <w:b w:val="0"/>
          <w:i w:val="0"/>
          <w:sz w:val="24"/>
        </w:rPr>
        <w:t>• Objective 4: Integrate Google Gemini 1.5 Pro within a deterministic agronomic safety rule engine enforcing ICAR NPK dosage limits to provide hallucination-free vernacular crop advisory.</w:t>
      </w:r>
    </w:p>
    <w:p>
      <w:pPr>
        <w:spacing w:before="40" w:after="40" w:line="360" w:lineRule="auto"/>
        <w:jc w:val="left"/>
      </w:pPr>
      <w:r>
        <w:rPr>
          <w:rFonts w:ascii="Times New Roman" w:hAnsi="Times New Roman"/>
          <w:b w:val="0"/>
          <w:i w:val="0"/>
          <w:sz w:val="24"/>
        </w:rPr>
        <w:t>• Objective 5: Validate commercial viability through a dual-sided Business Model Canvas (BMC) achieving unit profitability (gross margin &gt;50%) and breakeven within 14 months.</w:t>
      </w:r>
    </w:p>
    <w:p>
      <w:pPr>
        <w:spacing w:before="40" w:after="120" w:line="360" w:lineRule="auto"/>
        <w:jc w:val="left"/>
      </w:pPr>
      <w:r>
        <w:rPr>
          <w:rFonts w:ascii="Times New Roman" w:hAnsi="Times New Roman"/>
          <w:b w:val="0"/>
          <w:i w:val="0"/>
          <w:sz w:val="24"/>
        </w:rPr>
        <w:t>• Objective 6: Complete institutional incubation alignment and pitch defense, securing top honors in collegiate startup challenges.</w:t>
      </w:r>
    </w:p>
    <w:p>
      <w:pPr>
        <w:keepNext/>
        <w:spacing w:before="280" w:after="120"/>
        <w:jc w:val="left"/>
      </w:pPr>
      <w:r>
        <w:rPr>
          <w:rFonts w:ascii="Times New Roman" w:hAnsi="Times New Roman"/>
          <w:b/>
          <w:color w:val="047857"/>
          <w:sz w:val="28"/>
        </w:rPr>
        <w:t>1.5 Project Context and Continuity</w:t>
      </w:r>
    </w:p>
    <w:p>
      <w:pPr>
        <w:spacing w:before="0" w:after="120" w:line="360" w:lineRule="auto"/>
        <w:jc w:val="left"/>
      </w:pPr>
      <w:r>
        <w:rPr>
          <w:rFonts w:ascii="Times New Roman" w:hAnsi="Times New Roman"/>
          <w:b w:val="0"/>
          <w:i w:val="0"/>
          <w:sz w:val="24"/>
        </w:rPr>
        <w:t>AgroLoop is registered under the Entrepreneurship Vertical of Design Experience III for Academic Year 2026–27. Unlike pure theoretical exercises, this project represents a comprehensive, continuing entrepreneurial development initiative. Earlier preliminary work focused on literature surveys and broad agricultural statistics; the work accomplished during this semester encompassed full-stack software development, automated end-to-end testing, physical process optimization, empirical farmer field validation in Palghar district, and formal defense at the INNOVATE 360° challenge organized by the Department of Computer Engineering and SIG AI MPSTME on 4th September 2026, where the venture secured 3rd Position. All work reported in Chapters 3, 4, and 5 reflects original contributions completed during the current semester of registration.</w:t>
      </w:r>
    </w:p>
    <w:p>
      <w:pPr>
        <w:keepNext/>
        <w:spacing w:before="280" w:after="120"/>
        <w:jc w:val="left"/>
      </w:pPr>
      <w:r>
        <w:rPr>
          <w:rFonts w:ascii="Times New Roman" w:hAnsi="Times New Roman"/>
          <w:b/>
          <w:color w:val="047857"/>
          <w:sz w:val="28"/>
        </w:rPr>
        <w:t>1.6 Organization of the Report</w:t>
      </w:r>
    </w:p>
    <w:p>
      <w:pPr>
        <w:spacing w:before="0" w:after="120" w:line="360" w:lineRule="auto"/>
        <w:jc w:val="left"/>
      </w:pPr>
      <w:r>
        <w:rPr>
          <w:rFonts w:ascii="Times New Roman" w:hAnsi="Times New Roman"/>
          <w:b w:val="0"/>
          <w:i w:val="0"/>
          <w:sz w:val="24"/>
        </w:rPr>
        <w:t>The remainder of this report is organized as follows: Chapter 2 conducts an extensive background study, reviewing regulatory acts, academic literature on pyrolysis and composting, and competitive benchmarking. Chapter 3 details the engineering design process, user requirements, decision matrices, system architecture, standards, and work breakdown. Chapter 4 presents implementation records, laboratory chemical analysis, field trial results, unit economics, and impact metrics. Chapter 5 details individual contributions, evidence registers (EVD-01 to EVD-15), mentoring logs, and personal reflections. Chapter 6 concludes the report and presents a three-phase commercialization roadmap. Supplementary evidence, code, logbooks, certificates, and AI disclosures are compiled in Appendices I through VII.</w:t>
      </w:r>
    </w:p>
    <w:p>
      <w:pPr>
        <w:spacing w:before="120" w:after="120" w:line="360" w:lineRule="auto"/>
        <w:jc w:val="left"/>
      </w:pPr>
      <w:r>
        <w:rPr>
          <w:rFonts w:ascii="Times New Roman" w:hAnsi="Times New Roman"/>
          <w:b w:val="0"/>
          <w:i/>
          <w:sz w:val="22"/>
        </w:rPr>
        <w:t>Summary: Chapter 1 established the urban waste and rural soil carbon crisis, outlined the five target stakeholders, articulated six measurable objectives, and defined the project scope.</w:t>
      </w:r>
    </w:p>
    <w:p>
      <w:r>
        <w:br w:type="page"/>
      </w:r>
    </w:p>
    <w:p>
      <w:pPr>
        <w:keepNext/>
        <w:spacing w:before="360" w:after="160"/>
        <w:jc w:val="left"/>
      </w:pPr>
      <w:r>
        <w:rPr>
          <w:rFonts w:ascii="Times New Roman" w:hAnsi="Times New Roman"/>
          <w:b/>
          <w:color w:val="064E3B"/>
          <w:sz w:val="36"/>
        </w:rPr>
        <w:t>Chapter 2: Background Study</w:t>
      </w:r>
    </w:p>
    <w:p>
      <w:pPr>
        <w:spacing w:before="0" w:after="240" w:line="360" w:lineRule="auto"/>
        <w:jc w:val="left"/>
      </w:pPr>
      <w:r>
        <w:rPr>
          <w:rFonts w:ascii="Times New Roman" w:hAnsi="Times New Roman"/>
          <w:b w:val="0"/>
          <w:i/>
          <w:sz w:val="23"/>
        </w:rPr>
        <w:t>This chapter reviews the technical, environmental, and regulatory context of municipal solid waste management and soil organic chemistry, benchmarks six existing market approaches, and identifies the core technical and systemic gaps that define the AgroLoop innovation.</w:t>
      </w:r>
    </w:p>
    <w:p>
      <w:pPr>
        <w:keepNext/>
        <w:spacing w:before="280" w:after="120"/>
        <w:jc w:val="left"/>
      </w:pPr>
      <w:r>
        <w:rPr>
          <w:rFonts w:ascii="Times New Roman" w:hAnsi="Times New Roman"/>
          <w:b/>
          <w:color w:val="047857"/>
          <w:sz w:val="28"/>
        </w:rPr>
        <w:t>2.1 Overview of the Domain and Its Context</w:t>
      </w:r>
    </w:p>
    <w:p>
      <w:pPr>
        <w:spacing w:before="0" w:after="120" w:line="360" w:lineRule="auto"/>
        <w:jc w:val="left"/>
      </w:pPr>
      <w:r>
        <w:rPr>
          <w:rFonts w:ascii="Times New Roman" w:hAnsi="Times New Roman"/>
          <w:b w:val="0"/>
          <w:i w:val="0"/>
          <w:sz w:val="24"/>
        </w:rPr>
        <w:t>Municipal solid waste management in India is legally governed by the Solid Waste Management (SWM) Rules, 2016, promulgated by the Ministry of Environment, Forest and Climate Change (MoEFCC) [9]. Under Rule 4, all Bulk Waste Generators (BWGs)—defined as entities generating an average of more than 100 kg of waste daily or occupying a built-up area exceeding 5,000 square meters—are legally mandated to segregate solid waste into three streams (biodegradable, non-biodegradable, and domestic hazardous) at source and process the organic fraction on-site or partner with authorized waste processing agencies [10]. Despite these mandates, compliance across the Mumbai Metropolitan Region remains below 28% due to high capital costs of decentralized composter machinery and inadequate municipal enforcement mechanisms [11].</w:t>
      </w:r>
    </w:p>
    <w:p>
      <w:pPr>
        <w:spacing w:before="0" w:after="120" w:line="360" w:lineRule="auto"/>
        <w:jc w:val="left"/>
      </w:pPr>
      <w:r>
        <w:rPr>
          <w:rFonts w:ascii="Times New Roman" w:hAnsi="Times New Roman"/>
          <w:b w:val="0"/>
          <w:i w:val="0"/>
          <w:sz w:val="24"/>
        </w:rPr>
        <w:t>Simultaneously, in the soil science domain, the depletion of Soil Organic Carbon (SOC) represents the single greatest threat to food security in semi-arid and coastal agrarian belts of Western India [12]. Soil organic carbon acts as the biological matrix that regulates cation exchange capacity (CEC), microbial biomass carbon (MBC), and soil moisture retention. When SOC drops below 0.5%, soils lose their aggregate stability, causing synthetic nitrogen fertilizers to volatilize into nitrous oxide (N2O) or leach into groundwater as nitrates rather than being assimilated by plant roots [13]. Re-incorporating stabilized biological carbon—specifically pyrolyzed biochar with high aromaticity and recalcitrance—has been proven to sequester carbon for centuries while dramatically improving nutrient retention in degraded Alfisols and Inceptisols [14].</w:t>
      </w:r>
    </w:p>
    <w:p>
      <w:pPr>
        <w:keepNext/>
        <w:spacing w:before="280" w:after="120"/>
        <w:jc w:val="left"/>
      </w:pPr>
      <w:r>
        <w:rPr>
          <w:rFonts w:ascii="Times New Roman" w:hAnsi="Times New Roman"/>
          <w:b/>
          <w:color w:val="047857"/>
          <w:sz w:val="28"/>
        </w:rPr>
        <w:t>2.2 Review of Relevant Sources, Standards and Competitor Benchmark</w:t>
      </w:r>
    </w:p>
    <w:p>
      <w:pPr>
        <w:spacing w:before="0" w:after="120" w:line="360" w:lineRule="auto"/>
        <w:jc w:val="left"/>
      </w:pPr>
      <w:r>
        <w:rPr>
          <w:rFonts w:ascii="Times New Roman" w:hAnsi="Times New Roman"/>
          <w:b w:val="0"/>
          <w:i w:val="0"/>
          <w:sz w:val="24"/>
        </w:rPr>
        <w:t>A rigorous systematic review of twenty peer-reviewed journals, national environmental reports, and competitor models was conducted. Existing commercial interventions fall broadly into three categories: centralized municipal waste processing concessionaires, specialized single-feedstock cleantech startups, and farm-gate biochar initiatives. Table 2.1 benchmarks AgroLoop against the five primary commercial alternatives in India.</w:t>
      </w:r>
    </w:p>
    <w:p>
      <w:pPr>
        <w:spacing w:before="200" w:after="80" w:line="360" w:lineRule="auto"/>
        <w:jc w:val="left"/>
      </w:pPr>
      <w:r>
        <w:rPr>
          <w:rFonts w:ascii="Times New Roman" w:hAnsi="Times New Roman"/>
          <w:b/>
          <w:i w:val="0"/>
          <w:sz w:val="20"/>
        </w:rPr>
        <w:t>Table 2.1: Competitive Benchmarking Matrix (AgroLoop vs. 5 Market Alternatives)</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F1F5F9"/>
          </w:tcPr>
          <w:p>
            <w:pPr>
              <w:spacing w:line="264" w:lineRule="auto" w:after="40"/>
            </w:pPr>
            <w:r>
              <w:rPr>
                <w:rFonts w:ascii="Times New Roman" w:hAnsi="Times New Roman"/>
                <w:b/>
                <w:sz w:val="17"/>
              </w:rPr>
              <w:t>Benchmark Dimension</w:t>
            </w:r>
          </w:p>
        </w:tc>
        <w:tc>
          <w:tcPr>
            <w:tcW w:type="dxa" w:w="1385"/>
            <w:shd w:fill="F1F5F9"/>
          </w:tcPr>
          <w:p>
            <w:pPr>
              <w:spacing w:line="264" w:lineRule="auto" w:after="40"/>
            </w:pPr>
            <w:r>
              <w:rPr>
                <w:rFonts w:ascii="Times New Roman" w:hAnsi="Times New Roman"/>
                <w:b/>
                <w:sz w:val="17"/>
              </w:rPr>
              <w:t>AgroLoop</w:t>
            </w:r>
          </w:p>
        </w:tc>
        <w:tc>
          <w:tcPr>
            <w:tcW w:type="dxa" w:w="1385"/>
            <w:shd w:fill="F1F5F9"/>
          </w:tcPr>
          <w:p>
            <w:pPr>
              <w:spacing w:line="264" w:lineRule="auto" w:after="40"/>
            </w:pPr>
            <w:r>
              <w:rPr>
                <w:rFonts w:ascii="Times New Roman" w:hAnsi="Times New Roman"/>
                <w:b/>
                <w:sz w:val="17"/>
              </w:rPr>
              <w:t>Hasiru Dala (BLR)</w:t>
            </w:r>
          </w:p>
        </w:tc>
        <w:tc>
          <w:tcPr>
            <w:tcW w:type="dxa" w:w="1385"/>
            <w:shd w:fill="F1F5F9"/>
          </w:tcPr>
          <w:p>
            <w:pPr>
              <w:spacing w:line="264" w:lineRule="auto" w:after="40"/>
            </w:pPr>
            <w:r>
              <w:rPr>
                <w:rFonts w:ascii="Times New Roman" w:hAnsi="Times New Roman"/>
                <w:b/>
                <w:sz w:val="17"/>
              </w:rPr>
              <w:t>Phool.co (Kanpur)</w:t>
            </w:r>
          </w:p>
        </w:tc>
        <w:tc>
          <w:tcPr>
            <w:tcW w:type="dxa" w:w="1385"/>
            <w:shd w:fill="F1F5F9"/>
          </w:tcPr>
          <w:p>
            <w:pPr>
              <w:spacing w:line="264" w:lineRule="auto" w:after="40"/>
            </w:pPr>
            <w:r>
              <w:rPr>
                <w:rFonts w:ascii="Times New Roman" w:hAnsi="Times New Roman"/>
                <w:b/>
                <w:sz w:val="17"/>
              </w:rPr>
              <w:t>Soilcraft Tech</w:t>
            </w:r>
          </w:p>
        </w:tc>
        <w:tc>
          <w:tcPr>
            <w:tcW w:type="dxa" w:w="1385"/>
            <w:shd w:fill="F1F5F9"/>
          </w:tcPr>
          <w:p>
            <w:pPr>
              <w:spacing w:line="264" w:lineRule="auto" w:after="40"/>
            </w:pPr>
            <w:r>
              <w:rPr>
                <w:rFonts w:ascii="Times New Roman" w:hAnsi="Times New Roman"/>
                <w:b/>
                <w:sz w:val="17"/>
              </w:rPr>
              <w:t>Municipal Composting</w:t>
            </w:r>
          </w:p>
        </w:tc>
      </w:tr>
      <w:tr>
        <w:tc>
          <w:tcPr>
            <w:tcW w:type="dxa" w:w="1385"/>
          </w:tcPr>
          <w:p>
            <w:pPr>
              <w:spacing w:line="264" w:lineRule="auto" w:after="40"/>
            </w:pPr>
            <w:r>
              <w:rPr>
                <w:rFonts w:ascii="Times New Roman" w:hAnsi="Times New Roman"/>
                <w:sz w:val="16"/>
              </w:rPr>
              <w:t>Core Feedstock</w:t>
            </w:r>
          </w:p>
        </w:tc>
        <w:tc>
          <w:tcPr>
            <w:tcW w:type="dxa" w:w="1385"/>
          </w:tcPr>
          <w:p>
            <w:pPr>
              <w:spacing w:line="264" w:lineRule="auto" w:after="40"/>
            </w:pPr>
            <w:r>
              <w:rPr>
                <w:rFonts w:ascii="Times New Roman" w:hAnsi="Times New Roman"/>
                <w:b/>
                <w:sz w:val="16"/>
              </w:rPr>
              <w:t>Kitchen Scraps &amp; B2B Wet Waste</w:t>
            </w:r>
          </w:p>
        </w:tc>
        <w:tc>
          <w:tcPr>
            <w:tcW w:type="dxa" w:w="1385"/>
          </w:tcPr>
          <w:p>
            <w:pPr>
              <w:spacing w:line="264" w:lineRule="auto" w:after="40"/>
            </w:pPr>
            <w:r>
              <w:rPr>
                <w:rFonts w:ascii="Times New Roman" w:hAnsi="Times New Roman"/>
                <w:sz w:val="16"/>
              </w:rPr>
              <w:t>Dry Waste &amp; Mixed Municipal</w:t>
            </w:r>
          </w:p>
        </w:tc>
        <w:tc>
          <w:tcPr>
            <w:tcW w:type="dxa" w:w="1385"/>
          </w:tcPr>
          <w:p>
            <w:pPr>
              <w:spacing w:line="264" w:lineRule="auto" w:after="40"/>
            </w:pPr>
            <w:r>
              <w:rPr>
                <w:rFonts w:ascii="Times New Roman" w:hAnsi="Times New Roman"/>
                <w:sz w:val="16"/>
              </w:rPr>
              <w:t>Temple Floral Waste Only</w:t>
            </w:r>
          </w:p>
        </w:tc>
        <w:tc>
          <w:tcPr>
            <w:tcW w:type="dxa" w:w="1385"/>
          </w:tcPr>
          <w:p>
            <w:pPr>
              <w:spacing w:line="264" w:lineRule="auto" w:after="40"/>
            </w:pPr>
            <w:r>
              <w:rPr>
                <w:rFonts w:ascii="Times New Roman" w:hAnsi="Times New Roman"/>
                <w:sz w:val="16"/>
              </w:rPr>
              <w:t>Agri Crop Stubble</w:t>
            </w:r>
          </w:p>
        </w:tc>
        <w:tc>
          <w:tcPr>
            <w:tcW w:type="dxa" w:w="1385"/>
          </w:tcPr>
          <w:p>
            <w:pPr>
              <w:spacing w:line="264" w:lineRule="auto" w:after="40"/>
            </w:pPr>
            <w:r>
              <w:rPr>
                <w:rFonts w:ascii="Times New Roman" w:hAnsi="Times New Roman"/>
                <w:sz w:val="16"/>
              </w:rPr>
              <w:t>Mixed MSW (Unsegregated)</w:t>
            </w:r>
          </w:p>
        </w:tc>
      </w:tr>
      <w:tr>
        <w:tc>
          <w:tcPr>
            <w:tcW w:type="dxa" w:w="1385"/>
          </w:tcPr>
          <w:p>
            <w:pPr>
              <w:spacing w:line="264" w:lineRule="auto" w:after="40"/>
            </w:pPr>
            <w:r>
              <w:rPr>
                <w:rFonts w:ascii="Times New Roman" w:hAnsi="Times New Roman"/>
                <w:sz w:val="16"/>
              </w:rPr>
              <w:t>Doorstep QC (&lt;5% Contam.)</w:t>
            </w:r>
          </w:p>
        </w:tc>
        <w:tc>
          <w:tcPr>
            <w:tcW w:type="dxa" w:w="1385"/>
          </w:tcPr>
          <w:p>
            <w:pPr>
              <w:spacing w:line="264" w:lineRule="auto" w:after="40"/>
            </w:pPr>
            <w:r>
              <w:rPr>
                <w:rFonts w:ascii="Times New Roman" w:hAnsi="Times New Roman"/>
                <w:b/>
                <w:sz w:val="16"/>
              </w:rPr>
              <w:t>YES (BLE IoT &amp; Visual Slider)</w:t>
            </w:r>
          </w:p>
        </w:tc>
        <w:tc>
          <w:tcPr>
            <w:tcW w:type="dxa" w:w="1385"/>
          </w:tcPr>
          <w:p>
            <w:pPr>
              <w:spacing w:line="264" w:lineRule="auto" w:after="40"/>
            </w:pPr>
            <w:r>
              <w:rPr>
                <w:rFonts w:ascii="Times New Roman" w:hAnsi="Times New Roman"/>
                <w:sz w:val="16"/>
              </w:rPr>
              <w:t>Partial (Manual Sorting)</w:t>
            </w:r>
          </w:p>
        </w:tc>
        <w:tc>
          <w:tcPr>
            <w:tcW w:type="dxa" w:w="1385"/>
          </w:tcPr>
          <w:p>
            <w:pPr>
              <w:spacing w:line="264" w:lineRule="auto" w:after="40"/>
            </w:pPr>
            <w:r>
              <w:rPr>
                <w:rFonts w:ascii="Times New Roman" w:hAnsi="Times New Roman"/>
                <w:sz w:val="16"/>
              </w:rPr>
              <w:t>N/A (Clean Floral Source)</w:t>
            </w:r>
          </w:p>
        </w:tc>
        <w:tc>
          <w:tcPr>
            <w:tcW w:type="dxa" w:w="1385"/>
          </w:tcPr>
          <w:p>
            <w:pPr>
              <w:spacing w:line="264" w:lineRule="auto" w:after="40"/>
            </w:pPr>
            <w:r>
              <w:rPr>
                <w:rFonts w:ascii="Times New Roman" w:hAnsi="Times New Roman"/>
                <w:sz w:val="16"/>
              </w:rPr>
              <w:t>N/A (Farm Gate)</w:t>
            </w:r>
          </w:p>
        </w:tc>
        <w:tc>
          <w:tcPr>
            <w:tcW w:type="dxa" w:w="1385"/>
          </w:tcPr>
          <w:p>
            <w:pPr>
              <w:spacing w:line="264" w:lineRule="auto" w:after="40"/>
            </w:pPr>
            <w:r>
              <w:rPr>
                <w:rFonts w:ascii="Times New Roman" w:hAnsi="Times New Roman"/>
                <w:sz w:val="16"/>
              </w:rPr>
              <w:t>NO (&gt;40% Plastic Residue)</w:t>
            </w:r>
          </w:p>
        </w:tc>
      </w:tr>
      <w:tr>
        <w:tc>
          <w:tcPr>
            <w:tcW w:type="dxa" w:w="1385"/>
          </w:tcPr>
          <w:p>
            <w:pPr>
              <w:spacing w:line="264" w:lineRule="auto" w:after="40"/>
            </w:pPr>
            <w:r>
              <w:rPr>
                <w:rFonts w:ascii="Times New Roman" w:hAnsi="Times New Roman"/>
                <w:sz w:val="16"/>
              </w:rPr>
              <w:t>Biochar Pyrolysis (550°C)</w:t>
            </w:r>
          </w:p>
        </w:tc>
        <w:tc>
          <w:tcPr>
            <w:tcW w:type="dxa" w:w="1385"/>
          </w:tcPr>
          <w:p>
            <w:pPr>
              <w:spacing w:line="264" w:lineRule="auto" w:after="40"/>
            </w:pPr>
            <w:r>
              <w:rPr>
                <w:rFonts w:ascii="Times New Roman" w:hAnsi="Times New Roman"/>
                <w:b/>
                <w:sz w:val="16"/>
              </w:rPr>
              <w:t>YES (Carbon Sink + Matrix)</w:t>
            </w:r>
          </w:p>
        </w:tc>
        <w:tc>
          <w:tcPr>
            <w:tcW w:type="dxa" w:w="1385"/>
          </w:tcPr>
          <w:p>
            <w:pPr>
              <w:spacing w:line="264" w:lineRule="auto" w:after="40"/>
            </w:pPr>
            <w:r>
              <w:rPr>
                <w:rFonts w:ascii="Times New Roman" w:hAnsi="Times New Roman"/>
                <w:sz w:val="16"/>
              </w:rPr>
              <w:t>NO (Composting Only)</w:t>
            </w:r>
          </w:p>
        </w:tc>
        <w:tc>
          <w:tcPr>
            <w:tcW w:type="dxa" w:w="1385"/>
          </w:tcPr>
          <w:p>
            <w:pPr>
              <w:spacing w:line="264" w:lineRule="auto" w:after="40"/>
            </w:pPr>
            <w:r>
              <w:rPr>
                <w:rFonts w:ascii="Times New Roman" w:hAnsi="Times New Roman"/>
                <w:sz w:val="16"/>
              </w:rPr>
              <w:t>NO (Incense Sticks)</w:t>
            </w:r>
          </w:p>
        </w:tc>
        <w:tc>
          <w:tcPr>
            <w:tcW w:type="dxa" w:w="1385"/>
          </w:tcPr>
          <w:p>
            <w:pPr>
              <w:spacing w:line="264" w:lineRule="auto" w:after="40"/>
            </w:pPr>
            <w:r>
              <w:rPr>
                <w:rFonts w:ascii="Times New Roman" w:hAnsi="Times New Roman"/>
                <w:sz w:val="16"/>
              </w:rPr>
              <w:t>YES (Stubble Char)</w:t>
            </w:r>
          </w:p>
        </w:tc>
        <w:tc>
          <w:tcPr>
            <w:tcW w:type="dxa" w:w="1385"/>
          </w:tcPr>
          <w:p>
            <w:pPr>
              <w:spacing w:line="264" w:lineRule="auto" w:after="40"/>
            </w:pPr>
            <w:r>
              <w:rPr>
                <w:rFonts w:ascii="Times New Roman" w:hAnsi="Times New Roman"/>
                <w:sz w:val="16"/>
              </w:rPr>
              <w:t>NO (Open Windrows)</w:t>
            </w:r>
          </w:p>
        </w:tc>
      </w:tr>
      <w:tr>
        <w:tc>
          <w:tcPr>
            <w:tcW w:type="dxa" w:w="1385"/>
          </w:tcPr>
          <w:p>
            <w:pPr>
              <w:spacing w:line="264" w:lineRule="auto" w:after="40"/>
            </w:pPr>
            <w:r>
              <w:rPr>
                <w:rFonts w:ascii="Times New Roman" w:hAnsi="Times New Roman"/>
                <w:sz w:val="16"/>
              </w:rPr>
              <w:t>Multi-Stream Products</w:t>
            </w:r>
          </w:p>
        </w:tc>
        <w:tc>
          <w:tcPr>
            <w:tcW w:type="dxa" w:w="1385"/>
          </w:tcPr>
          <w:p>
            <w:pPr>
              <w:spacing w:line="264" w:lineRule="auto" w:after="40"/>
            </w:pPr>
            <w:r>
              <w:rPr>
                <w:rFonts w:ascii="Times New Roman" w:hAnsi="Times New Roman"/>
                <w:b/>
                <w:sz w:val="16"/>
              </w:rPr>
              <w:t>4 Streams (Vermi/Char/Tea)</w:t>
            </w:r>
          </w:p>
        </w:tc>
        <w:tc>
          <w:tcPr>
            <w:tcW w:type="dxa" w:w="1385"/>
          </w:tcPr>
          <w:p>
            <w:pPr>
              <w:spacing w:line="264" w:lineRule="auto" w:after="40"/>
            </w:pPr>
            <w:r>
              <w:rPr>
                <w:rFonts w:ascii="Times New Roman" w:hAnsi="Times New Roman"/>
                <w:sz w:val="16"/>
              </w:rPr>
              <w:t>1 Stream (Compost)</w:t>
            </w:r>
          </w:p>
        </w:tc>
        <w:tc>
          <w:tcPr>
            <w:tcW w:type="dxa" w:w="1385"/>
          </w:tcPr>
          <w:p>
            <w:pPr>
              <w:spacing w:line="264" w:lineRule="auto" w:after="40"/>
            </w:pPr>
            <w:r>
              <w:rPr>
                <w:rFonts w:ascii="Times New Roman" w:hAnsi="Times New Roman"/>
                <w:sz w:val="16"/>
              </w:rPr>
              <w:t>2 Streams (Incense/Leather)</w:t>
            </w:r>
          </w:p>
        </w:tc>
        <w:tc>
          <w:tcPr>
            <w:tcW w:type="dxa" w:w="1385"/>
          </w:tcPr>
          <w:p>
            <w:pPr>
              <w:spacing w:line="264" w:lineRule="auto" w:after="40"/>
            </w:pPr>
            <w:r>
              <w:rPr>
                <w:rFonts w:ascii="Times New Roman" w:hAnsi="Times New Roman"/>
                <w:sz w:val="16"/>
              </w:rPr>
              <w:t>1 Stream (Biochar)</w:t>
            </w:r>
          </w:p>
        </w:tc>
        <w:tc>
          <w:tcPr>
            <w:tcW w:type="dxa" w:w="1385"/>
          </w:tcPr>
          <w:p>
            <w:pPr>
              <w:spacing w:line="264" w:lineRule="auto" w:after="40"/>
            </w:pPr>
            <w:r>
              <w:rPr>
                <w:rFonts w:ascii="Times New Roman" w:hAnsi="Times New Roman"/>
                <w:sz w:val="16"/>
              </w:rPr>
              <w:t>1 Stream (City Compost)</w:t>
            </w:r>
          </w:p>
        </w:tc>
      </w:tr>
      <w:tr>
        <w:tc>
          <w:tcPr>
            <w:tcW w:type="dxa" w:w="1385"/>
          </w:tcPr>
          <w:p>
            <w:pPr>
              <w:spacing w:line="264" w:lineRule="auto" w:after="40"/>
            </w:pPr>
            <w:r>
              <w:rPr>
                <w:rFonts w:ascii="Times New Roman" w:hAnsi="Times New Roman"/>
                <w:sz w:val="16"/>
              </w:rPr>
              <w:t>B2B Compliance SaaS</w:t>
            </w:r>
          </w:p>
        </w:tc>
        <w:tc>
          <w:tcPr>
            <w:tcW w:type="dxa" w:w="1385"/>
          </w:tcPr>
          <w:p>
            <w:pPr>
              <w:spacing w:line="264" w:lineRule="auto" w:after="40"/>
            </w:pPr>
            <w:r>
              <w:rPr>
                <w:rFonts w:ascii="Times New Roman" w:hAnsi="Times New Roman"/>
                <w:b/>
                <w:sz w:val="16"/>
              </w:rPr>
              <w:t>YES (Next.js 15 PWA Dashboard)</w:t>
            </w:r>
          </w:p>
        </w:tc>
        <w:tc>
          <w:tcPr>
            <w:tcW w:type="dxa" w:w="1385"/>
          </w:tcPr>
          <w:p>
            <w:pPr>
              <w:spacing w:line="264" w:lineRule="auto" w:after="40"/>
            </w:pPr>
            <w:r>
              <w:rPr>
                <w:rFonts w:ascii="Times New Roman" w:hAnsi="Times New Roman"/>
                <w:sz w:val="16"/>
              </w:rPr>
              <w:t>Partial (Quarterly Slips)</w:t>
            </w:r>
          </w:p>
        </w:tc>
        <w:tc>
          <w:tcPr>
            <w:tcW w:type="dxa" w:w="1385"/>
          </w:tcPr>
          <w:p>
            <w:pPr>
              <w:spacing w:line="264" w:lineRule="auto" w:after="40"/>
            </w:pPr>
            <w:r>
              <w:rPr>
                <w:rFonts w:ascii="Times New Roman" w:hAnsi="Times New Roman"/>
                <w:sz w:val="16"/>
              </w:rPr>
              <w:t>NO (Consumer D2C)</w:t>
            </w:r>
          </w:p>
        </w:tc>
        <w:tc>
          <w:tcPr>
            <w:tcW w:type="dxa" w:w="1385"/>
          </w:tcPr>
          <w:p>
            <w:pPr>
              <w:spacing w:line="264" w:lineRule="auto" w:after="40"/>
            </w:pPr>
            <w:r>
              <w:rPr>
                <w:rFonts w:ascii="Times New Roman" w:hAnsi="Times New Roman"/>
                <w:sz w:val="16"/>
              </w:rPr>
              <w:t>NO (B2B Bulk Agri)</w:t>
            </w:r>
          </w:p>
        </w:tc>
        <w:tc>
          <w:tcPr>
            <w:tcW w:type="dxa" w:w="1385"/>
          </w:tcPr>
          <w:p>
            <w:pPr>
              <w:spacing w:line="264" w:lineRule="auto" w:after="40"/>
            </w:pPr>
            <w:r>
              <w:rPr>
                <w:rFonts w:ascii="Times New Roman" w:hAnsi="Times New Roman"/>
                <w:sz w:val="16"/>
              </w:rPr>
              <w:t>Paper Receipts Only</w:t>
            </w:r>
          </w:p>
        </w:tc>
      </w:tr>
      <w:tr>
        <w:tc>
          <w:tcPr>
            <w:tcW w:type="dxa" w:w="1385"/>
          </w:tcPr>
          <w:p>
            <w:pPr>
              <w:spacing w:line="264" w:lineRule="auto" w:after="40"/>
            </w:pPr>
            <w:r>
              <w:rPr>
                <w:rFonts w:ascii="Times New Roman" w:hAnsi="Times New Roman"/>
                <w:sz w:val="16"/>
              </w:rPr>
              <w:t>AI Agronomist Advisory</w:t>
            </w:r>
          </w:p>
        </w:tc>
        <w:tc>
          <w:tcPr>
            <w:tcW w:type="dxa" w:w="1385"/>
          </w:tcPr>
          <w:p>
            <w:pPr>
              <w:spacing w:line="264" w:lineRule="auto" w:after="40"/>
            </w:pPr>
            <w:r>
              <w:rPr>
                <w:rFonts w:ascii="Times New Roman" w:hAnsi="Times New Roman"/>
                <w:b/>
                <w:sz w:val="16"/>
              </w:rPr>
              <w:t>YES (Gemini + ICAR Rules)</w:t>
            </w:r>
          </w:p>
        </w:tc>
        <w:tc>
          <w:tcPr>
            <w:tcW w:type="dxa" w:w="1385"/>
          </w:tcPr>
          <w:p>
            <w:pPr>
              <w:spacing w:line="264" w:lineRule="auto" w:after="40"/>
            </w:pPr>
            <w:r>
              <w:rPr>
                <w:rFonts w:ascii="Times New Roman" w:hAnsi="Times New Roman"/>
                <w:sz w:val="16"/>
              </w:rPr>
              <w:t>NO</w:t>
            </w:r>
          </w:p>
        </w:tc>
        <w:tc>
          <w:tcPr>
            <w:tcW w:type="dxa" w:w="1385"/>
          </w:tcPr>
          <w:p>
            <w:pPr>
              <w:spacing w:line="264" w:lineRule="auto" w:after="40"/>
            </w:pPr>
            <w:r>
              <w:rPr>
                <w:rFonts w:ascii="Times New Roman" w:hAnsi="Times New Roman"/>
                <w:sz w:val="16"/>
              </w:rPr>
              <w:t>NO</w:t>
            </w:r>
          </w:p>
        </w:tc>
        <w:tc>
          <w:tcPr>
            <w:tcW w:type="dxa" w:w="1385"/>
          </w:tcPr>
          <w:p>
            <w:pPr>
              <w:spacing w:line="264" w:lineRule="auto" w:after="40"/>
            </w:pPr>
            <w:r>
              <w:rPr>
                <w:rFonts w:ascii="Times New Roman" w:hAnsi="Times New Roman"/>
                <w:sz w:val="16"/>
              </w:rPr>
              <w:t>NO</w:t>
            </w:r>
          </w:p>
        </w:tc>
        <w:tc>
          <w:tcPr>
            <w:tcW w:type="dxa" w:w="1385"/>
          </w:tcPr>
          <w:p>
            <w:pPr>
              <w:spacing w:line="264" w:lineRule="auto" w:after="40"/>
            </w:pPr>
            <w:r>
              <w:rPr>
                <w:rFonts w:ascii="Times New Roman" w:hAnsi="Times New Roman"/>
                <w:sz w:val="16"/>
              </w:rPr>
              <w:t>NO</w:t>
            </w:r>
          </w:p>
        </w:tc>
      </w:tr>
      <w:tr>
        <w:tc>
          <w:tcPr>
            <w:tcW w:type="dxa" w:w="1385"/>
          </w:tcPr>
          <w:p>
            <w:pPr>
              <w:spacing w:line="264" w:lineRule="auto" w:after="40"/>
            </w:pPr>
            <w:r>
              <w:rPr>
                <w:rFonts w:ascii="Times New Roman" w:hAnsi="Times New Roman"/>
                <w:sz w:val="16"/>
              </w:rPr>
              <w:t>Unit Gross Margin</w:t>
            </w:r>
          </w:p>
        </w:tc>
        <w:tc>
          <w:tcPr>
            <w:tcW w:type="dxa" w:w="1385"/>
          </w:tcPr>
          <w:p>
            <w:pPr>
              <w:spacing w:line="264" w:lineRule="auto" w:after="40"/>
            </w:pPr>
            <w:r>
              <w:rPr>
                <w:rFonts w:ascii="Times New Roman" w:hAnsi="Times New Roman"/>
                <w:b/>
                <w:sz w:val="16"/>
              </w:rPr>
              <w:t>56.5% (High Circular Margin)</w:t>
            </w:r>
          </w:p>
        </w:tc>
        <w:tc>
          <w:tcPr>
            <w:tcW w:type="dxa" w:w="1385"/>
          </w:tcPr>
          <w:p>
            <w:pPr>
              <w:spacing w:line="264" w:lineRule="auto" w:after="40"/>
            </w:pPr>
            <w:r>
              <w:rPr>
                <w:rFonts w:ascii="Times New Roman" w:hAnsi="Times New Roman"/>
                <w:sz w:val="16"/>
              </w:rPr>
              <w:t>22.0% (Low Margin Haul)</w:t>
            </w:r>
          </w:p>
        </w:tc>
        <w:tc>
          <w:tcPr>
            <w:tcW w:type="dxa" w:w="1385"/>
          </w:tcPr>
          <w:p>
            <w:pPr>
              <w:spacing w:line="264" w:lineRule="auto" w:after="40"/>
            </w:pPr>
            <w:r>
              <w:rPr>
                <w:rFonts w:ascii="Times New Roman" w:hAnsi="Times New Roman"/>
                <w:sz w:val="16"/>
              </w:rPr>
              <w:t>38.0% (Consumer Pack)</w:t>
            </w:r>
          </w:p>
        </w:tc>
        <w:tc>
          <w:tcPr>
            <w:tcW w:type="dxa" w:w="1385"/>
          </w:tcPr>
          <w:p>
            <w:pPr>
              <w:spacing w:line="264" w:lineRule="auto" w:after="40"/>
            </w:pPr>
            <w:r>
              <w:rPr>
                <w:rFonts w:ascii="Times New Roman" w:hAnsi="Times New Roman"/>
                <w:sz w:val="16"/>
              </w:rPr>
              <w:t>32.0% (Bulk Char)</w:t>
            </w:r>
          </w:p>
        </w:tc>
        <w:tc>
          <w:tcPr>
            <w:tcW w:type="dxa" w:w="1385"/>
          </w:tcPr>
          <w:p>
            <w:pPr>
              <w:spacing w:line="264" w:lineRule="auto" w:after="40"/>
            </w:pPr>
            <w:r>
              <w:rPr>
                <w:rFonts w:ascii="Times New Roman" w:hAnsi="Times New Roman"/>
                <w:sz w:val="16"/>
              </w:rPr>
              <w:t>Negative (Subsidized)</w:t>
            </w:r>
          </w:p>
        </w:tc>
      </w:tr>
    </w:tbl>
    <w:p>
      <w:pPr>
        <w:keepNext/>
        <w:spacing w:before="280" w:after="120"/>
        <w:jc w:val="left"/>
      </w:pPr>
      <w:r>
        <w:rPr>
          <w:rFonts w:ascii="Times New Roman" w:hAnsi="Times New Roman"/>
          <w:b/>
          <w:color w:val="047857"/>
          <w:sz w:val="28"/>
        </w:rPr>
        <w:t>2.3 Gap and Need Identified Leading to Problem Definition</w:t>
      </w:r>
    </w:p>
    <w:p>
      <w:pPr>
        <w:spacing w:before="0" w:after="120" w:line="360" w:lineRule="auto"/>
        <w:jc w:val="left"/>
      </w:pPr>
      <w:r>
        <w:rPr>
          <w:rFonts w:ascii="Times New Roman" w:hAnsi="Times New Roman"/>
          <w:b w:val="0"/>
          <w:i w:val="0"/>
          <w:sz w:val="24"/>
        </w:rPr>
        <w:t>The comparative analysis reveals three fundamental market and technological gaps that existing players have failed to bridge:</w:t>
      </w:r>
    </w:p>
    <w:p>
      <w:pPr>
        <w:spacing w:before="40" w:after="80" w:line="360" w:lineRule="auto"/>
        <w:jc w:val="left"/>
      </w:pPr>
      <w:r>
        <w:rPr>
          <w:rFonts w:ascii="Times New Roman" w:hAnsi="Times New Roman"/>
          <w:b w:val="0"/>
          <w:i w:val="0"/>
          <w:sz w:val="24"/>
        </w:rPr>
        <w:t>1. The Quality and Contamination Gap: Municipal composting processes waste post-collection at massive centralized dumps, by which point shredded plastics, batteries, and glass have irreversibly contaminated the biological mass. Farmers reject this compost because it poisons their soil with micro-plastics. AgroLoop solves this by establishing quality control at the point of origin: EV collectors verify segregation at the doorstep, and contaminated bins (&gt;5% inorganic) are rejected before loading.</w:t>
      </w:r>
    </w:p>
    <w:p>
      <w:pPr>
        <w:spacing w:before="40" w:after="80" w:line="360" w:lineRule="auto"/>
        <w:jc w:val="left"/>
      </w:pPr>
      <w:r>
        <w:rPr>
          <w:rFonts w:ascii="Times New Roman" w:hAnsi="Times New Roman"/>
          <w:b w:val="0"/>
          <w:i w:val="0"/>
          <w:sz w:val="24"/>
        </w:rPr>
        <w:t>2. The Odor and Putrefaction Gap: Untreated kitchen scraps rot rapidly during tropical transit, creating noxious ammonia and mercaptan emissions. Housing societies abandon on-site composter drums because ground-floor residents cannot tolerate the stench. AgroLoop introduces Japanese Bokashi anaerobic fermentation: inoculating scraps with lactic acid bacteria and yeasts (EM1) that instantly drops pH to 4.0, locking in nitrogen and eliminating foul odors entirely.</w:t>
      </w:r>
    </w:p>
    <w:p>
      <w:pPr>
        <w:spacing w:before="40" w:after="120" w:line="360" w:lineRule="auto"/>
        <w:jc w:val="left"/>
      </w:pPr>
      <w:r>
        <w:rPr>
          <w:rFonts w:ascii="Times New Roman" w:hAnsi="Times New Roman"/>
          <w:b w:val="0"/>
          <w:i w:val="0"/>
          <w:sz w:val="24"/>
        </w:rPr>
        <w:t>3. The Agronomic Trust &amp; Advisory Gap: Farmers are hesitant to transition from predictable chemical fertilizers (with known NPK numbers) to organic amendments without precise crop guidance. AgroLoop bridges this through its Gemini 1.5 Pro AI agronomist, which is hard-coded with deterministic ICAR agronomic rules to provide farmers with crop- and soil-specific application schedules in vernacular Marathi.</w:t>
      </w:r>
    </w:p>
    <w:p>
      <w:pPr>
        <w:spacing w:before="120" w:after="120" w:line="360" w:lineRule="auto"/>
        <w:jc w:val="left"/>
      </w:pPr>
      <w:r>
        <w:rPr>
          <w:rFonts w:ascii="Times New Roman" w:hAnsi="Times New Roman"/>
          <w:b w:val="0"/>
          <w:i/>
          <w:sz w:val="22"/>
        </w:rPr>
        <w:t>Summary: Chapter 2 examined the SWM 2016 regulatory framework and soil carbon chemistry, benchmarked five competitor models in Table 2.1, and highlighted the three core industry gaps that AgroLoop resolves.</w:t>
      </w:r>
    </w:p>
    <w:p>
      <w:r>
        <w:br w:type="page"/>
      </w:r>
    </w:p>
    <w:p>
      <w:pPr>
        <w:keepNext/>
        <w:spacing w:before="360" w:after="160"/>
        <w:jc w:val="left"/>
      </w:pPr>
      <w:r>
        <w:rPr>
          <w:rFonts w:ascii="Times New Roman" w:hAnsi="Times New Roman"/>
          <w:b/>
          <w:color w:val="064E3B"/>
          <w:sz w:val="36"/>
        </w:rPr>
        <w:t>Chapter 3: Design and Development Process</w:t>
      </w:r>
    </w:p>
    <w:p>
      <w:pPr>
        <w:spacing w:before="0" w:after="240" w:line="360" w:lineRule="auto"/>
        <w:jc w:val="left"/>
      </w:pPr>
      <w:r>
        <w:rPr>
          <w:rFonts w:ascii="Times New Roman" w:hAnsi="Times New Roman"/>
          <w:b w:val="0"/>
          <w:i/>
          <w:sz w:val="23"/>
        </w:rPr>
        <w:t>This chapter details the stakeholder requirements, engineering decision matrices, system architecture, circular state machines, regulatory standards, safety constraints, work breakdown structure, and semester Gantt chart.</w:t>
      </w:r>
    </w:p>
    <w:p>
      <w:pPr>
        <w:keepNext/>
        <w:spacing w:before="280" w:after="120"/>
        <w:jc w:val="left"/>
      </w:pPr>
      <w:r>
        <w:rPr>
          <w:rFonts w:ascii="Times New Roman" w:hAnsi="Times New Roman"/>
          <w:b/>
          <w:color w:val="047857"/>
          <w:sz w:val="28"/>
        </w:rPr>
        <w:t>3.1 Stakeholder / User Needs and Specifications</w:t>
      </w:r>
    </w:p>
    <w:p>
      <w:pPr>
        <w:spacing w:before="0" w:after="120" w:line="360" w:lineRule="auto"/>
        <w:jc w:val="left"/>
      </w:pPr>
      <w:r>
        <w:rPr>
          <w:rFonts w:ascii="Times New Roman" w:hAnsi="Times New Roman"/>
          <w:b w:val="0"/>
          <w:i w:val="0"/>
          <w:sz w:val="24"/>
        </w:rPr>
        <w:t>System requirements were formulated through primary field interviews with 45 commercial restaurant owners in Bandra/BKC, 80 residential managing committee members in Powai/Thane, and 65 smallholder farmers in Palghar. The functional specifications derived include:</w:t>
      </w:r>
    </w:p>
    <w:p>
      <w:pPr>
        <w:spacing w:before="40" w:after="40" w:line="360" w:lineRule="auto"/>
        <w:jc w:val="left"/>
      </w:pPr>
      <w:r>
        <w:rPr>
          <w:rFonts w:ascii="Times New Roman" w:hAnsi="Times New Roman"/>
          <w:b w:val="0"/>
          <w:i w:val="0"/>
          <w:sz w:val="24"/>
        </w:rPr>
        <w:t>• Spec 1 (B2B Bulk Generators): Web-based pickup scheduling, real-time EV driver tracking, automated weight logging via Bluetooth digital load cells, and instant generation of MCGM-compliant digital waste diversion certificates.</w:t>
      </w:r>
    </w:p>
    <w:p>
      <w:pPr>
        <w:spacing w:before="40" w:after="40" w:line="360" w:lineRule="auto"/>
        <w:jc w:val="left"/>
      </w:pPr>
      <w:r>
        <w:rPr>
          <w:rFonts w:ascii="Times New Roman" w:hAnsi="Times New Roman"/>
          <w:b w:val="0"/>
          <w:i w:val="0"/>
          <w:sz w:val="24"/>
        </w:rPr>
        <w:t>• Spec 2 (Residential Households): User-friendly PWA interface to schedule doorstep bin collections, visual contamination feedback, and a gamified Green Soil Points wallet redeemable for free vermicompost bags.</w:t>
      </w:r>
    </w:p>
    <w:p>
      <w:pPr>
        <w:spacing w:before="40" w:after="40" w:line="360" w:lineRule="auto"/>
        <w:jc w:val="left"/>
      </w:pPr>
      <w:r>
        <w:rPr>
          <w:rFonts w:ascii="Times New Roman" w:hAnsi="Times New Roman"/>
          <w:b w:val="0"/>
          <w:i w:val="0"/>
          <w:sz w:val="24"/>
        </w:rPr>
        <w:t>• Spec 3 (Logistics EV Collectors): Mobile-optimized route manifest with GPS turn-by-turn navigation, one-touch Bluetooth scale pairing, visual contamination slider (0%–20%), and automated receipt dispatch.</w:t>
      </w:r>
    </w:p>
    <w:p>
      <w:pPr>
        <w:spacing w:before="40" w:after="40" w:line="360" w:lineRule="auto"/>
        <w:jc w:val="left"/>
      </w:pPr>
      <w:r>
        <w:rPr>
          <w:rFonts w:ascii="Times New Roman" w:hAnsi="Times New Roman"/>
          <w:b w:val="0"/>
          <w:i w:val="0"/>
          <w:sz w:val="24"/>
        </w:rPr>
        <w:t>• Spec 4 (Smallholder Farmers): Vernacular (Marathi/Hindi) mobile storefront for purchasing certified bio-inputs, transparent FCO 1985 chemical assay displays, flexible COD/FPO credit payment, and interactive AI agronomist chat.</w:t>
      </w:r>
    </w:p>
    <w:p>
      <w:pPr>
        <w:spacing w:before="40" w:after="120" w:line="360" w:lineRule="auto"/>
        <w:jc w:val="left"/>
      </w:pPr>
      <w:r>
        <w:rPr>
          <w:rFonts w:ascii="Times New Roman" w:hAnsi="Times New Roman"/>
          <w:b w:val="0"/>
          <w:i w:val="0"/>
          <w:sz w:val="24"/>
        </w:rPr>
        <w:t>• Spec 5 (Hub Operations Admin): Centralized command center tracking raw waste inflow, batch fermentation lifecycles (Bokashi, Vermi, Biochar), inventory warehouse stock, and cumulative methane abatement telemetry.</w:t>
      </w:r>
    </w:p>
    <w:p>
      <w:pPr>
        <w:keepNext/>
        <w:spacing w:before="280" w:after="120"/>
        <w:jc w:val="left"/>
      </w:pPr>
      <w:r>
        <w:rPr>
          <w:rFonts w:ascii="Times New Roman" w:hAnsi="Times New Roman"/>
          <w:b/>
          <w:color w:val="047857"/>
          <w:sz w:val="28"/>
        </w:rPr>
        <w:t>3.2 Design Alternatives Considered and Decision Matrix</w:t>
      </w:r>
    </w:p>
    <w:p>
      <w:pPr>
        <w:spacing w:before="0" w:after="120" w:line="360" w:lineRule="auto"/>
        <w:jc w:val="left"/>
      </w:pPr>
      <w:r>
        <w:rPr>
          <w:rFonts w:ascii="Times New Roman" w:hAnsi="Times New Roman"/>
          <w:b w:val="0"/>
          <w:i w:val="0"/>
          <w:sz w:val="24"/>
        </w:rPr>
        <w:t>Multiple architectural and biotechnological options were evaluated before finalizing the system design. Table 3.1 details the multi-criteria decision matrix used to select the optimal core technologies across frontend, backend, AI orchestration, and bio-conversion.</w:t>
      </w:r>
    </w:p>
    <w:p>
      <w:pPr>
        <w:spacing w:before="200" w:after="80" w:line="360" w:lineRule="auto"/>
        <w:jc w:val="left"/>
      </w:pPr>
      <w:r>
        <w:rPr>
          <w:rFonts w:ascii="Times New Roman" w:hAnsi="Times New Roman"/>
          <w:b/>
          <w:i w:val="0"/>
          <w:sz w:val="20"/>
        </w:rPr>
        <w:t>Table 3.1: Technological Design Alternatives Decision Matrix</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F1F5F9"/>
          </w:tcPr>
          <w:p>
            <w:pPr>
              <w:spacing w:line="264" w:lineRule="auto" w:after="40"/>
            </w:pPr>
            <w:r>
              <w:rPr>
                <w:rFonts w:ascii="Times New Roman" w:hAnsi="Times New Roman"/>
                <w:b/>
                <w:sz w:val="17"/>
              </w:rPr>
              <w:t>Subsystem / Component</w:t>
            </w:r>
          </w:p>
        </w:tc>
        <w:tc>
          <w:tcPr>
            <w:tcW w:type="dxa" w:w="1662"/>
            <w:shd w:fill="F1F5F9"/>
          </w:tcPr>
          <w:p>
            <w:pPr>
              <w:spacing w:line="264" w:lineRule="auto" w:after="40"/>
            </w:pPr>
            <w:r>
              <w:rPr>
                <w:rFonts w:ascii="Times New Roman" w:hAnsi="Times New Roman"/>
                <w:b/>
                <w:sz w:val="17"/>
              </w:rPr>
              <w:t>Option A (Evaluated)</w:t>
            </w:r>
          </w:p>
        </w:tc>
        <w:tc>
          <w:tcPr>
            <w:tcW w:type="dxa" w:w="1662"/>
            <w:shd w:fill="F1F5F9"/>
          </w:tcPr>
          <w:p>
            <w:pPr>
              <w:spacing w:line="264" w:lineRule="auto" w:after="40"/>
            </w:pPr>
            <w:r>
              <w:rPr>
                <w:rFonts w:ascii="Times New Roman" w:hAnsi="Times New Roman"/>
                <w:b/>
                <w:sz w:val="17"/>
              </w:rPr>
              <w:t>Option B (Evaluated)</w:t>
            </w:r>
          </w:p>
        </w:tc>
        <w:tc>
          <w:tcPr>
            <w:tcW w:type="dxa" w:w="1662"/>
            <w:shd w:fill="F1F5F9"/>
          </w:tcPr>
          <w:p>
            <w:pPr>
              <w:spacing w:line="264" w:lineRule="auto" w:after="40"/>
            </w:pPr>
            <w:r>
              <w:rPr>
                <w:rFonts w:ascii="Times New Roman" w:hAnsi="Times New Roman"/>
                <w:b/>
                <w:sz w:val="17"/>
              </w:rPr>
              <w:t>Selected Option</w:t>
            </w:r>
          </w:p>
        </w:tc>
        <w:tc>
          <w:tcPr>
            <w:tcW w:type="dxa" w:w="1662"/>
            <w:shd w:fill="F1F5F9"/>
          </w:tcPr>
          <w:p>
            <w:pPr>
              <w:spacing w:line="264" w:lineRule="auto" w:after="40"/>
            </w:pPr>
            <w:r>
              <w:rPr>
                <w:rFonts w:ascii="Times New Roman" w:hAnsi="Times New Roman"/>
                <w:b/>
                <w:sz w:val="17"/>
              </w:rPr>
              <w:t>Justification &amp; Engineering Rationale</w:t>
            </w:r>
          </w:p>
        </w:tc>
      </w:tr>
      <w:tr>
        <w:tc>
          <w:tcPr>
            <w:tcW w:type="dxa" w:w="1662"/>
          </w:tcPr>
          <w:p>
            <w:pPr>
              <w:spacing w:line="264" w:lineRule="auto" w:after="40"/>
            </w:pPr>
            <w:r>
              <w:rPr>
                <w:rFonts w:ascii="Times New Roman" w:hAnsi="Times New Roman"/>
                <w:sz w:val="16"/>
              </w:rPr>
              <w:t>Web Framework</w:t>
            </w:r>
          </w:p>
        </w:tc>
        <w:tc>
          <w:tcPr>
            <w:tcW w:type="dxa" w:w="1662"/>
          </w:tcPr>
          <w:p>
            <w:pPr>
              <w:spacing w:line="264" w:lineRule="auto" w:after="40"/>
            </w:pPr>
            <w:r>
              <w:rPr>
                <w:rFonts w:ascii="Times New Roman" w:hAnsi="Times New Roman"/>
                <w:sz w:val="16"/>
              </w:rPr>
              <w:t>React SPA (Vite)</w:t>
            </w:r>
          </w:p>
        </w:tc>
        <w:tc>
          <w:tcPr>
            <w:tcW w:type="dxa" w:w="1662"/>
          </w:tcPr>
          <w:p>
            <w:pPr>
              <w:spacing w:line="264" w:lineRule="auto" w:after="40"/>
            </w:pPr>
            <w:r>
              <w:rPr>
                <w:rFonts w:ascii="Times New Roman" w:hAnsi="Times New Roman"/>
                <w:sz w:val="16"/>
              </w:rPr>
              <w:t>Next.js 15 App Router</w:t>
            </w:r>
          </w:p>
        </w:tc>
        <w:tc>
          <w:tcPr>
            <w:tcW w:type="dxa" w:w="1662"/>
          </w:tcPr>
          <w:p>
            <w:pPr>
              <w:spacing w:line="264" w:lineRule="auto" w:after="40"/>
            </w:pPr>
            <w:r>
              <w:rPr>
                <w:rFonts w:ascii="Times New Roman" w:hAnsi="Times New Roman"/>
                <w:b/>
                <w:sz w:val="16"/>
              </w:rPr>
              <w:t>Next.js 15 (App Router)</w:t>
            </w:r>
          </w:p>
        </w:tc>
        <w:tc>
          <w:tcPr>
            <w:tcW w:type="dxa" w:w="1662"/>
          </w:tcPr>
          <w:p>
            <w:pPr>
              <w:spacing w:line="264" w:lineRule="auto" w:after="40"/>
            </w:pPr>
            <w:r>
              <w:rPr>
                <w:rFonts w:ascii="Times New Roman" w:hAnsi="Times New Roman"/>
                <w:sz w:val="16"/>
              </w:rPr>
              <w:t>Enables React 19 Server Components, streaming SSR, automatic static optimization, and zero-bundle server actions.</w:t>
            </w:r>
          </w:p>
        </w:tc>
      </w:tr>
      <w:tr>
        <w:tc>
          <w:tcPr>
            <w:tcW w:type="dxa" w:w="1662"/>
          </w:tcPr>
          <w:p>
            <w:pPr>
              <w:spacing w:line="264" w:lineRule="auto" w:after="40"/>
            </w:pPr>
            <w:r>
              <w:rPr>
                <w:rFonts w:ascii="Times New Roman" w:hAnsi="Times New Roman"/>
                <w:sz w:val="16"/>
              </w:rPr>
              <w:t>Database &amp; Security</w:t>
            </w:r>
          </w:p>
        </w:tc>
        <w:tc>
          <w:tcPr>
            <w:tcW w:type="dxa" w:w="1662"/>
          </w:tcPr>
          <w:p>
            <w:pPr>
              <w:spacing w:line="264" w:lineRule="auto" w:after="40"/>
            </w:pPr>
            <w:r>
              <w:rPr>
                <w:rFonts w:ascii="Times New Roman" w:hAnsi="Times New Roman"/>
                <w:sz w:val="16"/>
              </w:rPr>
              <w:t>MongoDB Atlas (NoSQL)</w:t>
            </w:r>
          </w:p>
        </w:tc>
        <w:tc>
          <w:tcPr>
            <w:tcW w:type="dxa" w:w="1662"/>
          </w:tcPr>
          <w:p>
            <w:pPr>
              <w:spacing w:line="264" w:lineRule="auto" w:after="40"/>
            </w:pPr>
            <w:r>
              <w:rPr>
                <w:rFonts w:ascii="Times New Roman" w:hAnsi="Times New Roman"/>
                <w:sz w:val="16"/>
              </w:rPr>
              <w:t>Supabase PostgreSQL</w:t>
            </w:r>
          </w:p>
        </w:tc>
        <w:tc>
          <w:tcPr>
            <w:tcW w:type="dxa" w:w="1662"/>
          </w:tcPr>
          <w:p>
            <w:pPr>
              <w:spacing w:line="264" w:lineRule="auto" w:after="40"/>
            </w:pPr>
            <w:r>
              <w:rPr>
                <w:rFonts w:ascii="Times New Roman" w:hAnsi="Times New Roman"/>
                <w:b/>
                <w:sz w:val="16"/>
              </w:rPr>
              <w:t>Supabase PostgreSQL</w:t>
            </w:r>
          </w:p>
        </w:tc>
        <w:tc>
          <w:tcPr>
            <w:tcW w:type="dxa" w:w="1662"/>
          </w:tcPr>
          <w:p>
            <w:pPr>
              <w:spacing w:line="264" w:lineRule="auto" w:after="40"/>
            </w:pPr>
            <w:r>
              <w:rPr>
                <w:rFonts w:ascii="Times New Roman" w:hAnsi="Times New Roman"/>
                <w:sz w:val="16"/>
              </w:rPr>
              <w:t>Relational integrity, ACID compliance for financial orders, and built-in Row Level Security (RLS) for tenant data isolation.</w:t>
            </w:r>
          </w:p>
        </w:tc>
      </w:tr>
      <w:tr>
        <w:tc>
          <w:tcPr>
            <w:tcW w:type="dxa" w:w="1662"/>
          </w:tcPr>
          <w:p>
            <w:pPr>
              <w:spacing w:line="264" w:lineRule="auto" w:after="40"/>
            </w:pPr>
            <w:r>
              <w:rPr>
                <w:rFonts w:ascii="Times New Roman" w:hAnsi="Times New Roman"/>
                <w:sz w:val="16"/>
              </w:rPr>
              <w:t>AI Agronomist Engine</w:t>
            </w:r>
          </w:p>
        </w:tc>
        <w:tc>
          <w:tcPr>
            <w:tcW w:type="dxa" w:w="1662"/>
          </w:tcPr>
          <w:p>
            <w:pPr>
              <w:spacing w:line="264" w:lineRule="auto" w:after="40"/>
            </w:pPr>
            <w:r>
              <w:rPr>
                <w:rFonts w:ascii="Times New Roman" w:hAnsi="Times New Roman"/>
                <w:sz w:val="16"/>
              </w:rPr>
              <w:t>Raw OpenAI GPT-4 API</w:t>
            </w:r>
          </w:p>
        </w:tc>
        <w:tc>
          <w:tcPr>
            <w:tcW w:type="dxa" w:w="1662"/>
          </w:tcPr>
          <w:p>
            <w:pPr>
              <w:spacing w:line="264" w:lineRule="auto" w:after="40"/>
            </w:pPr>
            <w:r>
              <w:rPr>
                <w:rFonts w:ascii="Times New Roman" w:hAnsi="Times New Roman"/>
                <w:sz w:val="16"/>
              </w:rPr>
              <w:t>Gemini 1.5 + ICAR Rule Engine</w:t>
            </w:r>
          </w:p>
        </w:tc>
        <w:tc>
          <w:tcPr>
            <w:tcW w:type="dxa" w:w="1662"/>
          </w:tcPr>
          <w:p>
            <w:pPr>
              <w:spacing w:line="264" w:lineRule="auto" w:after="40"/>
            </w:pPr>
            <w:r>
              <w:rPr>
                <w:rFonts w:ascii="Times New Roman" w:hAnsi="Times New Roman"/>
                <w:b/>
                <w:sz w:val="16"/>
              </w:rPr>
              <w:t>Gemini 1.5 + ICAR Rules</w:t>
            </w:r>
          </w:p>
        </w:tc>
        <w:tc>
          <w:tcPr>
            <w:tcW w:type="dxa" w:w="1662"/>
          </w:tcPr>
          <w:p>
            <w:pPr>
              <w:spacing w:line="264" w:lineRule="auto" w:after="40"/>
            </w:pPr>
            <w:r>
              <w:rPr>
                <w:rFonts w:ascii="Times New Roman" w:hAnsi="Times New Roman"/>
                <w:sz w:val="16"/>
              </w:rPr>
              <w:t>Zero latency multimodal processing combined with deterministic rule guardrails to eliminate toxic agronomy hallucinations.</w:t>
            </w:r>
          </w:p>
        </w:tc>
      </w:tr>
      <w:tr>
        <w:tc>
          <w:tcPr>
            <w:tcW w:type="dxa" w:w="1662"/>
          </w:tcPr>
          <w:p>
            <w:pPr>
              <w:spacing w:line="264" w:lineRule="auto" w:after="40"/>
            </w:pPr>
            <w:r>
              <w:rPr>
                <w:rFonts w:ascii="Times New Roman" w:hAnsi="Times New Roman"/>
                <w:sz w:val="16"/>
              </w:rPr>
              <w:t>Bio-Processing Tech</w:t>
            </w:r>
          </w:p>
        </w:tc>
        <w:tc>
          <w:tcPr>
            <w:tcW w:type="dxa" w:w="1662"/>
          </w:tcPr>
          <w:p>
            <w:pPr>
              <w:spacing w:line="264" w:lineRule="auto" w:after="40"/>
            </w:pPr>
            <w:r>
              <w:rPr>
                <w:rFonts w:ascii="Times New Roman" w:hAnsi="Times New Roman"/>
                <w:sz w:val="16"/>
              </w:rPr>
              <w:t>Open Aerobic Windrows</w:t>
            </w:r>
          </w:p>
        </w:tc>
        <w:tc>
          <w:tcPr>
            <w:tcW w:type="dxa" w:w="1662"/>
          </w:tcPr>
          <w:p>
            <w:pPr>
              <w:spacing w:line="264" w:lineRule="auto" w:after="40"/>
            </w:pPr>
            <w:r>
              <w:rPr>
                <w:rFonts w:ascii="Times New Roman" w:hAnsi="Times New Roman"/>
                <w:sz w:val="16"/>
              </w:rPr>
              <w:t>4-Stream Bio-Refinery</w:t>
            </w:r>
          </w:p>
        </w:tc>
        <w:tc>
          <w:tcPr>
            <w:tcW w:type="dxa" w:w="1662"/>
          </w:tcPr>
          <w:p>
            <w:pPr>
              <w:spacing w:line="264" w:lineRule="auto" w:after="40"/>
            </w:pPr>
            <w:r>
              <w:rPr>
                <w:rFonts w:ascii="Times New Roman" w:hAnsi="Times New Roman"/>
                <w:b/>
                <w:sz w:val="16"/>
              </w:rPr>
              <w:t>4-Stream Bio-Refinery</w:t>
            </w:r>
          </w:p>
        </w:tc>
        <w:tc>
          <w:tcPr>
            <w:tcW w:type="dxa" w:w="1662"/>
          </w:tcPr>
          <w:p>
            <w:pPr>
              <w:spacing w:line="264" w:lineRule="auto" w:after="40"/>
            </w:pPr>
            <w:r>
              <w:rPr>
                <w:rFonts w:ascii="Times New Roman" w:hAnsi="Times New Roman"/>
                <w:sz w:val="16"/>
              </w:rPr>
              <w:t>Eliminates odor via Bokashi EM1; multi-stream (Vermi + Biochar + Liquid) maximizes gross profit margin (56.5% vs 18%).</w:t>
            </w:r>
          </w:p>
        </w:tc>
      </w:tr>
      <w:tr>
        <w:tc>
          <w:tcPr>
            <w:tcW w:type="dxa" w:w="1662"/>
          </w:tcPr>
          <w:p>
            <w:pPr>
              <w:spacing w:line="264" w:lineRule="auto" w:after="40"/>
            </w:pPr>
            <w:r>
              <w:rPr>
                <w:rFonts w:ascii="Times New Roman" w:hAnsi="Times New Roman"/>
                <w:sz w:val="16"/>
              </w:rPr>
              <w:t>Logistics Fleet</w:t>
            </w:r>
          </w:p>
        </w:tc>
        <w:tc>
          <w:tcPr>
            <w:tcW w:type="dxa" w:w="1662"/>
          </w:tcPr>
          <w:p>
            <w:pPr>
              <w:spacing w:line="264" w:lineRule="auto" w:after="40"/>
            </w:pPr>
            <w:r>
              <w:rPr>
                <w:rFonts w:ascii="Times New Roman" w:hAnsi="Times New Roman"/>
                <w:sz w:val="16"/>
              </w:rPr>
              <w:t>Diesel Tata Ace Trucks</w:t>
            </w:r>
          </w:p>
        </w:tc>
        <w:tc>
          <w:tcPr>
            <w:tcW w:type="dxa" w:w="1662"/>
          </w:tcPr>
          <w:p>
            <w:pPr>
              <w:spacing w:line="264" w:lineRule="auto" w:after="40"/>
            </w:pPr>
            <w:r>
              <w:rPr>
                <w:rFonts w:ascii="Times New Roman" w:hAnsi="Times New Roman"/>
                <w:sz w:val="16"/>
              </w:rPr>
              <w:t>3-Wheeler Electric Loaders</w:t>
            </w:r>
          </w:p>
        </w:tc>
        <w:tc>
          <w:tcPr>
            <w:tcW w:type="dxa" w:w="1662"/>
          </w:tcPr>
          <w:p>
            <w:pPr>
              <w:spacing w:line="264" w:lineRule="auto" w:after="40"/>
            </w:pPr>
            <w:r>
              <w:rPr>
                <w:rFonts w:ascii="Times New Roman" w:hAnsi="Times New Roman"/>
                <w:b/>
                <w:sz w:val="16"/>
              </w:rPr>
              <w:t>3-Wheeler EV Loaders</w:t>
            </w:r>
          </w:p>
        </w:tc>
        <w:tc>
          <w:tcPr>
            <w:tcW w:type="dxa" w:w="1662"/>
          </w:tcPr>
          <w:p>
            <w:pPr>
              <w:spacing w:line="264" w:lineRule="auto" w:after="40"/>
            </w:pPr>
            <w:r>
              <w:rPr>
                <w:rFonts w:ascii="Times New Roman" w:hAnsi="Times New Roman"/>
                <w:sz w:val="16"/>
              </w:rPr>
              <w:t>Operating cost of ₹0.40/km electricity vs ₹3.80/km diesel; zero tailpipe emissions in dense residential zones.</w:t>
            </w:r>
          </w:p>
        </w:tc>
      </w:tr>
    </w:tbl>
    <w:p>
      <w:pPr>
        <w:keepNext/>
        <w:spacing w:before="280" w:after="120"/>
        <w:jc w:val="left"/>
      </w:pPr>
      <w:r>
        <w:rPr>
          <w:rFonts w:ascii="Times New Roman" w:hAnsi="Times New Roman"/>
          <w:b/>
          <w:color w:val="047857"/>
          <w:sz w:val="28"/>
        </w:rPr>
        <w:t>3.3 Selected Design: System Architecture, State Machine and Data Flow</w:t>
      </w:r>
    </w:p>
    <w:p>
      <w:pPr>
        <w:spacing w:before="0" w:after="120" w:line="360" w:lineRule="auto"/>
        <w:jc w:val="left"/>
      </w:pPr>
      <w:r>
        <w:rPr>
          <w:rFonts w:ascii="Times New Roman" w:hAnsi="Times New Roman"/>
          <w:b w:val="0"/>
          <w:i w:val="0"/>
          <w:sz w:val="24"/>
        </w:rPr>
        <w:t>AgroLoop employs a modern 4-tier cloud architecture coupled with an offline-resilient local storage fallback engine, ensuring uninterrupted demonstration during academic evaluations and live deployment in rural areas with intermittent cellular connectivity.</w:t>
      </w:r>
    </w:p>
    <w:p>
      <w:pPr>
        <w:spacing w:before="40" w:after="40" w:line="360" w:lineRule="auto"/>
        <w:jc w:val="left"/>
      </w:pPr>
      <w:r>
        <w:rPr>
          <w:rFonts w:ascii="Times New Roman" w:hAnsi="Times New Roman"/>
          <w:b w:val="0"/>
          <w:i w:val="0"/>
          <w:sz w:val="24"/>
        </w:rPr>
        <w:t>1. Presentation Layer: Built with Next.js 15 and Tailwind CSS, providing 60 statically and dynamically rendered pages across five role dashboards, installable as a Progressive Web App (PWA) on Android and iOS devices.</w:t>
      </w:r>
    </w:p>
    <w:p>
      <w:pPr>
        <w:spacing w:before="40" w:after="40" w:line="360" w:lineRule="auto"/>
        <w:jc w:val="left"/>
      </w:pPr>
      <w:r>
        <w:rPr>
          <w:rFonts w:ascii="Times New Roman" w:hAnsi="Times New Roman"/>
          <w:b w:val="0"/>
          <w:i w:val="0"/>
          <w:sz w:val="24"/>
        </w:rPr>
        <w:t>2. Application &amp; API Layer: Next.js API route handlers (`/api/ai/advisor`) orchestrating Google Gemini 1.5 Pro calls with a deterministic pre- and post-validation rule engine enforcing ICAR safety thresholds.</w:t>
      </w:r>
    </w:p>
    <w:p>
      <w:pPr>
        <w:spacing w:before="40" w:after="40" w:line="360" w:lineRule="auto"/>
        <w:jc w:val="left"/>
      </w:pPr>
      <w:r>
        <w:rPr>
          <w:rFonts w:ascii="Times New Roman" w:hAnsi="Times New Roman"/>
          <w:b w:val="0"/>
          <w:i w:val="0"/>
          <w:sz w:val="24"/>
        </w:rPr>
        <w:t>3. Data Layer: Supabase PostgreSQL database hosting 14 normalized tables, safeguarded with PostgreSQL Row Level Security (RLS) policies restricting tenant access.</w:t>
      </w:r>
    </w:p>
    <w:p>
      <w:pPr>
        <w:spacing w:before="40" w:after="80" w:line="360" w:lineRule="auto"/>
        <w:jc w:val="left"/>
      </w:pPr>
      <w:r>
        <w:rPr>
          <w:rFonts w:ascii="Times New Roman" w:hAnsi="Times New Roman"/>
          <w:b w:val="0"/>
          <w:i w:val="0"/>
          <w:sz w:val="24"/>
        </w:rPr>
        <w:t>4. Telematics &amp; Geospatial Layer: MapLibre GL rendering live ecosystem logistics nodes across Mumbai (collection), Mahape (hub), and Palghar (farms).</w:t>
      </w:r>
    </w:p>
    <w:p>
      <w:pPr>
        <w:spacing w:before="0" w:after="120" w:line="360" w:lineRule="auto"/>
        <w:jc w:val="left"/>
      </w:pPr>
      <w:r>
        <w:rPr>
          <w:rFonts w:ascii="Times New Roman" w:hAnsi="Times New Roman"/>
          <w:b w:val="0"/>
          <w:i w:val="0"/>
          <w:sz w:val="24"/>
        </w:rPr>
        <w:t>The circular lifecycle is orchestrated by a finite state machine: `SCHEDULED` -&gt; `IN_TRANSIT` (BLE scale weigh-in) -&gt; `RECEIVED` -&gt; `PROCESSING` (Bokashi/Vermi/Biochar) -&gt; `INVENTORY` (Packaged FCO certified sacks) -&gt; `DISPATCHED` -&gt; `DELIVERED` (Farm gate).</w:t>
      </w:r>
    </w:p>
    <w:p>
      <w:pPr>
        <w:keepNext/>
        <w:spacing w:before="280" w:after="120"/>
        <w:jc w:val="left"/>
      </w:pPr>
      <w:r>
        <w:rPr>
          <w:rFonts w:ascii="Times New Roman" w:hAnsi="Times New Roman"/>
          <w:b/>
          <w:color w:val="047857"/>
          <w:sz w:val="28"/>
        </w:rPr>
        <w:t>3.4 Standards, Safety, Constraints, Ethics and Environmental Considerations</w:t>
      </w:r>
    </w:p>
    <w:p>
      <w:pPr>
        <w:spacing w:before="0" w:after="120" w:line="360" w:lineRule="auto"/>
        <w:jc w:val="left"/>
      </w:pPr>
      <w:r>
        <w:rPr>
          <w:rFonts w:ascii="Times New Roman" w:hAnsi="Times New Roman"/>
          <w:b w:val="0"/>
          <w:i w:val="0"/>
          <w:sz w:val="24"/>
        </w:rPr>
        <w:t>To ensure compliance and user safety, AgroLoop adheres strictly to national industrial, environmental, and software engineering standards. Table 3.2 details the applicable standards and their technical implementation in the project.</w:t>
      </w:r>
    </w:p>
    <w:p>
      <w:pPr>
        <w:spacing w:before="200" w:after="80" w:line="360" w:lineRule="auto"/>
        <w:jc w:val="left"/>
      </w:pPr>
      <w:r>
        <w:rPr>
          <w:rFonts w:ascii="Times New Roman" w:hAnsi="Times New Roman"/>
          <w:b/>
          <w:i w:val="0"/>
          <w:sz w:val="20"/>
        </w:rPr>
        <w:t>Table 3.2: Regulatory Standards, Compliance Codes and Safety Thresholds</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pPr>
              <w:spacing w:line="264" w:lineRule="auto" w:after="40"/>
            </w:pPr>
            <w:r>
              <w:rPr>
                <w:rFonts w:ascii="Times New Roman" w:hAnsi="Times New Roman"/>
                <w:b/>
                <w:sz w:val="17"/>
              </w:rPr>
              <w:t>Standard / Regulation</w:t>
            </w:r>
          </w:p>
        </w:tc>
        <w:tc>
          <w:tcPr>
            <w:tcW w:type="dxa" w:w="2077"/>
            <w:shd w:fill="F1F5F9"/>
          </w:tcPr>
          <w:p>
            <w:pPr>
              <w:spacing w:line="264" w:lineRule="auto" w:after="40"/>
            </w:pPr>
            <w:r>
              <w:rPr>
                <w:rFonts w:ascii="Times New Roman" w:hAnsi="Times New Roman"/>
                <w:b/>
                <w:sz w:val="17"/>
              </w:rPr>
              <w:t>Issuing Authority</w:t>
            </w:r>
          </w:p>
        </w:tc>
        <w:tc>
          <w:tcPr>
            <w:tcW w:type="dxa" w:w="2077"/>
            <w:shd w:fill="F1F5F9"/>
          </w:tcPr>
          <w:p>
            <w:pPr>
              <w:spacing w:line="264" w:lineRule="auto" w:after="40"/>
            </w:pPr>
            <w:r>
              <w:rPr>
                <w:rFonts w:ascii="Times New Roman" w:hAnsi="Times New Roman"/>
                <w:b/>
                <w:sz w:val="17"/>
              </w:rPr>
              <w:t>Mandate / Technical Threshold</w:t>
            </w:r>
          </w:p>
        </w:tc>
        <w:tc>
          <w:tcPr>
            <w:tcW w:type="dxa" w:w="2077"/>
            <w:shd w:fill="F1F5F9"/>
          </w:tcPr>
          <w:p>
            <w:pPr>
              <w:spacing w:line="264" w:lineRule="auto" w:after="40"/>
            </w:pPr>
            <w:r>
              <w:rPr>
                <w:rFonts w:ascii="Times New Roman" w:hAnsi="Times New Roman"/>
                <w:b/>
                <w:sz w:val="17"/>
              </w:rPr>
              <w:t>AgroLoop Compliance Implementation</w:t>
            </w:r>
          </w:p>
        </w:tc>
      </w:tr>
      <w:tr>
        <w:tc>
          <w:tcPr>
            <w:tcW w:type="dxa" w:w="2077"/>
          </w:tcPr>
          <w:p>
            <w:pPr>
              <w:spacing w:line="264" w:lineRule="auto" w:after="40"/>
            </w:pPr>
            <w:r>
              <w:rPr>
                <w:rFonts w:ascii="Times New Roman" w:hAnsi="Times New Roman"/>
                <w:sz w:val="16"/>
              </w:rPr>
              <w:t>SWM Rules 2016 (Rule 4)</w:t>
            </w:r>
          </w:p>
        </w:tc>
        <w:tc>
          <w:tcPr>
            <w:tcW w:type="dxa" w:w="2077"/>
          </w:tcPr>
          <w:p>
            <w:pPr>
              <w:spacing w:line="264" w:lineRule="auto" w:after="40"/>
            </w:pPr>
            <w:r>
              <w:rPr>
                <w:rFonts w:ascii="Times New Roman" w:hAnsi="Times New Roman"/>
                <w:sz w:val="16"/>
              </w:rPr>
              <w:t>MoEFCC / CPCB</w:t>
            </w:r>
          </w:p>
        </w:tc>
        <w:tc>
          <w:tcPr>
            <w:tcW w:type="dxa" w:w="2077"/>
          </w:tcPr>
          <w:p>
            <w:pPr>
              <w:spacing w:line="264" w:lineRule="auto" w:after="40"/>
            </w:pPr>
            <w:r>
              <w:rPr>
                <w:rFonts w:ascii="Times New Roman" w:hAnsi="Times New Roman"/>
                <w:sz w:val="16"/>
              </w:rPr>
              <w:t>Mandatory on-site/authorized treatment of wet waste for BWGs (&gt;100 kg/day).</w:t>
            </w:r>
          </w:p>
        </w:tc>
        <w:tc>
          <w:tcPr>
            <w:tcW w:type="dxa" w:w="2077"/>
          </w:tcPr>
          <w:p>
            <w:pPr>
              <w:spacing w:line="264" w:lineRule="auto" w:after="40"/>
            </w:pPr>
            <w:r>
              <w:rPr>
                <w:rFonts w:ascii="Times New Roman" w:hAnsi="Times New Roman"/>
                <w:sz w:val="16"/>
              </w:rPr>
              <w:t>Issues digital tamper-proof waste diversion certificates accepted by BMC health officers.</w:t>
            </w:r>
          </w:p>
        </w:tc>
      </w:tr>
      <w:tr>
        <w:tc>
          <w:tcPr>
            <w:tcW w:type="dxa" w:w="2077"/>
          </w:tcPr>
          <w:p>
            <w:pPr>
              <w:spacing w:line="264" w:lineRule="auto" w:after="40"/>
            </w:pPr>
            <w:r>
              <w:rPr>
                <w:rFonts w:ascii="Times New Roman" w:hAnsi="Times New Roman"/>
                <w:sz w:val="16"/>
              </w:rPr>
              <w:t>FCO 1985 (Organic Inputs)</w:t>
            </w:r>
          </w:p>
        </w:tc>
        <w:tc>
          <w:tcPr>
            <w:tcW w:type="dxa" w:w="2077"/>
          </w:tcPr>
          <w:p>
            <w:pPr>
              <w:spacing w:line="264" w:lineRule="auto" w:after="40"/>
            </w:pPr>
            <w:r>
              <w:rPr>
                <w:rFonts w:ascii="Times New Roman" w:hAnsi="Times New Roman"/>
                <w:sz w:val="16"/>
              </w:rPr>
              <w:t>Ministry of Agriculture</w:t>
            </w:r>
          </w:p>
        </w:tc>
        <w:tc>
          <w:tcPr>
            <w:tcW w:type="dxa" w:w="2077"/>
          </w:tcPr>
          <w:p>
            <w:pPr>
              <w:spacing w:line="264" w:lineRule="auto" w:after="40"/>
            </w:pPr>
            <w:r>
              <w:rPr>
                <w:rFonts w:ascii="Times New Roman" w:hAnsi="Times New Roman"/>
                <w:sz w:val="16"/>
              </w:rPr>
              <w:t>Vermicompost C:N &lt; 20:1, Moisture 15–25%, Heavy metals: Pb &lt; 100 ppm, Cd &lt; 5 ppm.</w:t>
            </w:r>
          </w:p>
        </w:tc>
        <w:tc>
          <w:tcPr>
            <w:tcW w:type="dxa" w:w="2077"/>
          </w:tcPr>
          <w:p>
            <w:pPr>
              <w:spacing w:line="264" w:lineRule="auto" w:after="40"/>
            </w:pPr>
            <w:r>
              <w:rPr>
                <w:rFonts w:ascii="Times New Roman" w:hAnsi="Times New Roman"/>
                <w:sz w:val="16"/>
              </w:rPr>
              <w:t>Batch testing verifies C:N of 16.2:1 and heavy metals below detection limits.</w:t>
            </w:r>
          </w:p>
        </w:tc>
      </w:tr>
      <w:tr>
        <w:tc>
          <w:tcPr>
            <w:tcW w:type="dxa" w:w="2077"/>
          </w:tcPr>
          <w:p>
            <w:pPr>
              <w:spacing w:line="264" w:lineRule="auto" w:after="40"/>
            </w:pPr>
            <w:r>
              <w:rPr>
                <w:rFonts w:ascii="Times New Roman" w:hAnsi="Times New Roman"/>
                <w:sz w:val="16"/>
              </w:rPr>
              <w:t>Plastic Waste Rules 2021</w:t>
            </w:r>
          </w:p>
        </w:tc>
        <w:tc>
          <w:tcPr>
            <w:tcW w:type="dxa" w:w="2077"/>
          </w:tcPr>
          <w:p>
            <w:pPr>
              <w:spacing w:line="264" w:lineRule="auto" w:after="40"/>
            </w:pPr>
            <w:r>
              <w:rPr>
                <w:rFonts w:ascii="Times New Roman" w:hAnsi="Times New Roman"/>
                <w:sz w:val="16"/>
              </w:rPr>
              <w:t>MoEFCC</w:t>
            </w:r>
          </w:p>
        </w:tc>
        <w:tc>
          <w:tcPr>
            <w:tcW w:type="dxa" w:w="2077"/>
          </w:tcPr>
          <w:p>
            <w:pPr>
              <w:spacing w:line="264" w:lineRule="auto" w:after="40"/>
            </w:pPr>
            <w:r>
              <w:rPr>
                <w:rFonts w:ascii="Times New Roman" w:hAnsi="Times New Roman"/>
                <w:sz w:val="16"/>
              </w:rPr>
              <w:t>Elimination of single-use plastics &amp; micro-plastic contamination in compost.</w:t>
            </w:r>
          </w:p>
        </w:tc>
        <w:tc>
          <w:tcPr>
            <w:tcW w:type="dxa" w:w="2077"/>
          </w:tcPr>
          <w:p>
            <w:pPr>
              <w:spacing w:line="264" w:lineRule="auto" w:after="40"/>
            </w:pPr>
            <w:r>
              <w:rPr>
                <w:rFonts w:ascii="Times New Roman" w:hAnsi="Times New Roman"/>
                <w:sz w:val="16"/>
              </w:rPr>
              <w:t>Doorstep visual inspection rejects bins with &gt;5% inorganic waste before transport.</w:t>
            </w:r>
          </w:p>
        </w:tc>
      </w:tr>
      <w:tr>
        <w:tc>
          <w:tcPr>
            <w:tcW w:type="dxa" w:w="2077"/>
          </w:tcPr>
          <w:p>
            <w:pPr>
              <w:spacing w:line="264" w:lineRule="auto" w:after="40"/>
            </w:pPr>
            <w:r>
              <w:rPr>
                <w:rFonts w:ascii="Times New Roman" w:hAnsi="Times New Roman"/>
                <w:sz w:val="16"/>
              </w:rPr>
              <w:t>ISO/IEC 27001 &amp; OWASP</w:t>
            </w:r>
          </w:p>
        </w:tc>
        <w:tc>
          <w:tcPr>
            <w:tcW w:type="dxa" w:w="2077"/>
          </w:tcPr>
          <w:p>
            <w:pPr>
              <w:spacing w:line="264" w:lineRule="auto" w:after="40"/>
            </w:pPr>
            <w:r>
              <w:rPr>
                <w:rFonts w:ascii="Times New Roman" w:hAnsi="Times New Roman"/>
                <w:sz w:val="16"/>
              </w:rPr>
              <w:t>ISO / OWASP</w:t>
            </w:r>
          </w:p>
        </w:tc>
        <w:tc>
          <w:tcPr>
            <w:tcW w:type="dxa" w:w="2077"/>
          </w:tcPr>
          <w:p>
            <w:pPr>
              <w:spacing w:line="264" w:lineRule="auto" w:after="40"/>
            </w:pPr>
            <w:r>
              <w:rPr>
                <w:rFonts w:ascii="Times New Roman" w:hAnsi="Times New Roman"/>
                <w:sz w:val="16"/>
              </w:rPr>
              <w:t>Data privacy, role isolation, and protection against injection attacks.</w:t>
            </w:r>
          </w:p>
        </w:tc>
        <w:tc>
          <w:tcPr>
            <w:tcW w:type="dxa" w:w="2077"/>
          </w:tcPr>
          <w:p>
            <w:pPr>
              <w:spacing w:line="264" w:lineRule="auto" w:after="40"/>
            </w:pPr>
            <w:r>
              <w:rPr>
                <w:rFonts w:ascii="Times New Roman" w:hAnsi="Times New Roman"/>
                <w:sz w:val="16"/>
              </w:rPr>
              <w:t>Supabase PostgreSQL RLS policies enforce tenant data isolation across all endpoints.</w:t>
            </w:r>
          </w:p>
        </w:tc>
      </w:tr>
      <w:tr>
        <w:tc>
          <w:tcPr>
            <w:tcW w:type="dxa" w:w="2077"/>
          </w:tcPr>
          <w:p>
            <w:pPr>
              <w:spacing w:line="264" w:lineRule="auto" w:after="40"/>
            </w:pPr>
            <w:r>
              <w:rPr>
                <w:rFonts w:ascii="Times New Roman" w:hAnsi="Times New Roman"/>
                <w:sz w:val="16"/>
              </w:rPr>
              <w:t>ICAR Package of Practices</w:t>
            </w:r>
          </w:p>
        </w:tc>
        <w:tc>
          <w:tcPr>
            <w:tcW w:type="dxa" w:w="2077"/>
          </w:tcPr>
          <w:p>
            <w:pPr>
              <w:spacing w:line="264" w:lineRule="auto" w:after="40"/>
            </w:pPr>
            <w:r>
              <w:rPr>
                <w:rFonts w:ascii="Times New Roman" w:hAnsi="Times New Roman"/>
                <w:sz w:val="16"/>
              </w:rPr>
              <w:t>ICAR New Delhi</w:t>
            </w:r>
          </w:p>
        </w:tc>
        <w:tc>
          <w:tcPr>
            <w:tcW w:type="dxa" w:w="2077"/>
          </w:tcPr>
          <w:p>
            <w:pPr>
              <w:spacing w:line="264" w:lineRule="auto" w:after="40"/>
            </w:pPr>
            <w:r>
              <w:rPr>
                <w:rFonts w:ascii="Times New Roman" w:hAnsi="Times New Roman"/>
                <w:sz w:val="16"/>
              </w:rPr>
              <w:t>Safe crop-specific NPK fertilizer application limits per hectare.</w:t>
            </w:r>
          </w:p>
        </w:tc>
        <w:tc>
          <w:tcPr>
            <w:tcW w:type="dxa" w:w="2077"/>
          </w:tcPr>
          <w:p>
            <w:pPr>
              <w:spacing w:line="264" w:lineRule="auto" w:after="40"/>
            </w:pPr>
            <w:r>
              <w:rPr>
                <w:rFonts w:ascii="Times New Roman" w:hAnsi="Times New Roman"/>
                <w:sz w:val="16"/>
              </w:rPr>
              <w:t>Deterministic rule engine clamps Gemini AI outputs to ICAR safety ceilings.</w:t>
            </w:r>
          </w:p>
        </w:tc>
      </w:tr>
    </w:tbl>
    <w:p>
      <w:pPr>
        <w:keepNext/>
        <w:spacing w:before="280" w:after="120"/>
        <w:jc w:val="left"/>
      </w:pPr>
      <w:r>
        <w:rPr>
          <w:rFonts w:ascii="Times New Roman" w:hAnsi="Times New Roman"/>
          <w:b/>
          <w:color w:val="047857"/>
          <w:sz w:val="28"/>
        </w:rPr>
        <w:t>3.5 Project Plan: Work Breakdown Structure (WBS), Milestones and Gantt Chart</w:t>
      </w:r>
    </w:p>
    <w:p>
      <w:pPr>
        <w:spacing w:before="0" w:after="120" w:line="360" w:lineRule="auto"/>
        <w:jc w:val="left"/>
      </w:pPr>
      <w:r>
        <w:rPr>
          <w:rFonts w:ascii="Times New Roman" w:hAnsi="Times New Roman"/>
          <w:b w:val="0"/>
          <w:i w:val="0"/>
          <w:sz w:val="24"/>
        </w:rPr>
        <w:t>Project execution followed a structured 14-week engineering and entrepreneurial lifecycle across four primary phases:</w:t>
      </w:r>
    </w:p>
    <w:p>
      <w:pPr>
        <w:spacing w:before="40" w:after="40" w:line="360" w:lineRule="auto"/>
        <w:jc w:val="left"/>
      </w:pPr>
      <w:r>
        <w:rPr>
          <w:rFonts w:ascii="Times New Roman" w:hAnsi="Times New Roman"/>
          <w:b w:val="0"/>
          <w:i w:val="0"/>
          <w:sz w:val="24"/>
        </w:rPr>
        <w:t>• Phase 1: Problem Scoping &amp; Field Discovery (Weeks 1–4): Literature review, SWM 2016 analysis, stakeholder survey (45 restaurants, 80 societies, 65 farmers), and ICA Review I defense (Scored: 9.5/10).</w:t>
      </w:r>
    </w:p>
    <w:p>
      <w:pPr>
        <w:spacing w:before="40" w:after="40" w:line="360" w:lineRule="auto"/>
        <w:jc w:val="left"/>
      </w:pPr>
      <w:r>
        <w:rPr>
          <w:rFonts w:ascii="Times New Roman" w:hAnsi="Times New Roman"/>
          <w:b w:val="0"/>
          <w:i w:val="0"/>
          <w:sz w:val="24"/>
        </w:rPr>
        <w:t>• Phase 2: Full-Stack MVP Engineering (Weeks 5–8): Next.js 15 build, Supabase RLS migrations, BLE scale simulator, Gemini 1.5 integration with ICAR guardrails, and INNOVATE 360° pitch defense (Won 3rd Position).</w:t>
      </w:r>
    </w:p>
    <w:p>
      <w:pPr>
        <w:spacing w:before="40" w:after="40" w:line="360" w:lineRule="auto"/>
        <w:jc w:val="left"/>
      </w:pPr>
      <w:r>
        <w:rPr>
          <w:rFonts w:ascii="Times New Roman" w:hAnsi="Times New Roman"/>
          <w:b w:val="0"/>
          <w:i w:val="0"/>
          <w:sz w:val="24"/>
        </w:rPr>
        <w:t>• Phase 3: Field Trials &amp; Business Validation (Weeks 9–11): Palghar farmer field trials (12 plots), FCO 1985 lab testing, BMC financial modeling (56.5% margin), AIC-NMIMS pre-incubation application, and ICA Review II (Scored: 9.5/10).</w:t>
      </w:r>
    </w:p>
    <w:p>
      <w:pPr>
        <w:spacing w:before="40" w:after="120" w:line="360" w:lineRule="auto"/>
        <w:jc w:val="left"/>
      </w:pPr>
      <w:r>
        <w:rPr>
          <w:rFonts w:ascii="Times New Roman" w:hAnsi="Times New Roman"/>
          <w:b w:val="0"/>
          <w:i w:val="0"/>
          <w:sz w:val="24"/>
        </w:rPr>
        <w:t>• Phase 4: System Integration, Auditing &amp; Final Report (Weeks 12–14): Automated Playwright E2E suites, compilation of 7 appendices, mentor sign-off with Prof. Deepali A. Maste, and final ICA submission.</w:t>
      </w:r>
    </w:p>
    <w:p>
      <w:pPr>
        <w:spacing w:before="120" w:after="120" w:line="360" w:lineRule="auto"/>
        <w:jc w:val="left"/>
      </w:pPr>
      <w:r>
        <w:rPr>
          <w:rFonts w:ascii="Times New Roman" w:hAnsi="Times New Roman"/>
          <w:b w:val="0"/>
          <w:i/>
          <w:sz w:val="22"/>
        </w:rPr>
        <w:t>Summary: Chapter 3 defined stakeholder requirements, justified technological choices via decision matrices, documented the 4-tier cloud architecture, mapped regulatory standards, and detailed the 14-week WBS.</w:t>
      </w:r>
    </w:p>
    <w:p>
      <w:r>
        <w:br w:type="page"/>
      </w:r>
    </w:p>
    <w:p>
      <w:pPr>
        <w:keepNext/>
        <w:spacing w:before="360" w:after="160"/>
        <w:jc w:val="left"/>
      </w:pPr>
      <w:r>
        <w:rPr>
          <w:rFonts w:ascii="Times New Roman" w:hAnsi="Times New Roman"/>
          <w:b/>
          <w:color w:val="064E3B"/>
          <w:sz w:val="36"/>
        </w:rPr>
        <w:t>Chapter 4: Implementation, Results and Analysis</w:t>
      </w:r>
    </w:p>
    <w:p>
      <w:pPr>
        <w:spacing w:before="0" w:after="240" w:line="360" w:lineRule="auto"/>
        <w:jc w:val="left"/>
      </w:pPr>
      <w:r>
        <w:rPr>
          <w:rFonts w:ascii="Times New Roman" w:hAnsi="Times New Roman"/>
          <w:b w:val="0"/>
          <w:i/>
          <w:sz w:val="23"/>
        </w:rPr>
        <w:t>This chapter documents the software and physical implementation of AgroLoop, details automated Playwright test suites, presents laboratory chemical assays and farmer field trial results, analyzes unit economics, reviews user feedback iterations, and quantifies environmental methane abatement.</w:t>
      </w:r>
    </w:p>
    <w:p>
      <w:pPr>
        <w:keepNext/>
        <w:spacing w:before="280" w:after="120"/>
        <w:jc w:val="left"/>
      </w:pPr>
      <w:r>
        <w:rPr>
          <w:rFonts w:ascii="Times New Roman" w:hAnsi="Times New Roman"/>
          <w:b/>
          <w:color w:val="047857"/>
          <w:sz w:val="28"/>
        </w:rPr>
        <w:t>4.1 Implementation: Prototype, Software and Physical Bio-Refinery</w:t>
      </w:r>
    </w:p>
    <w:p>
      <w:pPr>
        <w:spacing w:before="0" w:after="120" w:line="360" w:lineRule="auto"/>
        <w:jc w:val="left"/>
      </w:pPr>
      <w:r>
        <w:rPr>
          <w:rFonts w:ascii="Times New Roman" w:hAnsi="Times New Roman"/>
          <w:b w:val="0"/>
          <w:i w:val="0"/>
          <w:sz w:val="24"/>
        </w:rPr>
        <w:t>The software prototype was engineered and built as a production-grade web application in Next.js 15. The system comprises 60 routes supporting five distinct user roles:</w:t>
      </w:r>
    </w:p>
    <w:p>
      <w:pPr>
        <w:spacing w:before="40" w:after="40" w:line="360" w:lineRule="auto"/>
        <w:jc w:val="left"/>
      </w:pPr>
      <w:r>
        <w:rPr>
          <w:rFonts w:ascii="Times New Roman" w:hAnsi="Times New Roman"/>
          <w:b w:val="0"/>
          <w:i w:val="0"/>
          <w:sz w:val="24"/>
        </w:rPr>
        <w:t>• Household Dashboard (`/dashboard/household`): Features pickup booking, bin contamination status, Green Soil Points wallet, and cumulative CO2e avoided counter.</w:t>
      </w:r>
    </w:p>
    <w:p>
      <w:pPr>
        <w:spacing w:before="40" w:after="40" w:line="360" w:lineRule="auto"/>
        <w:jc w:val="left"/>
      </w:pPr>
      <w:r>
        <w:rPr>
          <w:rFonts w:ascii="Times New Roman" w:hAnsi="Times New Roman"/>
          <w:b w:val="0"/>
          <w:i w:val="0"/>
          <w:sz w:val="24"/>
        </w:rPr>
        <w:t>• Restaurant Dashboard (`/dashboard/restaurant`): Features daily commercial food waste logging, station breakdown, BMC SWM compliance certificates, and monthly billing invoices.</w:t>
      </w:r>
    </w:p>
    <w:p>
      <w:pPr>
        <w:spacing w:before="40" w:after="40" w:line="360" w:lineRule="auto"/>
        <w:jc w:val="left"/>
      </w:pPr>
      <w:r>
        <w:rPr>
          <w:rFonts w:ascii="Times New Roman" w:hAnsi="Times New Roman"/>
          <w:b w:val="0"/>
          <w:i w:val="0"/>
          <w:sz w:val="24"/>
        </w:rPr>
        <w:t>• Collector Mobile Interface (`/dashboard/collector`): Features route navigation, doorstep BLE digital scale capture, visual contamination slider, and instant receipt generation.</w:t>
      </w:r>
    </w:p>
    <w:p>
      <w:pPr>
        <w:spacing w:before="40" w:after="40" w:line="360" w:lineRule="auto"/>
        <w:jc w:val="left"/>
      </w:pPr>
      <w:r>
        <w:rPr>
          <w:rFonts w:ascii="Times New Roman" w:hAnsi="Times New Roman"/>
          <w:b w:val="0"/>
          <w:i w:val="0"/>
          <w:sz w:val="24"/>
        </w:rPr>
        <w:t>• Farmer Storefront &amp; Advisory (`/dashboard/farmer`): Features direct-to-farm product marketplace (vermicompost, biochar, liquid fertilizer), cart checkout, and interactive Gemini AI crop advisory chat.</w:t>
      </w:r>
    </w:p>
    <w:p>
      <w:pPr>
        <w:spacing w:before="40" w:after="80" w:line="360" w:lineRule="auto"/>
        <w:jc w:val="left"/>
      </w:pPr>
      <w:r>
        <w:rPr>
          <w:rFonts w:ascii="Times New Roman" w:hAnsi="Times New Roman"/>
          <w:b w:val="0"/>
          <w:i w:val="0"/>
          <w:sz w:val="24"/>
        </w:rPr>
        <w:t>• Central Admin Command Center (`/dashboard/admin`): Real-time mass balance telemetry, batch maturation tracking, warehouse inventory, and ecosystem environmental metrics.</w:t>
      </w:r>
    </w:p>
    <w:p>
      <w:pPr>
        <w:spacing w:before="0" w:after="120" w:line="360" w:lineRule="auto"/>
        <w:jc w:val="left"/>
      </w:pPr>
      <w:r>
        <w:rPr>
          <w:rFonts w:ascii="Times New Roman" w:hAnsi="Times New Roman"/>
          <w:b w:val="0"/>
          <w:i w:val="0"/>
          <w:sz w:val="24"/>
        </w:rPr>
        <w:t>The physical bio-refinery hub design specifies a 5,000 sq. ft. semi-covered facility in Mahape Industrial Area, Navi Mumbai, featuring four 5-tonne Bokashi anaerobic fermentation containment pits, a continuous-flow Eisenia fetida vermicomposting system (45-day cycle), and a batch pyrolysis retort kiln operating at 550°C for biochar production.</w:t>
      </w:r>
    </w:p>
    <w:p>
      <w:pPr>
        <w:keepNext/>
        <w:spacing w:before="280" w:after="120"/>
        <w:jc w:val="left"/>
      </w:pPr>
      <w:r>
        <w:rPr>
          <w:rFonts w:ascii="Times New Roman" w:hAnsi="Times New Roman"/>
          <w:b/>
          <w:color w:val="047857"/>
          <w:sz w:val="28"/>
        </w:rPr>
        <w:t>4.2 Testing, Validation and Verification</w:t>
      </w:r>
    </w:p>
    <w:p>
      <w:pPr>
        <w:spacing w:before="0" w:after="120" w:line="360" w:lineRule="auto"/>
        <w:jc w:val="left"/>
      </w:pPr>
      <w:r>
        <w:rPr>
          <w:rFonts w:ascii="Times New Roman" w:hAnsi="Times New Roman"/>
          <w:b w:val="0"/>
          <w:i w:val="0"/>
          <w:sz w:val="24"/>
        </w:rPr>
        <w:t>System verification was conducted on three complementary levels: automated software testing, chemical laboratory assays, and agricultural field trials.</w:t>
      </w:r>
    </w:p>
    <w:p>
      <w:pPr>
        <w:spacing w:before="0" w:after="120" w:line="360" w:lineRule="auto"/>
        <w:jc w:val="left"/>
      </w:pPr>
      <w:r>
        <w:rPr>
          <w:rFonts w:ascii="Times New Roman" w:hAnsi="Times New Roman"/>
          <w:b w:val="0"/>
          <w:i w:val="0"/>
          <w:sz w:val="24"/>
        </w:rPr>
        <w:t>1. Automated End-to-End Testing: Automated Playwright test suites (`tests/e2e.spec.ts`) verify that the landing page renders correctly, the bio-input product catalog is functional, role switching operates seamlessly, and order checkout correctly decrements warehouse inventory. The Next.js 15 production build (`npm run build`) compiles cleanly with zero TypeScript errors and zero lint warnings across all 60 pages.</w:t>
      </w:r>
    </w:p>
    <w:p>
      <w:pPr>
        <w:spacing w:before="0" w:after="120" w:line="360" w:lineRule="auto"/>
        <w:jc w:val="left"/>
      </w:pPr>
      <w:r>
        <w:rPr>
          <w:rFonts w:ascii="Times New Roman" w:hAnsi="Times New Roman"/>
          <w:b w:val="0"/>
          <w:i w:val="0"/>
          <w:sz w:val="24"/>
        </w:rPr>
        <w:t>2. Laboratory Chemical Assays: Samples of AgroLoop vermicompost and pyrolyzed biochar produced during pilot batches were tested in accordance with Fertilizer Control Order (FCO) 1985 testing protocols. Table 4.1 summarizes the laboratory findings.</w:t>
      </w:r>
    </w:p>
    <w:p>
      <w:pPr>
        <w:spacing w:before="200" w:after="80" w:line="360" w:lineRule="auto"/>
        <w:jc w:val="left"/>
      </w:pPr>
      <w:r>
        <w:rPr>
          <w:rFonts w:ascii="Times New Roman" w:hAnsi="Times New Roman"/>
          <w:b/>
          <w:i w:val="0"/>
          <w:sz w:val="20"/>
        </w:rPr>
        <w:t>Table 4.1: Chemical &amp; Biological Analysis of Bio-Inputs vs. FCO 1985 Standards</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pPr>
              <w:spacing w:line="264" w:lineRule="auto" w:after="40"/>
            </w:pPr>
            <w:r>
              <w:rPr>
                <w:rFonts w:ascii="Times New Roman" w:hAnsi="Times New Roman"/>
                <w:b/>
                <w:sz w:val="17"/>
              </w:rPr>
              <w:t>Chemical / Physical Parameter</w:t>
            </w:r>
          </w:p>
        </w:tc>
        <w:tc>
          <w:tcPr>
            <w:tcW w:type="dxa" w:w="2077"/>
            <w:shd w:fill="F1F5F9"/>
          </w:tcPr>
          <w:p>
            <w:pPr>
              <w:spacing w:line="264" w:lineRule="auto" w:after="40"/>
            </w:pPr>
            <w:r>
              <w:rPr>
                <w:rFonts w:ascii="Times New Roman" w:hAnsi="Times New Roman"/>
                <w:b/>
                <w:sz w:val="17"/>
              </w:rPr>
              <w:t>FCO 1985 Benchmark Limit</w:t>
            </w:r>
          </w:p>
        </w:tc>
        <w:tc>
          <w:tcPr>
            <w:tcW w:type="dxa" w:w="2077"/>
            <w:shd w:fill="F1F5F9"/>
          </w:tcPr>
          <w:p>
            <w:pPr>
              <w:spacing w:line="264" w:lineRule="auto" w:after="40"/>
            </w:pPr>
            <w:r>
              <w:rPr>
                <w:rFonts w:ascii="Times New Roman" w:hAnsi="Times New Roman"/>
                <w:b/>
                <w:sz w:val="17"/>
              </w:rPr>
              <w:t>AgroLoop Lab Test Result</w:t>
            </w:r>
          </w:p>
        </w:tc>
        <w:tc>
          <w:tcPr>
            <w:tcW w:type="dxa" w:w="2077"/>
            <w:shd w:fill="F1F5F9"/>
          </w:tcPr>
          <w:p>
            <w:pPr>
              <w:spacing w:line="264" w:lineRule="auto" w:after="40"/>
            </w:pPr>
            <w:r>
              <w:rPr>
                <w:rFonts w:ascii="Times New Roman" w:hAnsi="Times New Roman"/>
                <w:b/>
                <w:sz w:val="17"/>
              </w:rPr>
              <w:t>Compliance Status</w:t>
            </w:r>
          </w:p>
        </w:tc>
      </w:tr>
      <w:tr>
        <w:tc>
          <w:tcPr>
            <w:tcW w:type="dxa" w:w="2077"/>
          </w:tcPr>
          <w:p>
            <w:pPr>
              <w:spacing w:line="264" w:lineRule="auto" w:after="40"/>
            </w:pPr>
            <w:r>
              <w:rPr>
                <w:rFonts w:ascii="Times New Roman" w:hAnsi="Times New Roman"/>
                <w:sz w:val="16"/>
              </w:rPr>
              <w:t>Moisture Content (% by weight)</w:t>
            </w:r>
          </w:p>
        </w:tc>
        <w:tc>
          <w:tcPr>
            <w:tcW w:type="dxa" w:w="2077"/>
          </w:tcPr>
          <w:p>
            <w:pPr>
              <w:spacing w:line="264" w:lineRule="auto" w:after="40"/>
            </w:pPr>
            <w:r>
              <w:rPr>
                <w:rFonts w:ascii="Times New Roman" w:hAnsi="Times New Roman"/>
                <w:sz w:val="16"/>
              </w:rPr>
              <w:t>15.0% – 25.0%</w:t>
            </w:r>
          </w:p>
        </w:tc>
        <w:tc>
          <w:tcPr>
            <w:tcW w:type="dxa" w:w="2077"/>
          </w:tcPr>
          <w:p>
            <w:pPr>
              <w:spacing w:line="264" w:lineRule="auto" w:after="40"/>
            </w:pPr>
            <w:r>
              <w:rPr>
                <w:rFonts w:ascii="Times New Roman" w:hAnsi="Times New Roman"/>
                <w:sz w:val="16"/>
              </w:rPr>
              <w:t>18.4%</w:t>
            </w:r>
          </w:p>
        </w:tc>
        <w:tc>
          <w:tcPr>
            <w:tcW w:type="dxa" w:w="2077"/>
          </w:tcPr>
          <w:p>
            <w:pPr>
              <w:spacing w:line="264" w:lineRule="auto" w:after="40"/>
            </w:pPr>
            <w:r>
              <w:rPr>
                <w:rFonts w:ascii="Times New Roman" w:hAnsi="Times New Roman"/>
                <w:b/>
                <w:sz w:val="16"/>
              </w:rPr>
              <w:t>COMPLIANT (Optimal)</w:t>
            </w:r>
          </w:p>
        </w:tc>
      </w:tr>
      <w:tr>
        <w:tc>
          <w:tcPr>
            <w:tcW w:type="dxa" w:w="2077"/>
          </w:tcPr>
          <w:p>
            <w:pPr>
              <w:spacing w:line="264" w:lineRule="auto" w:after="40"/>
            </w:pPr>
            <w:r>
              <w:rPr>
                <w:rFonts w:ascii="Times New Roman" w:hAnsi="Times New Roman"/>
                <w:sz w:val="16"/>
              </w:rPr>
              <w:t>Carbon-to-Nitrogen (C:N) Ratio</w:t>
            </w:r>
          </w:p>
        </w:tc>
        <w:tc>
          <w:tcPr>
            <w:tcW w:type="dxa" w:w="2077"/>
          </w:tcPr>
          <w:p>
            <w:pPr>
              <w:spacing w:line="264" w:lineRule="auto" w:after="40"/>
            </w:pPr>
            <w:r>
              <w:rPr>
                <w:rFonts w:ascii="Times New Roman" w:hAnsi="Times New Roman"/>
                <w:sz w:val="16"/>
              </w:rPr>
              <w:t>&lt; 20 : 1</w:t>
            </w:r>
          </w:p>
        </w:tc>
        <w:tc>
          <w:tcPr>
            <w:tcW w:type="dxa" w:w="2077"/>
          </w:tcPr>
          <w:p>
            <w:pPr>
              <w:spacing w:line="264" w:lineRule="auto" w:after="40"/>
            </w:pPr>
            <w:r>
              <w:rPr>
                <w:rFonts w:ascii="Times New Roman" w:hAnsi="Times New Roman"/>
                <w:sz w:val="16"/>
              </w:rPr>
              <w:t>16.2 : 1</w:t>
            </w:r>
          </w:p>
        </w:tc>
        <w:tc>
          <w:tcPr>
            <w:tcW w:type="dxa" w:w="2077"/>
          </w:tcPr>
          <w:p>
            <w:pPr>
              <w:spacing w:line="264" w:lineRule="auto" w:after="40"/>
            </w:pPr>
            <w:r>
              <w:rPr>
                <w:rFonts w:ascii="Times New Roman" w:hAnsi="Times New Roman"/>
                <w:b/>
                <w:sz w:val="16"/>
              </w:rPr>
              <w:t>COMPLIANT (High Humus)</w:t>
            </w:r>
          </w:p>
        </w:tc>
      </w:tr>
      <w:tr>
        <w:tc>
          <w:tcPr>
            <w:tcW w:type="dxa" w:w="2077"/>
          </w:tcPr>
          <w:p>
            <w:pPr>
              <w:spacing w:line="264" w:lineRule="auto" w:after="40"/>
            </w:pPr>
            <w:r>
              <w:rPr>
                <w:rFonts w:ascii="Times New Roman" w:hAnsi="Times New Roman"/>
                <w:sz w:val="16"/>
              </w:rPr>
              <w:t>Total Nitrogen (as N) %</w:t>
            </w:r>
          </w:p>
        </w:tc>
        <w:tc>
          <w:tcPr>
            <w:tcW w:type="dxa" w:w="2077"/>
          </w:tcPr>
          <w:p>
            <w:pPr>
              <w:spacing w:line="264" w:lineRule="auto" w:after="40"/>
            </w:pPr>
            <w:r>
              <w:rPr>
                <w:rFonts w:ascii="Times New Roman" w:hAnsi="Times New Roman"/>
                <w:sz w:val="16"/>
              </w:rPr>
              <w:t>&gt; 1.0%</w:t>
            </w:r>
          </w:p>
        </w:tc>
        <w:tc>
          <w:tcPr>
            <w:tcW w:type="dxa" w:w="2077"/>
          </w:tcPr>
          <w:p>
            <w:pPr>
              <w:spacing w:line="264" w:lineRule="auto" w:after="40"/>
            </w:pPr>
            <w:r>
              <w:rPr>
                <w:rFonts w:ascii="Times New Roman" w:hAnsi="Times New Roman"/>
                <w:sz w:val="16"/>
              </w:rPr>
              <w:t>1.82%</w:t>
            </w:r>
          </w:p>
        </w:tc>
        <w:tc>
          <w:tcPr>
            <w:tcW w:type="dxa" w:w="2077"/>
          </w:tcPr>
          <w:p>
            <w:pPr>
              <w:spacing w:line="264" w:lineRule="auto" w:after="40"/>
            </w:pPr>
            <w:r>
              <w:rPr>
                <w:rFonts w:ascii="Times New Roman" w:hAnsi="Times New Roman"/>
                <w:b/>
                <w:sz w:val="16"/>
              </w:rPr>
              <w:t>COMPLIANT (+82% Above Standard)</w:t>
            </w:r>
          </w:p>
        </w:tc>
      </w:tr>
      <w:tr>
        <w:tc>
          <w:tcPr>
            <w:tcW w:type="dxa" w:w="2077"/>
          </w:tcPr>
          <w:p>
            <w:pPr>
              <w:spacing w:line="264" w:lineRule="auto" w:after="40"/>
            </w:pPr>
            <w:r>
              <w:rPr>
                <w:rFonts w:ascii="Times New Roman" w:hAnsi="Times New Roman"/>
                <w:sz w:val="16"/>
              </w:rPr>
              <w:t>Total Phosphate (as P2O5) %</w:t>
            </w:r>
          </w:p>
        </w:tc>
        <w:tc>
          <w:tcPr>
            <w:tcW w:type="dxa" w:w="2077"/>
          </w:tcPr>
          <w:p>
            <w:pPr>
              <w:spacing w:line="264" w:lineRule="auto" w:after="40"/>
            </w:pPr>
            <w:r>
              <w:rPr>
                <w:rFonts w:ascii="Times New Roman" w:hAnsi="Times New Roman"/>
                <w:sz w:val="16"/>
              </w:rPr>
              <w:t>&gt; 0.5%</w:t>
            </w:r>
          </w:p>
        </w:tc>
        <w:tc>
          <w:tcPr>
            <w:tcW w:type="dxa" w:w="2077"/>
          </w:tcPr>
          <w:p>
            <w:pPr>
              <w:spacing w:line="264" w:lineRule="auto" w:after="40"/>
            </w:pPr>
            <w:r>
              <w:rPr>
                <w:rFonts w:ascii="Times New Roman" w:hAnsi="Times New Roman"/>
                <w:sz w:val="16"/>
              </w:rPr>
              <w:t>1.24%</w:t>
            </w:r>
          </w:p>
        </w:tc>
        <w:tc>
          <w:tcPr>
            <w:tcW w:type="dxa" w:w="2077"/>
          </w:tcPr>
          <w:p>
            <w:pPr>
              <w:spacing w:line="264" w:lineRule="auto" w:after="40"/>
            </w:pPr>
            <w:r>
              <w:rPr>
                <w:rFonts w:ascii="Times New Roman" w:hAnsi="Times New Roman"/>
                <w:b/>
                <w:sz w:val="16"/>
              </w:rPr>
              <w:t>COMPLIANT (+148% Above Standard)</w:t>
            </w:r>
          </w:p>
        </w:tc>
      </w:tr>
      <w:tr>
        <w:tc>
          <w:tcPr>
            <w:tcW w:type="dxa" w:w="2077"/>
          </w:tcPr>
          <w:p>
            <w:pPr>
              <w:spacing w:line="264" w:lineRule="auto" w:after="40"/>
            </w:pPr>
            <w:r>
              <w:rPr>
                <w:rFonts w:ascii="Times New Roman" w:hAnsi="Times New Roman"/>
                <w:sz w:val="16"/>
              </w:rPr>
              <w:t>Total Potash (as K2O) %</w:t>
            </w:r>
          </w:p>
        </w:tc>
        <w:tc>
          <w:tcPr>
            <w:tcW w:type="dxa" w:w="2077"/>
          </w:tcPr>
          <w:p>
            <w:pPr>
              <w:spacing w:line="264" w:lineRule="auto" w:after="40"/>
            </w:pPr>
            <w:r>
              <w:rPr>
                <w:rFonts w:ascii="Times New Roman" w:hAnsi="Times New Roman"/>
                <w:sz w:val="16"/>
              </w:rPr>
              <w:t>&gt; 0.5%</w:t>
            </w:r>
          </w:p>
        </w:tc>
        <w:tc>
          <w:tcPr>
            <w:tcW w:type="dxa" w:w="2077"/>
          </w:tcPr>
          <w:p>
            <w:pPr>
              <w:spacing w:line="264" w:lineRule="auto" w:after="40"/>
            </w:pPr>
            <w:r>
              <w:rPr>
                <w:rFonts w:ascii="Times New Roman" w:hAnsi="Times New Roman"/>
                <w:sz w:val="16"/>
              </w:rPr>
              <w:t>1.56%</w:t>
            </w:r>
          </w:p>
        </w:tc>
        <w:tc>
          <w:tcPr>
            <w:tcW w:type="dxa" w:w="2077"/>
          </w:tcPr>
          <w:p>
            <w:pPr>
              <w:spacing w:line="264" w:lineRule="auto" w:after="40"/>
            </w:pPr>
            <w:r>
              <w:rPr>
                <w:rFonts w:ascii="Times New Roman" w:hAnsi="Times New Roman"/>
                <w:b/>
                <w:sz w:val="16"/>
              </w:rPr>
              <w:t>COMPLIANT (+212% Above Standard)</w:t>
            </w:r>
          </w:p>
        </w:tc>
      </w:tr>
      <w:tr>
        <w:tc>
          <w:tcPr>
            <w:tcW w:type="dxa" w:w="2077"/>
          </w:tcPr>
          <w:p>
            <w:pPr>
              <w:spacing w:line="264" w:lineRule="auto" w:after="40"/>
            </w:pPr>
            <w:r>
              <w:rPr>
                <w:rFonts w:ascii="Times New Roman" w:hAnsi="Times New Roman"/>
                <w:sz w:val="16"/>
              </w:rPr>
              <w:t>pH Value (1:5 solution)</w:t>
            </w:r>
          </w:p>
        </w:tc>
        <w:tc>
          <w:tcPr>
            <w:tcW w:type="dxa" w:w="2077"/>
          </w:tcPr>
          <w:p>
            <w:pPr>
              <w:spacing w:line="264" w:lineRule="auto" w:after="40"/>
            </w:pPr>
            <w:r>
              <w:rPr>
                <w:rFonts w:ascii="Times New Roman" w:hAnsi="Times New Roman"/>
                <w:sz w:val="16"/>
              </w:rPr>
              <w:t>6.5 – 7.5</w:t>
            </w:r>
          </w:p>
        </w:tc>
        <w:tc>
          <w:tcPr>
            <w:tcW w:type="dxa" w:w="2077"/>
          </w:tcPr>
          <w:p>
            <w:pPr>
              <w:spacing w:line="264" w:lineRule="auto" w:after="40"/>
            </w:pPr>
            <w:r>
              <w:rPr>
                <w:rFonts w:ascii="Times New Roman" w:hAnsi="Times New Roman"/>
                <w:sz w:val="16"/>
              </w:rPr>
              <w:t>7.15</w:t>
            </w:r>
          </w:p>
        </w:tc>
        <w:tc>
          <w:tcPr>
            <w:tcW w:type="dxa" w:w="2077"/>
          </w:tcPr>
          <w:p>
            <w:pPr>
              <w:spacing w:line="264" w:lineRule="auto" w:after="40"/>
            </w:pPr>
            <w:r>
              <w:rPr>
                <w:rFonts w:ascii="Times New Roman" w:hAnsi="Times New Roman"/>
                <w:b/>
                <w:sz w:val="16"/>
              </w:rPr>
              <w:t>COMPLIANT (Neutral Matrix)</w:t>
            </w:r>
          </w:p>
        </w:tc>
      </w:tr>
      <w:tr>
        <w:tc>
          <w:tcPr>
            <w:tcW w:type="dxa" w:w="2077"/>
          </w:tcPr>
          <w:p>
            <w:pPr>
              <w:spacing w:line="264" w:lineRule="auto" w:after="40"/>
            </w:pPr>
            <w:r>
              <w:rPr>
                <w:rFonts w:ascii="Times New Roman" w:hAnsi="Times New Roman"/>
                <w:sz w:val="16"/>
              </w:rPr>
              <w:t>Electrical Conductivity (EC)</w:t>
            </w:r>
          </w:p>
        </w:tc>
        <w:tc>
          <w:tcPr>
            <w:tcW w:type="dxa" w:w="2077"/>
          </w:tcPr>
          <w:p>
            <w:pPr>
              <w:spacing w:line="264" w:lineRule="auto" w:after="40"/>
            </w:pPr>
            <w:r>
              <w:rPr>
                <w:rFonts w:ascii="Times New Roman" w:hAnsi="Times New Roman"/>
                <w:sz w:val="16"/>
              </w:rPr>
              <w:t>&lt; 4.0 dS/m</w:t>
            </w:r>
          </w:p>
        </w:tc>
        <w:tc>
          <w:tcPr>
            <w:tcW w:type="dxa" w:w="2077"/>
          </w:tcPr>
          <w:p>
            <w:pPr>
              <w:spacing w:line="264" w:lineRule="auto" w:after="40"/>
            </w:pPr>
            <w:r>
              <w:rPr>
                <w:rFonts w:ascii="Times New Roman" w:hAnsi="Times New Roman"/>
                <w:sz w:val="16"/>
              </w:rPr>
              <w:t>2.10 dS/m</w:t>
            </w:r>
          </w:p>
        </w:tc>
        <w:tc>
          <w:tcPr>
            <w:tcW w:type="dxa" w:w="2077"/>
          </w:tcPr>
          <w:p>
            <w:pPr>
              <w:spacing w:line="264" w:lineRule="auto" w:after="40"/>
            </w:pPr>
            <w:r>
              <w:rPr>
                <w:rFonts w:ascii="Times New Roman" w:hAnsi="Times New Roman"/>
                <w:b/>
                <w:sz w:val="16"/>
              </w:rPr>
              <w:t>COMPLIANT (Safe for Root Zone)</w:t>
            </w:r>
          </w:p>
        </w:tc>
      </w:tr>
      <w:tr>
        <w:tc>
          <w:tcPr>
            <w:tcW w:type="dxa" w:w="2077"/>
          </w:tcPr>
          <w:p>
            <w:pPr>
              <w:spacing w:line="264" w:lineRule="auto" w:after="40"/>
            </w:pPr>
            <w:r>
              <w:rPr>
                <w:rFonts w:ascii="Times New Roman" w:hAnsi="Times New Roman"/>
                <w:sz w:val="16"/>
              </w:rPr>
              <w:t>Lead (as Pb) mg/kg</w:t>
            </w:r>
          </w:p>
        </w:tc>
        <w:tc>
          <w:tcPr>
            <w:tcW w:type="dxa" w:w="2077"/>
          </w:tcPr>
          <w:p>
            <w:pPr>
              <w:spacing w:line="264" w:lineRule="auto" w:after="40"/>
            </w:pPr>
            <w:r>
              <w:rPr>
                <w:rFonts w:ascii="Times New Roman" w:hAnsi="Times New Roman"/>
                <w:sz w:val="16"/>
              </w:rPr>
              <w:t>&lt; 100.0 mg/kg</w:t>
            </w:r>
          </w:p>
        </w:tc>
        <w:tc>
          <w:tcPr>
            <w:tcW w:type="dxa" w:w="2077"/>
          </w:tcPr>
          <w:p>
            <w:pPr>
              <w:spacing w:line="264" w:lineRule="auto" w:after="40"/>
            </w:pPr>
            <w:r>
              <w:rPr>
                <w:rFonts w:ascii="Times New Roman" w:hAnsi="Times New Roman"/>
                <w:sz w:val="16"/>
              </w:rPr>
              <w:t>4.2 mg/kg</w:t>
            </w:r>
          </w:p>
        </w:tc>
        <w:tc>
          <w:tcPr>
            <w:tcW w:type="dxa" w:w="2077"/>
          </w:tcPr>
          <w:p>
            <w:pPr>
              <w:spacing w:line="264" w:lineRule="auto" w:after="40"/>
            </w:pPr>
            <w:r>
              <w:rPr>
                <w:rFonts w:ascii="Times New Roman" w:hAnsi="Times New Roman"/>
                <w:b/>
                <w:sz w:val="16"/>
              </w:rPr>
              <w:t>COMPLIANT (95% Below Ceiling)</w:t>
            </w:r>
          </w:p>
        </w:tc>
      </w:tr>
      <w:tr>
        <w:tc>
          <w:tcPr>
            <w:tcW w:type="dxa" w:w="2077"/>
          </w:tcPr>
          <w:p>
            <w:pPr>
              <w:spacing w:line="264" w:lineRule="auto" w:after="40"/>
            </w:pPr>
            <w:r>
              <w:rPr>
                <w:rFonts w:ascii="Times New Roman" w:hAnsi="Times New Roman"/>
                <w:sz w:val="16"/>
              </w:rPr>
              <w:t>Cadmium (as Cd) mg/kg</w:t>
            </w:r>
          </w:p>
        </w:tc>
        <w:tc>
          <w:tcPr>
            <w:tcW w:type="dxa" w:w="2077"/>
          </w:tcPr>
          <w:p>
            <w:pPr>
              <w:spacing w:line="264" w:lineRule="auto" w:after="40"/>
            </w:pPr>
            <w:r>
              <w:rPr>
                <w:rFonts w:ascii="Times New Roman" w:hAnsi="Times New Roman"/>
                <w:sz w:val="16"/>
              </w:rPr>
              <w:t>&lt; 5.0 mg/kg</w:t>
            </w:r>
          </w:p>
        </w:tc>
        <w:tc>
          <w:tcPr>
            <w:tcW w:type="dxa" w:w="2077"/>
          </w:tcPr>
          <w:p>
            <w:pPr>
              <w:spacing w:line="264" w:lineRule="auto" w:after="40"/>
            </w:pPr>
            <w:r>
              <w:rPr>
                <w:rFonts w:ascii="Times New Roman" w:hAnsi="Times New Roman"/>
                <w:sz w:val="16"/>
              </w:rPr>
              <w:t>Not Detected (&lt;0.1 mg/kg)</w:t>
            </w:r>
          </w:p>
        </w:tc>
        <w:tc>
          <w:tcPr>
            <w:tcW w:type="dxa" w:w="2077"/>
          </w:tcPr>
          <w:p>
            <w:pPr>
              <w:spacing w:line="264" w:lineRule="auto" w:after="40"/>
            </w:pPr>
            <w:r>
              <w:rPr>
                <w:rFonts w:ascii="Times New Roman" w:hAnsi="Times New Roman"/>
                <w:b/>
                <w:sz w:val="16"/>
              </w:rPr>
              <w:t>COMPLIANT (Ultra-Pure)</w:t>
            </w:r>
          </w:p>
        </w:tc>
      </w:tr>
    </w:tbl>
    <w:p>
      <w:pPr>
        <w:spacing w:before="0" w:after="120" w:line="360" w:lineRule="auto"/>
        <w:jc w:val="left"/>
      </w:pPr>
      <w:r>
        <w:rPr>
          <w:rFonts w:ascii="Times New Roman" w:hAnsi="Times New Roman"/>
          <w:b w:val="0"/>
          <w:i w:val="0"/>
          <w:sz w:val="24"/>
        </w:rPr>
        <w:t>3. Agricultural Field Trials: In collaboration with 12 smallholder farmers in Manor and Palghar cultivating okra (Lady's Finger) and brinjal (Eggplant), 0.5-acre side-by-side trial plots were established. Control plots received 100% synthetic chemical fertilizer (Urea + DAP); test plots received 50% AgroLoop bio-enriched vermicompost + 550°C biochar and 50% reduced chemical inputs. Results after 60 days demonstrated a 28% increase in soil moisture retention (reducing irrigation frequency from every 3 days to every 5 days), a 35% net reduction in fertilizer expenditure, and an average 18.2% increase in harvested fruit yield.</w:t>
      </w:r>
    </w:p>
    <w:p>
      <w:pPr>
        <w:keepNext/>
        <w:spacing w:before="280" w:after="120"/>
        <w:jc w:val="left"/>
      </w:pPr>
      <w:r>
        <w:rPr>
          <w:rFonts w:ascii="Times New Roman" w:hAnsi="Times New Roman"/>
          <w:b/>
          <w:color w:val="047857"/>
          <w:sz w:val="28"/>
        </w:rPr>
        <w:t>4.3 Results and Unit Economic Analysis</w:t>
      </w:r>
    </w:p>
    <w:p>
      <w:pPr>
        <w:spacing w:before="0" w:after="120" w:line="360" w:lineRule="auto"/>
        <w:jc w:val="left"/>
      </w:pPr>
      <w:r>
        <w:rPr>
          <w:rFonts w:ascii="Times New Roman" w:hAnsi="Times New Roman"/>
          <w:b w:val="0"/>
          <w:i w:val="0"/>
          <w:sz w:val="24"/>
        </w:rPr>
        <w:t>A rigorous bottom-up cost and revenue model was constructed for the Mahape pilot hub. Table 4.2 presents the per-kilogram unit economics.</w:t>
      </w:r>
    </w:p>
    <w:p>
      <w:pPr>
        <w:spacing w:before="200" w:after="80" w:line="360" w:lineRule="auto"/>
        <w:jc w:val="left"/>
      </w:pPr>
      <w:r>
        <w:rPr>
          <w:rFonts w:ascii="Times New Roman" w:hAnsi="Times New Roman"/>
          <w:b/>
          <w:i w:val="0"/>
          <w:sz w:val="20"/>
        </w:rPr>
        <w:t>Table 4.2: Per-Kilogram Unit Economics and Contribution Margin Breakdown</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pPr>
              <w:spacing w:line="264" w:lineRule="auto" w:after="40"/>
            </w:pPr>
            <w:r>
              <w:rPr>
                <w:rFonts w:ascii="Times New Roman" w:hAnsi="Times New Roman"/>
                <w:b/>
                <w:sz w:val="17"/>
              </w:rPr>
              <w:t>Cost / Revenue Component</w:t>
            </w:r>
          </w:p>
        </w:tc>
        <w:tc>
          <w:tcPr>
            <w:tcW w:type="dxa" w:w="2077"/>
            <w:shd w:fill="F1F5F9"/>
          </w:tcPr>
          <w:p>
            <w:pPr>
              <w:spacing w:line="264" w:lineRule="auto" w:after="40"/>
            </w:pPr>
            <w:r>
              <w:rPr>
                <w:rFonts w:ascii="Times New Roman" w:hAnsi="Times New Roman"/>
                <w:b/>
                <w:sz w:val="17"/>
              </w:rPr>
              <w:t>Amount per Kilogram (INR)</w:t>
            </w:r>
          </w:p>
        </w:tc>
        <w:tc>
          <w:tcPr>
            <w:tcW w:type="dxa" w:w="2077"/>
            <w:shd w:fill="F1F5F9"/>
          </w:tcPr>
          <w:p>
            <w:pPr>
              <w:spacing w:line="264" w:lineRule="auto" w:after="40"/>
            </w:pPr>
            <w:r>
              <w:rPr>
                <w:rFonts w:ascii="Times New Roman" w:hAnsi="Times New Roman"/>
                <w:b/>
                <w:sz w:val="17"/>
              </w:rPr>
              <w:t>% of Total Realization</w:t>
            </w:r>
          </w:p>
        </w:tc>
        <w:tc>
          <w:tcPr>
            <w:tcW w:type="dxa" w:w="2077"/>
            <w:shd w:fill="F1F5F9"/>
          </w:tcPr>
          <w:p>
            <w:pPr>
              <w:spacing w:line="264" w:lineRule="auto" w:after="40"/>
            </w:pPr>
            <w:r>
              <w:rPr>
                <w:rFonts w:ascii="Times New Roman" w:hAnsi="Times New Roman"/>
                <w:b/>
                <w:sz w:val="17"/>
              </w:rPr>
              <w:t>Operational Details</w:t>
            </w:r>
          </w:p>
        </w:tc>
      </w:tr>
      <w:tr>
        <w:tc>
          <w:tcPr>
            <w:tcW w:type="dxa" w:w="2077"/>
          </w:tcPr>
          <w:p>
            <w:pPr>
              <w:spacing w:line="264" w:lineRule="auto" w:after="40"/>
            </w:pPr>
            <w:r>
              <w:rPr>
                <w:rFonts w:ascii="Times New Roman" w:hAnsi="Times New Roman"/>
                <w:sz w:val="16"/>
              </w:rPr>
              <w:t>EV Doorstep Collection Logistics</w:t>
            </w:r>
          </w:p>
        </w:tc>
        <w:tc>
          <w:tcPr>
            <w:tcW w:type="dxa" w:w="2077"/>
          </w:tcPr>
          <w:p>
            <w:pPr>
              <w:spacing w:line="264" w:lineRule="auto" w:after="40"/>
            </w:pPr>
            <w:r>
              <w:rPr>
                <w:rFonts w:ascii="Times New Roman" w:hAnsi="Times New Roman"/>
                <w:sz w:val="16"/>
              </w:rPr>
              <w:t>₹ 2.80 / kg</w:t>
            </w:r>
          </w:p>
        </w:tc>
        <w:tc>
          <w:tcPr>
            <w:tcW w:type="dxa" w:w="2077"/>
          </w:tcPr>
          <w:p>
            <w:pPr>
              <w:spacing w:line="264" w:lineRule="auto" w:after="40"/>
            </w:pPr>
            <w:r>
              <w:rPr>
                <w:rFonts w:ascii="Times New Roman" w:hAnsi="Times New Roman"/>
                <w:sz w:val="16"/>
              </w:rPr>
              <w:t>19.3%</w:t>
            </w:r>
          </w:p>
        </w:tc>
        <w:tc>
          <w:tcPr>
            <w:tcW w:type="dxa" w:w="2077"/>
          </w:tcPr>
          <w:p>
            <w:pPr>
              <w:spacing w:line="264" w:lineRule="auto" w:after="40"/>
            </w:pPr>
            <w:r>
              <w:rPr>
                <w:rFonts w:ascii="Times New Roman" w:hAnsi="Times New Roman"/>
                <w:sz w:val="16"/>
              </w:rPr>
              <w:t>Euler EV charging @ ₹0.40/km, driver wage, battery maintenance.</w:t>
            </w:r>
          </w:p>
        </w:tc>
      </w:tr>
      <w:tr>
        <w:tc>
          <w:tcPr>
            <w:tcW w:type="dxa" w:w="2077"/>
          </w:tcPr>
          <w:p>
            <w:pPr>
              <w:spacing w:line="264" w:lineRule="auto" w:after="40"/>
            </w:pPr>
            <w:r>
              <w:rPr>
                <w:rFonts w:ascii="Times New Roman" w:hAnsi="Times New Roman"/>
                <w:sz w:val="16"/>
              </w:rPr>
              <w:t>Microbial Inoculants &amp; Fermentation</w:t>
            </w:r>
          </w:p>
        </w:tc>
        <w:tc>
          <w:tcPr>
            <w:tcW w:type="dxa" w:w="2077"/>
          </w:tcPr>
          <w:p>
            <w:pPr>
              <w:spacing w:line="264" w:lineRule="auto" w:after="40"/>
            </w:pPr>
            <w:r>
              <w:rPr>
                <w:rFonts w:ascii="Times New Roman" w:hAnsi="Times New Roman"/>
                <w:sz w:val="16"/>
              </w:rPr>
              <w:t>₹ 2.10 / kg</w:t>
            </w:r>
          </w:p>
        </w:tc>
        <w:tc>
          <w:tcPr>
            <w:tcW w:type="dxa" w:w="2077"/>
          </w:tcPr>
          <w:p>
            <w:pPr>
              <w:spacing w:line="264" w:lineRule="auto" w:after="40"/>
            </w:pPr>
            <w:r>
              <w:rPr>
                <w:rFonts w:ascii="Times New Roman" w:hAnsi="Times New Roman"/>
                <w:sz w:val="16"/>
              </w:rPr>
              <w:t>14.5%</w:t>
            </w:r>
          </w:p>
        </w:tc>
        <w:tc>
          <w:tcPr>
            <w:tcW w:type="dxa" w:w="2077"/>
          </w:tcPr>
          <w:p>
            <w:pPr>
              <w:spacing w:line="264" w:lineRule="auto" w:after="40"/>
            </w:pPr>
            <w:r>
              <w:rPr>
                <w:rFonts w:ascii="Times New Roman" w:hAnsi="Times New Roman"/>
                <w:sz w:val="16"/>
              </w:rPr>
              <w:t>Bokashi EM1 starter bran, Eisenia fetida worms, biomass.</w:t>
            </w:r>
          </w:p>
        </w:tc>
      </w:tr>
      <w:tr>
        <w:tc>
          <w:tcPr>
            <w:tcW w:type="dxa" w:w="2077"/>
          </w:tcPr>
          <w:p>
            <w:pPr>
              <w:spacing w:line="264" w:lineRule="auto" w:after="40"/>
            </w:pPr>
            <w:r>
              <w:rPr>
                <w:rFonts w:ascii="Times New Roman" w:hAnsi="Times New Roman"/>
                <w:sz w:val="16"/>
              </w:rPr>
              <w:t>Facility Overhead &amp; Labor</w:t>
            </w:r>
          </w:p>
        </w:tc>
        <w:tc>
          <w:tcPr>
            <w:tcW w:type="dxa" w:w="2077"/>
          </w:tcPr>
          <w:p>
            <w:pPr>
              <w:spacing w:line="264" w:lineRule="auto" w:after="40"/>
            </w:pPr>
            <w:r>
              <w:rPr>
                <w:rFonts w:ascii="Times New Roman" w:hAnsi="Times New Roman"/>
                <w:sz w:val="16"/>
              </w:rPr>
              <w:t>₹ 1.40 / kg</w:t>
            </w:r>
          </w:p>
        </w:tc>
        <w:tc>
          <w:tcPr>
            <w:tcW w:type="dxa" w:w="2077"/>
          </w:tcPr>
          <w:p>
            <w:pPr>
              <w:spacing w:line="264" w:lineRule="auto" w:after="40"/>
            </w:pPr>
            <w:r>
              <w:rPr>
                <w:rFonts w:ascii="Times New Roman" w:hAnsi="Times New Roman"/>
                <w:sz w:val="16"/>
              </w:rPr>
              <w:t>9.7%</w:t>
            </w:r>
          </w:p>
        </w:tc>
        <w:tc>
          <w:tcPr>
            <w:tcW w:type="dxa" w:w="2077"/>
          </w:tcPr>
          <w:p>
            <w:pPr>
              <w:spacing w:line="264" w:lineRule="auto" w:after="40"/>
            </w:pPr>
            <w:r>
              <w:rPr>
                <w:rFonts w:ascii="Times New Roman" w:hAnsi="Times New Roman"/>
                <w:sz w:val="16"/>
              </w:rPr>
              <w:t>5,000 sq. ft. Mahape hub lease, utility power, 4 hub technicians.</w:t>
            </w:r>
          </w:p>
        </w:tc>
      </w:tr>
      <w:tr>
        <w:tc>
          <w:tcPr>
            <w:tcW w:type="dxa" w:w="2077"/>
          </w:tcPr>
          <w:p>
            <w:pPr>
              <w:spacing w:line="264" w:lineRule="auto" w:after="40"/>
            </w:pPr>
            <w:r>
              <w:rPr>
                <w:rFonts w:ascii="Times New Roman" w:hAnsi="Times New Roman"/>
                <w:sz w:val="16"/>
              </w:rPr>
              <w:t>Eco-Friendly Bagging &amp; Packaging</w:t>
            </w:r>
          </w:p>
        </w:tc>
        <w:tc>
          <w:tcPr>
            <w:tcW w:type="dxa" w:w="2077"/>
          </w:tcPr>
          <w:p>
            <w:pPr>
              <w:spacing w:line="264" w:lineRule="auto" w:after="40"/>
            </w:pPr>
            <w:r>
              <w:rPr>
                <w:rFonts w:ascii="Times New Roman" w:hAnsi="Times New Roman"/>
                <w:sz w:val="16"/>
              </w:rPr>
              <w:t>₹ 0.90 / kg</w:t>
            </w:r>
          </w:p>
        </w:tc>
        <w:tc>
          <w:tcPr>
            <w:tcW w:type="dxa" w:w="2077"/>
          </w:tcPr>
          <w:p>
            <w:pPr>
              <w:spacing w:line="264" w:lineRule="auto" w:after="40"/>
            </w:pPr>
            <w:r>
              <w:rPr>
                <w:rFonts w:ascii="Times New Roman" w:hAnsi="Times New Roman"/>
                <w:sz w:val="16"/>
              </w:rPr>
              <w:t>6.2%</w:t>
            </w:r>
          </w:p>
        </w:tc>
        <w:tc>
          <w:tcPr>
            <w:tcW w:type="dxa" w:w="2077"/>
          </w:tcPr>
          <w:p>
            <w:pPr>
              <w:spacing w:line="264" w:lineRule="auto" w:after="40"/>
            </w:pPr>
            <w:r>
              <w:rPr>
                <w:rFonts w:ascii="Times New Roman" w:hAnsi="Times New Roman"/>
                <w:sz w:val="16"/>
              </w:rPr>
              <w:t>50 kg woven HDPE bags and 5 L recyclable carboys.</w:t>
            </w:r>
          </w:p>
        </w:tc>
      </w:tr>
      <w:tr>
        <w:tc>
          <w:tcPr>
            <w:tcW w:type="dxa" w:w="2077"/>
          </w:tcPr>
          <w:p>
            <w:pPr>
              <w:spacing w:line="264" w:lineRule="auto" w:after="40"/>
            </w:pPr>
            <w:r>
              <w:rPr>
                <w:rFonts w:ascii="Times New Roman" w:hAnsi="Times New Roman"/>
                <w:sz w:val="16"/>
              </w:rPr>
              <w:t>FPO Cluster Delivery Logistics</w:t>
            </w:r>
          </w:p>
        </w:tc>
        <w:tc>
          <w:tcPr>
            <w:tcW w:type="dxa" w:w="2077"/>
          </w:tcPr>
          <w:p>
            <w:pPr>
              <w:spacing w:line="264" w:lineRule="auto" w:after="40"/>
            </w:pPr>
            <w:r>
              <w:rPr>
                <w:rFonts w:ascii="Times New Roman" w:hAnsi="Times New Roman"/>
                <w:sz w:val="16"/>
              </w:rPr>
              <w:t>₹ 1.20 / kg</w:t>
            </w:r>
          </w:p>
        </w:tc>
        <w:tc>
          <w:tcPr>
            <w:tcW w:type="dxa" w:w="2077"/>
          </w:tcPr>
          <w:p>
            <w:pPr>
              <w:spacing w:line="264" w:lineRule="auto" w:after="40"/>
            </w:pPr>
            <w:r>
              <w:rPr>
                <w:rFonts w:ascii="Times New Roman" w:hAnsi="Times New Roman"/>
                <w:sz w:val="16"/>
              </w:rPr>
              <w:t>8.3%</w:t>
            </w:r>
          </w:p>
        </w:tc>
        <w:tc>
          <w:tcPr>
            <w:tcW w:type="dxa" w:w="2077"/>
          </w:tcPr>
          <w:p>
            <w:pPr>
              <w:spacing w:line="264" w:lineRule="auto" w:after="40"/>
            </w:pPr>
            <w:r>
              <w:rPr>
                <w:rFonts w:ascii="Times New Roman" w:hAnsi="Times New Roman"/>
                <w:sz w:val="16"/>
              </w:rPr>
              <w:t>Bulk tempo transport to Palghar/Shahapur village centers.</w:t>
            </w:r>
          </w:p>
        </w:tc>
      </w:tr>
      <w:tr>
        <w:tc>
          <w:tcPr>
            <w:tcW w:type="dxa" w:w="2077"/>
            <w:shd w:fill="F0FDF4"/>
          </w:tcPr>
          <w:p>
            <w:pPr>
              <w:spacing w:line="264" w:lineRule="auto" w:after="40"/>
            </w:pPr>
            <w:r>
              <w:rPr>
                <w:rFonts w:ascii="Times New Roman" w:hAnsi="Times New Roman"/>
                <w:b/>
                <w:sz w:val="16"/>
              </w:rPr>
              <w:t>Cloud, Database &amp; AI API</w:t>
            </w:r>
          </w:p>
        </w:tc>
        <w:tc>
          <w:tcPr>
            <w:tcW w:type="dxa" w:w="2077"/>
            <w:shd w:fill="F0FDF4"/>
          </w:tcPr>
          <w:p>
            <w:pPr>
              <w:spacing w:line="264" w:lineRule="auto" w:after="40"/>
            </w:pPr>
            <w:r>
              <w:rPr>
                <w:rFonts w:ascii="Times New Roman" w:hAnsi="Times New Roman"/>
                <w:b/>
                <w:sz w:val="16"/>
              </w:rPr>
              <w:t>₹ 0.30 / kg</w:t>
            </w:r>
          </w:p>
        </w:tc>
        <w:tc>
          <w:tcPr>
            <w:tcW w:type="dxa" w:w="2077"/>
            <w:shd w:fill="F0FDF4"/>
          </w:tcPr>
          <w:p>
            <w:pPr>
              <w:spacing w:line="264" w:lineRule="auto" w:after="40"/>
            </w:pPr>
            <w:r>
              <w:rPr>
                <w:rFonts w:ascii="Times New Roman" w:hAnsi="Times New Roman"/>
                <w:b/>
                <w:sz w:val="16"/>
              </w:rPr>
              <w:t>2.0%</w:t>
            </w:r>
          </w:p>
        </w:tc>
        <w:tc>
          <w:tcPr>
            <w:tcW w:type="dxa" w:w="2077"/>
            <w:shd w:fill="F0FDF4"/>
          </w:tcPr>
          <w:p>
            <w:pPr>
              <w:spacing w:line="264" w:lineRule="auto" w:after="40"/>
            </w:pPr>
            <w:r>
              <w:rPr>
                <w:rFonts w:ascii="Times New Roman" w:hAnsi="Times New Roman"/>
                <w:b/>
                <w:sz w:val="16"/>
              </w:rPr>
              <w:t>Vercel serverless, Supabase PostgreSQL, Gemini API tokens.</w:t>
            </w:r>
          </w:p>
        </w:tc>
      </w:tr>
      <w:tr>
        <w:tc>
          <w:tcPr>
            <w:tcW w:type="dxa" w:w="2077"/>
            <w:shd w:fill="F0FDF4"/>
          </w:tcPr>
          <w:p>
            <w:pPr>
              <w:spacing w:line="264" w:lineRule="auto" w:after="40"/>
            </w:pPr>
            <w:r>
              <w:rPr>
                <w:rFonts w:ascii="Times New Roman" w:hAnsi="Times New Roman"/>
                <w:b/>
                <w:sz w:val="16"/>
              </w:rPr>
              <w:t>TOTAL OPERATING COST PER KG</w:t>
            </w:r>
          </w:p>
        </w:tc>
        <w:tc>
          <w:tcPr>
            <w:tcW w:type="dxa" w:w="2077"/>
            <w:shd w:fill="F0FDF4"/>
          </w:tcPr>
          <w:p>
            <w:pPr>
              <w:spacing w:line="264" w:lineRule="auto" w:after="40"/>
            </w:pPr>
            <w:r>
              <w:rPr>
                <w:rFonts w:ascii="Times New Roman" w:hAnsi="Times New Roman"/>
                <w:b/>
                <w:sz w:val="16"/>
              </w:rPr>
              <w:t>₹ 8.70 / kg</w:t>
            </w:r>
          </w:p>
        </w:tc>
        <w:tc>
          <w:tcPr>
            <w:tcW w:type="dxa" w:w="2077"/>
            <w:shd w:fill="F0FDF4"/>
          </w:tcPr>
          <w:p>
            <w:pPr>
              <w:spacing w:line="264" w:lineRule="auto" w:after="40"/>
            </w:pPr>
            <w:r>
              <w:rPr>
                <w:rFonts w:ascii="Times New Roman" w:hAnsi="Times New Roman"/>
                <w:b/>
                <w:sz w:val="16"/>
              </w:rPr>
              <w:t>60.0%</w:t>
            </w:r>
          </w:p>
        </w:tc>
        <w:tc>
          <w:tcPr>
            <w:tcW w:type="dxa" w:w="2077"/>
            <w:shd w:fill="F0FDF4"/>
          </w:tcPr>
          <w:p>
            <w:pPr>
              <w:spacing w:line="264" w:lineRule="auto" w:after="40"/>
            </w:pPr>
            <w:r>
              <w:rPr>
                <w:rFonts w:ascii="Times New Roman" w:hAnsi="Times New Roman"/>
                <w:b/>
                <w:sz w:val="16"/>
              </w:rPr>
              <w:t>All-inclusive fully loaded operating expense.</w:t>
            </w:r>
          </w:p>
        </w:tc>
      </w:tr>
      <w:tr>
        <w:tc>
          <w:tcPr>
            <w:tcW w:type="dxa" w:w="2077"/>
            <w:shd w:fill="FEF3C7"/>
          </w:tcPr>
          <w:p>
            <w:pPr>
              <w:spacing w:line="264" w:lineRule="auto" w:after="40"/>
            </w:pPr>
            <w:r>
              <w:rPr>
                <w:rFonts w:ascii="Times New Roman" w:hAnsi="Times New Roman"/>
                <w:b/>
                <w:sz w:val="16"/>
              </w:rPr>
              <w:t>BLENDED SELLING REALIZATION</w:t>
            </w:r>
          </w:p>
        </w:tc>
        <w:tc>
          <w:tcPr>
            <w:tcW w:type="dxa" w:w="2077"/>
            <w:shd w:fill="FEF3C7"/>
          </w:tcPr>
          <w:p>
            <w:pPr>
              <w:spacing w:line="264" w:lineRule="auto" w:after="40"/>
            </w:pPr>
            <w:r>
              <w:rPr>
                <w:rFonts w:ascii="Times New Roman" w:hAnsi="Times New Roman"/>
                <w:b/>
                <w:sz w:val="16"/>
              </w:rPr>
              <w:t>₹ 14.50 / kg</w:t>
            </w:r>
          </w:p>
        </w:tc>
        <w:tc>
          <w:tcPr>
            <w:tcW w:type="dxa" w:w="2077"/>
            <w:shd w:fill="FEF3C7"/>
          </w:tcPr>
          <w:p>
            <w:pPr>
              <w:spacing w:line="264" w:lineRule="auto" w:after="40"/>
            </w:pPr>
            <w:r>
              <w:rPr>
                <w:rFonts w:ascii="Times New Roman" w:hAnsi="Times New Roman"/>
                <w:b/>
                <w:sz w:val="16"/>
              </w:rPr>
              <w:t>100.0%</w:t>
            </w:r>
          </w:p>
        </w:tc>
        <w:tc>
          <w:tcPr>
            <w:tcW w:type="dxa" w:w="2077"/>
            <w:shd w:fill="FEF3C7"/>
          </w:tcPr>
          <w:p>
            <w:pPr>
              <w:spacing w:line="264" w:lineRule="auto" w:after="40"/>
            </w:pPr>
            <w:r>
              <w:rPr>
                <w:rFonts w:ascii="Times New Roman" w:hAnsi="Times New Roman"/>
                <w:b/>
                <w:sz w:val="16"/>
              </w:rPr>
              <w:t>Vermi @ ₹10, Biochar @ ₹24, Liquid @ ₹45/L, Bokashi @ ₹60.</w:t>
            </w:r>
          </w:p>
        </w:tc>
      </w:tr>
      <w:tr>
        <w:tc>
          <w:tcPr>
            <w:tcW w:type="dxa" w:w="2077"/>
            <w:shd w:fill="F0FDF4"/>
          </w:tcPr>
          <w:p>
            <w:pPr>
              <w:spacing w:line="264" w:lineRule="auto" w:after="40"/>
            </w:pPr>
            <w:r>
              <w:rPr>
                <w:rFonts w:ascii="Times New Roman" w:hAnsi="Times New Roman"/>
                <w:b/>
                <w:sz w:val="16"/>
              </w:rPr>
              <w:t>NET CONTRIBUTION MARGIN PER KG</w:t>
            </w:r>
          </w:p>
        </w:tc>
        <w:tc>
          <w:tcPr>
            <w:tcW w:type="dxa" w:w="2077"/>
            <w:shd w:fill="F0FDF4"/>
          </w:tcPr>
          <w:p>
            <w:pPr>
              <w:spacing w:line="264" w:lineRule="auto" w:after="40"/>
            </w:pPr>
            <w:r>
              <w:rPr>
                <w:rFonts w:ascii="Times New Roman" w:hAnsi="Times New Roman"/>
                <w:b/>
                <w:sz w:val="16"/>
              </w:rPr>
              <w:t>₹ 5.80 / kg</w:t>
            </w:r>
          </w:p>
        </w:tc>
        <w:tc>
          <w:tcPr>
            <w:tcW w:type="dxa" w:w="2077"/>
            <w:shd w:fill="F0FDF4"/>
          </w:tcPr>
          <w:p>
            <w:pPr>
              <w:spacing w:line="264" w:lineRule="auto" w:after="40"/>
            </w:pPr>
            <w:r>
              <w:rPr>
                <w:rFonts w:ascii="Times New Roman" w:hAnsi="Times New Roman"/>
                <w:b/>
                <w:sz w:val="16"/>
              </w:rPr>
              <w:t>40.0%</w:t>
            </w:r>
          </w:p>
        </w:tc>
        <w:tc>
          <w:tcPr>
            <w:tcW w:type="dxa" w:w="2077"/>
            <w:shd w:fill="F0FDF4"/>
          </w:tcPr>
          <w:p>
            <w:pPr>
              <w:spacing w:line="264" w:lineRule="auto" w:after="40"/>
            </w:pPr>
            <w:r>
              <w:rPr>
                <w:rFonts w:ascii="Times New Roman" w:hAnsi="Times New Roman"/>
                <w:b/>
                <w:sz w:val="16"/>
              </w:rPr>
              <w:t>Net operating margin per kg of bio-product sold.</w:t>
            </w:r>
          </w:p>
        </w:tc>
      </w:tr>
      <w:tr>
        <w:tc>
          <w:tcPr>
            <w:tcW w:type="dxa" w:w="2077"/>
          </w:tcPr>
          <w:p>
            <w:pPr>
              <w:spacing w:line="264" w:lineRule="auto" w:after="40"/>
            </w:pPr>
            <w:r>
              <w:rPr>
                <w:rFonts w:ascii="Times New Roman" w:hAnsi="Times New Roman"/>
                <w:sz w:val="16"/>
              </w:rPr>
              <w:t>GROSS PROCESSING MARGIN</w:t>
            </w:r>
          </w:p>
        </w:tc>
        <w:tc>
          <w:tcPr>
            <w:tcW w:type="dxa" w:w="2077"/>
          </w:tcPr>
          <w:p>
            <w:pPr>
              <w:spacing w:line="264" w:lineRule="auto" w:after="40"/>
            </w:pPr>
            <w:r>
              <w:rPr>
                <w:rFonts w:ascii="Times New Roman" w:hAnsi="Times New Roman"/>
                <w:sz w:val="16"/>
              </w:rPr>
              <w:t>₹ 8.20 / kg</w:t>
            </w:r>
          </w:p>
        </w:tc>
        <w:tc>
          <w:tcPr>
            <w:tcW w:type="dxa" w:w="2077"/>
          </w:tcPr>
          <w:p>
            <w:pPr>
              <w:spacing w:line="264" w:lineRule="auto" w:after="40"/>
            </w:pPr>
            <w:r>
              <w:rPr>
                <w:rFonts w:ascii="Times New Roman" w:hAnsi="Times New Roman"/>
                <w:sz w:val="16"/>
              </w:rPr>
              <w:t>56.5%</w:t>
            </w:r>
          </w:p>
        </w:tc>
        <w:tc>
          <w:tcPr>
            <w:tcW w:type="dxa" w:w="2077"/>
          </w:tcPr>
          <w:p>
            <w:pPr>
              <w:spacing w:line="264" w:lineRule="auto" w:after="40"/>
            </w:pPr>
            <w:r>
              <w:rPr>
                <w:rFonts w:ascii="Times New Roman" w:hAnsi="Times New Roman"/>
                <w:sz w:val="16"/>
              </w:rPr>
              <w:t>Gross margin before regional farm cluster distribution.</w:t>
            </w:r>
          </w:p>
        </w:tc>
      </w:tr>
    </w:tbl>
    <w:p>
      <w:pPr>
        <w:spacing w:before="0" w:after="120" w:line="360" w:lineRule="auto"/>
        <w:jc w:val="left"/>
      </w:pPr>
      <w:r>
        <w:rPr>
          <w:rFonts w:ascii="Times New Roman" w:hAnsi="Times New Roman"/>
          <w:b w:val="0"/>
          <w:i w:val="0"/>
          <w:sz w:val="24"/>
        </w:rPr>
        <w:t>Commercial scaling projections across 36 months indicate operational breakeven at Month 14, generating +₹14.0 Lakhs EBITDA in Year 1, +₹73.0 Lakhs in Year 2 across two hubs, and +₹2.25 Crores in Year 3 across five regional hubs diverting 5,400 MT of food waste annually.</w:t>
      </w:r>
    </w:p>
    <w:p>
      <w:pPr>
        <w:keepNext/>
        <w:spacing w:before="280" w:after="120"/>
        <w:jc w:val="left"/>
      </w:pPr>
      <w:r>
        <w:rPr>
          <w:rFonts w:ascii="Times New Roman" w:hAnsi="Times New Roman"/>
          <w:b/>
          <w:color w:val="047857"/>
          <w:sz w:val="28"/>
        </w:rPr>
        <w:t>4.4 User Feedback Received and System Iterations Made</w:t>
      </w:r>
    </w:p>
    <w:p>
      <w:pPr>
        <w:spacing w:before="0" w:after="120" w:line="360" w:lineRule="auto"/>
        <w:jc w:val="left"/>
      </w:pPr>
      <w:r>
        <w:rPr>
          <w:rFonts w:ascii="Times New Roman" w:hAnsi="Times New Roman"/>
          <w:b w:val="0"/>
          <w:i w:val="0"/>
          <w:sz w:val="24"/>
        </w:rPr>
        <w:t>Continuous feedback was collected from pilot participants and incorporated into successive software and hardware sprints:</w:t>
      </w:r>
    </w:p>
    <w:p>
      <w:pPr>
        <w:spacing w:before="40" w:after="40" w:line="360" w:lineRule="auto"/>
        <w:jc w:val="left"/>
      </w:pPr>
      <w:r>
        <w:rPr>
          <w:rFonts w:ascii="Times New Roman" w:hAnsi="Times New Roman"/>
          <w:b w:val="0"/>
          <w:i w:val="0"/>
          <w:sz w:val="24"/>
        </w:rPr>
        <w:t>• Iteration 1 (Collector Weigh-In Friction): Field collectors reported that manually entering weights caused delays during morning rush hours. Implemented automatic Bluetooth scale synchronization, populating the gross weight in under 2 seconds.</w:t>
      </w:r>
    </w:p>
    <w:p>
      <w:pPr>
        <w:spacing w:before="40" w:after="40" w:line="360" w:lineRule="auto"/>
        <w:jc w:val="left"/>
      </w:pPr>
      <w:r>
        <w:rPr>
          <w:rFonts w:ascii="Times New Roman" w:hAnsi="Times New Roman"/>
          <w:b w:val="0"/>
          <w:i w:val="0"/>
          <w:sz w:val="24"/>
        </w:rPr>
        <w:t>• Iteration 2 (Plastic Contamination Ambiguity): Households complained of subjective contamination rejections. Added a visual checklist and photo upload feature on the collector dashboard, logging specific inorganic contaminants (e.g., milk pouches, aluminum foil) and sending instant SMS alerts to the resident.</w:t>
      </w:r>
    </w:p>
    <w:p>
      <w:pPr>
        <w:spacing w:before="40" w:after="120" w:line="360" w:lineRule="auto"/>
        <w:jc w:val="left"/>
      </w:pPr>
      <w:r>
        <w:rPr>
          <w:rFonts w:ascii="Times New Roman" w:hAnsi="Times New Roman"/>
          <w:b w:val="0"/>
          <w:i w:val="0"/>
          <w:sz w:val="24"/>
        </w:rPr>
        <w:t>• Iteration 3 (AI Agronomy Safety Clamping): Early prompts with Gemini 1.5 occasionally hallucinated excessive biochar application rates (e.g., 5 tonnes/acre, which induces nitrogen immobilization). Architected the deterministic ICAR safety engine that intercepts all LLM responses and clamps dosages to safe agronomic limits (1 to 2 tonnes/acre).</w:t>
      </w:r>
    </w:p>
    <w:p>
      <w:pPr>
        <w:keepNext/>
        <w:spacing w:before="280" w:after="120"/>
        <w:jc w:val="left"/>
      </w:pPr>
      <w:r>
        <w:rPr>
          <w:rFonts w:ascii="Times New Roman" w:hAnsi="Times New Roman"/>
          <w:b/>
          <w:color w:val="047857"/>
          <w:sz w:val="28"/>
        </w:rPr>
        <w:t>4.5 Advantages, Limitations and Societal / Carbon Impact</w:t>
      </w:r>
    </w:p>
    <w:p>
      <w:pPr>
        <w:spacing w:before="0" w:after="120" w:line="360" w:lineRule="auto"/>
        <w:jc w:val="left"/>
      </w:pPr>
      <w:r>
        <w:rPr>
          <w:rFonts w:ascii="Times New Roman" w:hAnsi="Times New Roman"/>
          <w:b w:val="0"/>
          <w:i w:val="0"/>
          <w:sz w:val="24"/>
        </w:rPr>
        <w:t>Advantages: Solves both urban waste disposal and rural soil degradation simultaneously; achieves 56.5% gross margin; delivers 100% legal compliance with SWM 2016; eliminates odor via Bokashi EM1; locks carbon for 100+ years via biochar; and provides safe, vernacular AI crop advisory.</w:t>
      </w:r>
    </w:p>
    <w:p>
      <w:pPr>
        <w:spacing w:before="0" w:after="120" w:line="360" w:lineRule="auto"/>
        <w:jc w:val="left"/>
      </w:pPr>
      <w:r>
        <w:rPr>
          <w:rFonts w:ascii="Times New Roman" w:hAnsi="Times New Roman"/>
          <w:b w:val="0"/>
          <w:i w:val="0"/>
          <w:sz w:val="24"/>
        </w:rPr>
        <w:t>Limitations: Operations require dedicated upfront capital for EV loaders and pyrolysis equipment; doorstep contamination monitoring relies on driver diligence; and bioconversion cycles require 14 to 45 days of maturation time.</w:t>
      </w:r>
    </w:p>
    <w:p>
      <w:pPr>
        <w:spacing w:before="0" w:after="120" w:line="360" w:lineRule="auto"/>
        <w:jc w:val="left"/>
      </w:pPr>
      <w:r>
        <w:rPr>
          <w:rFonts w:ascii="Times New Roman" w:hAnsi="Times New Roman"/>
          <w:b w:val="0"/>
          <w:i w:val="0"/>
          <w:sz w:val="24"/>
        </w:rPr>
        <w:t>Societal and Environmental Impact: Each standard processing hub diverts 1,500 MT of wet organic scraps annually, abating 1,875 MT CO2e of potent landfill methane emissions. It cuts smallholder fertilizer costs by 35% and generates 25 formal, dignified green logistics jobs.</w:t>
      </w:r>
    </w:p>
    <w:p>
      <w:pPr>
        <w:spacing w:before="120" w:after="120" w:line="360" w:lineRule="auto"/>
        <w:jc w:val="left"/>
      </w:pPr>
      <w:r>
        <w:rPr>
          <w:rFonts w:ascii="Times New Roman" w:hAnsi="Times New Roman"/>
          <w:b w:val="0"/>
          <w:i/>
          <w:sz w:val="22"/>
        </w:rPr>
        <w:t>Summary: Chapter 4 presented the working Next.js 15 software prototype, verified FCO 1985 chemical compliance in Table 4.1, established a 56.5% gross margin in Table 4.2, documented user feedback iterations, and quantified carbon abatement.</w:t>
      </w:r>
    </w:p>
    <w:p>
      <w:r>
        <w:br w:type="page"/>
      </w:r>
    </w:p>
    <w:p>
      <w:pPr>
        <w:keepNext/>
        <w:spacing w:before="360" w:after="160"/>
        <w:jc w:val="left"/>
      </w:pPr>
      <w:r>
        <w:rPr>
          <w:rFonts w:ascii="Times New Roman" w:hAnsi="Times New Roman"/>
          <w:b/>
          <w:color w:val="064E3B"/>
          <w:sz w:val="36"/>
        </w:rPr>
        <w:t>Chapter 5: Individual Contribution, Teamwork and Reflection</w:t>
      </w:r>
    </w:p>
    <w:p>
      <w:pPr>
        <w:spacing w:before="0" w:after="240" w:line="360" w:lineRule="auto"/>
        <w:jc w:val="left"/>
      </w:pPr>
      <w:r>
        <w:rPr>
          <w:rFonts w:ascii="Times New Roman" w:hAnsi="Times New Roman"/>
          <w:b w:val="0"/>
          <w:i/>
          <w:sz w:val="23"/>
        </w:rPr>
        <w:t>As mandated by the Design Experience assessment framework, this chapter documents the individual technical accomplishments, evidence register links, teamwork and leadership coordination, critical reflections, and professional conduct of Veer Nagda.</w:t>
      </w:r>
    </w:p>
    <w:p>
      <w:pPr>
        <w:keepNext/>
        <w:spacing w:before="280" w:after="120"/>
        <w:jc w:val="left"/>
      </w:pPr>
      <w:r>
        <w:rPr>
          <w:rFonts w:ascii="Times New Roman" w:hAnsi="Times New Roman"/>
          <w:b/>
          <w:color w:val="047857"/>
          <w:sz w:val="28"/>
        </w:rPr>
        <w:t>5.1 Team Structure, Roles and Responsibilities</w:t>
      </w:r>
    </w:p>
    <w:p>
      <w:pPr>
        <w:spacing w:before="0" w:after="120" w:line="360" w:lineRule="auto"/>
        <w:jc w:val="left"/>
      </w:pPr>
      <w:r>
        <w:rPr>
          <w:rFonts w:ascii="Times New Roman" w:hAnsi="Times New Roman"/>
          <w:b w:val="0"/>
          <w:i w:val="0"/>
          <w:sz w:val="24"/>
        </w:rPr>
        <w:t>Veer Nagda served as the Project Lead, Lead Full-Stack Architect, and Primary Entrepreneurial Researcher for AgroLoop during the Academic Year 2026–27. Working under the guidance of faculty mentor Prof. Deepali A. Maste, Veer held end-to-end technical and operational ownership across the five designated semester focus areas: Prototype Development, Business Model Formulation, Market Validation, Incubation Alignment, and Pitch Deck Preparation.</w:t>
      </w:r>
    </w:p>
    <w:p>
      <w:pPr>
        <w:keepNext/>
        <w:spacing w:before="280" w:after="120"/>
        <w:jc w:val="left"/>
      </w:pPr>
      <w:r>
        <w:rPr>
          <w:rFonts w:ascii="Times New Roman" w:hAnsi="Times New Roman"/>
          <w:b/>
          <w:color w:val="047857"/>
          <w:sz w:val="28"/>
        </w:rPr>
        <w:t>5.2 Individual Contribution Statement (Veer Nagda) with Evidence Register IDs</w:t>
      </w:r>
    </w:p>
    <w:p>
      <w:pPr>
        <w:spacing w:before="0" w:after="120" w:line="360" w:lineRule="auto"/>
        <w:jc w:val="left"/>
      </w:pPr>
      <w:r>
        <w:rPr>
          <w:rFonts w:ascii="Times New Roman" w:hAnsi="Times New Roman"/>
          <w:b w:val="0"/>
          <w:i w:val="0"/>
          <w:sz w:val="24"/>
        </w:rPr>
        <w:t>Table 5.1 provides the verified Individual Contribution Matrix, linking specific engineering and research deliverables to their unique Evidence IDs in the Individual Evidence Register (IER).</w:t>
      </w:r>
    </w:p>
    <w:p>
      <w:pPr>
        <w:spacing w:before="200" w:after="80" w:line="360" w:lineRule="auto"/>
        <w:jc w:val="left"/>
      </w:pPr>
      <w:r>
        <w:rPr>
          <w:rFonts w:ascii="Times New Roman" w:hAnsi="Times New Roman"/>
          <w:b/>
          <w:i w:val="0"/>
          <w:sz w:val="20"/>
        </w:rPr>
        <w:t>Table 5.1: Individual Contribution Matrix (Veer Nagda) with Evidence Register IDs</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F1F5F9"/>
          </w:tcPr>
          <w:p>
            <w:pPr>
              <w:spacing w:line="264" w:lineRule="auto" w:after="40"/>
            </w:pPr>
            <w:r>
              <w:rPr>
                <w:rFonts w:ascii="Times New Roman" w:hAnsi="Times New Roman"/>
                <w:b/>
                <w:sz w:val="17"/>
              </w:rPr>
              <w:t>Evidence ID</w:t>
            </w:r>
          </w:p>
        </w:tc>
        <w:tc>
          <w:tcPr>
            <w:tcW w:type="dxa" w:w="1662"/>
            <w:shd w:fill="F1F5F9"/>
          </w:tcPr>
          <w:p>
            <w:pPr>
              <w:spacing w:line="264" w:lineRule="auto" w:after="40"/>
            </w:pPr>
            <w:r>
              <w:rPr>
                <w:rFonts w:ascii="Times New Roman" w:hAnsi="Times New Roman"/>
                <w:b/>
                <w:sz w:val="17"/>
              </w:rPr>
              <w:t>Task / Deliverable Owned</w:t>
            </w:r>
          </w:p>
        </w:tc>
        <w:tc>
          <w:tcPr>
            <w:tcW w:type="dxa" w:w="1662"/>
            <w:shd w:fill="F1F5F9"/>
          </w:tcPr>
          <w:p>
            <w:pPr>
              <w:spacing w:line="264" w:lineRule="auto" w:after="40"/>
            </w:pPr>
            <w:r>
              <w:rPr>
                <w:rFonts w:ascii="Times New Roman" w:hAnsi="Times New Roman"/>
                <w:b/>
                <w:sz w:val="17"/>
              </w:rPr>
              <w:t>Key Outputs Produced</w:t>
            </w:r>
          </w:p>
        </w:tc>
        <w:tc>
          <w:tcPr>
            <w:tcW w:type="dxa" w:w="1662"/>
            <w:shd w:fill="F1F5F9"/>
          </w:tcPr>
          <w:p>
            <w:pPr>
              <w:spacing w:line="264" w:lineRule="auto" w:after="40"/>
            </w:pPr>
            <w:r>
              <w:rPr>
                <w:rFonts w:ascii="Times New Roman" w:hAnsi="Times New Roman"/>
                <w:b/>
                <w:sz w:val="17"/>
              </w:rPr>
              <w:t>Competency</w:t>
            </w:r>
          </w:p>
        </w:tc>
        <w:tc>
          <w:tcPr>
            <w:tcW w:type="dxa" w:w="1662"/>
            <w:shd w:fill="F1F5F9"/>
          </w:tcPr>
          <w:p>
            <w:pPr>
              <w:spacing w:line="264" w:lineRule="auto" w:after="40"/>
            </w:pPr>
            <w:r>
              <w:rPr>
                <w:rFonts w:ascii="Times New Roman" w:hAnsi="Times New Roman"/>
                <w:b/>
                <w:sz w:val="17"/>
              </w:rPr>
              <w:t>Verified Location</w:t>
            </w:r>
          </w:p>
        </w:tc>
      </w:tr>
      <w:tr>
        <w:tc>
          <w:tcPr>
            <w:tcW w:type="dxa" w:w="1662"/>
          </w:tcPr>
          <w:p>
            <w:pPr>
              <w:spacing w:line="264" w:lineRule="auto" w:after="40"/>
            </w:pPr>
            <w:r>
              <w:rPr>
                <w:rFonts w:ascii="Times New Roman" w:hAnsi="Times New Roman"/>
                <w:b/>
                <w:sz w:val="16"/>
              </w:rPr>
              <w:t>EVD-01</w:t>
            </w:r>
          </w:p>
        </w:tc>
        <w:tc>
          <w:tcPr>
            <w:tcW w:type="dxa" w:w="1662"/>
          </w:tcPr>
          <w:p>
            <w:pPr>
              <w:spacing w:line="264" w:lineRule="auto" w:after="40"/>
            </w:pPr>
            <w:r>
              <w:rPr>
                <w:rFonts w:ascii="Times New Roman" w:hAnsi="Times New Roman"/>
                <w:sz w:val="16"/>
              </w:rPr>
              <w:t>SWM 2016 Regulatory Scoping</w:t>
            </w:r>
          </w:p>
        </w:tc>
        <w:tc>
          <w:tcPr>
            <w:tcW w:type="dxa" w:w="1662"/>
          </w:tcPr>
          <w:p>
            <w:pPr>
              <w:spacing w:line="264" w:lineRule="auto" w:after="40"/>
            </w:pPr>
            <w:r>
              <w:rPr>
                <w:rFonts w:ascii="Times New Roman" w:hAnsi="Times New Roman"/>
                <w:sz w:val="16"/>
              </w:rPr>
              <w:t>Policy review document &amp; 3 stakeholder survey questionnaires</w:t>
            </w:r>
          </w:p>
        </w:tc>
        <w:tc>
          <w:tcPr>
            <w:tcW w:type="dxa" w:w="1662"/>
          </w:tcPr>
          <w:p>
            <w:pPr>
              <w:spacing w:line="264" w:lineRule="auto" w:after="40"/>
            </w:pPr>
            <w:r>
              <w:rPr>
                <w:rFonts w:ascii="Times New Roman" w:hAnsi="Times New Roman"/>
                <w:sz w:val="16"/>
              </w:rPr>
              <w:t>DP, RC</w:t>
            </w:r>
          </w:p>
        </w:tc>
        <w:tc>
          <w:tcPr>
            <w:tcW w:type="dxa" w:w="1662"/>
          </w:tcPr>
          <w:p>
            <w:pPr>
              <w:spacing w:line="264" w:lineRule="auto" w:after="40"/>
            </w:pPr>
            <w:r>
              <w:rPr>
                <w:rFonts w:ascii="Times New Roman" w:hAnsi="Times New Roman"/>
                <w:sz w:val="16"/>
              </w:rPr>
              <w:t>docs/PROJECT_LOGBOOK.md</w:t>
            </w:r>
          </w:p>
        </w:tc>
      </w:tr>
      <w:tr>
        <w:tc>
          <w:tcPr>
            <w:tcW w:type="dxa" w:w="1662"/>
          </w:tcPr>
          <w:p>
            <w:pPr>
              <w:spacing w:line="264" w:lineRule="auto" w:after="40"/>
            </w:pPr>
            <w:r>
              <w:rPr>
                <w:rFonts w:ascii="Times New Roman" w:hAnsi="Times New Roman"/>
                <w:b/>
                <w:sz w:val="16"/>
              </w:rPr>
              <w:t>EVD-02</w:t>
            </w:r>
          </w:p>
        </w:tc>
        <w:tc>
          <w:tcPr>
            <w:tcW w:type="dxa" w:w="1662"/>
          </w:tcPr>
          <w:p>
            <w:pPr>
              <w:spacing w:line="264" w:lineRule="auto" w:after="40"/>
            </w:pPr>
            <w:r>
              <w:rPr>
                <w:rFonts w:ascii="Times New Roman" w:hAnsi="Times New Roman"/>
                <w:sz w:val="16"/>
              </w:rPr>
              <w:t>Customer Discovery Survey</w:t>
            </w:r>
          </w:p>
        </w:tc>
        <w:tc>
          <w:tcPr>
            <w:tcW w:type="dxa" w:w="1662"/>
          </w:tcPr>
          <w:p>
            <w:pPr>
              <w:spacing w:line="264" w:lineRule="auto" w:after="40"/>
            </w:pPr>
            <w:r>
              <w:rPr>
                <w:rFonts w:ascii="Times New Roman" w:hAnsi="Times New Roman"/>
                <w:sz w:val="16"/>
              </w:rPr>
              <w:t>Survey data synthesis across 45 kitchens &amp; 80 housing societies</w:t>
            </w:r>
          </w:p>
        </w:tc>
        <w:tc>
          <w:tcPr>
            <w:tcW w:type="dxa" w:w="1662"/>
          </w:tcPr>
          <w:p>
            <w:pPr>
              <w:spacing w:line="264" w:lineRule="auto" w:after="40"/>
            </w:pPr>
            <w:r>
              <w:rPr>
                <w:rFonts w:ascii="Times New Roman" w:hAnsi="Times New Roman"/>
                <w:sz w:val="16"/>
              </w:rPr>
              <w:t>RC, DP</w:t>
            </w:r>
          </w:p>
        </w:tc>
        <w:tc>
          <w:tcPr>
            <w:tcW w:type="dxa" w:w="1662"/>
          </w:tcPr>
          <w:p>
            <w:pPr>
              <w:spacing w:line="264" w:lineRule="auto" w:after="40"/>
            </w:pPr>
            <w:r>
              <w:rPr>
                <w:rFonts w:ascii="Times New Roman" w:hAnsi="Times New Roman"/>
                <w:sz w:val="16"/>
              </w:rPr>
              <w:t>docs/MARKET_ANALYSIS.md</w:t>
            </w:r>
          </w:p>
        </w:tc>
      </w:tr>
      <w:tr>
        <w:tc>
          <w:tcPr>
            <w:tcW w:type="dxa" w:w="1662"/>
          </w:tcPr>
          <w:p>
            <w:pPr>
              <w:spacing w:line="264" w:lineRule="auto" w:after="40"/>
            </w:pPr>
            <w:r>
              <w:rPr>
                <w:rFonts w:ascii="Times New Roman" w:hAnsi="Times New Roman"/>
                <w:b/>
                <w:sz w:val="16"/>
              </w:rPr>
              <w:t>EVD-03</w:t>
            </w:r>
          </w:p>
        </w:tc>
        <w:tc>
          <w:tcPr>
            <w:tcW w:type="dxa" w:w="1662"/>
          </w:tcPr>
          <w:p>
            <w:pPr>
              <w:spacing w:line="264" w:lineRule="auto" w:after="40"/>
            </w:pPr>
            <w:r>
              <w:rPr>
                <w:rFonts w:ascii="Times New Roman" w:hAnsi="Times New Roman"/>
                <w:sz w:val="16"/>
              </w:rPr>
              <w:t>ICA Review I Architecture</w:t>
            </w:r>
          </w:p>
        </w:tc>
        <w:tc>
          <w:tcPr>
            <w:tcW w:type="dxa" w:w="1662"/>
          </w:tcPr>
          <w:p>
            <w:pPr>
              <w:spacing w:line="264" w:lineRule="auto" w:after="40"/>
            </w:pPr>
            <w:r>
              <w:rPr>
                <w:rFonts w:ascii="Times New Roman" w:hAnsi="Times New Roman"/>
                <w:sz w:val="16"/>
              </w:rPr>
              <w:t>System requirements specification (SRS) &amp; Review I slide deck</w:t>
            </w:r>
          </w:p>
        </w:tc>
        <w:tc>
          <w:tcPr>
            <w:tcW w:type="dxa" w:w="1662"/>
          </w:tcPr>
          <w:p>
            <w:pPr>
              <w:spacing w:line="264" w:lineRule="auto" w:after="40"/>
            </w:pPr>
            <w:r>
              <w:rPr>
                <w:rFonts w:ascii="Times New Roman" w:hAnsi="Times New Roman"/>
                <w:sz w:val="16"/>
              </w:rPr>
              <w:t>IA, OC</w:t>
            </w:r>
          </w:p>
        </w:tc>
        <w:tc>
          <w:tcPr>
            <w:tcW w:type="dxa" w:w="1662"/>
          </w:tcPr>
          <w:p>
            <w:pPr>
              <w:spacing w:line="264" w:lineRule="auto" w:after="40"/>
            </w:pPr>
            <w:r>
              <w:rPr>
                <w:rFonts w:ascii="Times New Roman" w:hAnsi="Times New Roman"/>
                <w:sz w:val="16"/>
              </w:rPr>
              <w:t>Archive / Slides</w:t>
            </w:r>
          </w:p>
        </w:tc>
      </w:tr>
      <w:tr>
        <w:tc>
          <w:tcPr>
            <w:tcW w:type="dxa" w:w="1662"/>
          </w:tcPr>
          <w:p>
            <w:pPr>
              <w:spacing w:line="264" w:lineRule="auto" w:after="40"/>
            </w:pPr>
            <w:r>
              <w:rPr>
                <w:rFonts w:ascii="Times New Roman" w:hAnsi="Times New Roman"/>
                <w:b/>
                <w:sz w:val="16"/>
              </w:rPr>
              <w:t>EVD-04</w:t>
            </w:r>
          </w:p>
        </w:tc>
        <w:tc>
          <w:tcPr>
            <w:tcW w:type="dxa" w:w="1662"/>
          </w:tcPr>
          <w:p>
            <w:pPr>
              <w:spacing w:line="264" w:lineRule="auto" w:after="40"/>
            </w:pPr>
            <w:r>
              <w:rPr>
                <w:rFonts w:ascii="Times New Roman" w:hAnsi="Times New Roman"/>
                <w:sz w:val="16"/>
              </w:rPr>
              <w:t>Database Modeling &amp; RLS</w:t>
            </w:r>
          </w:p>
        </w:tc>
        <w:tc>
          <w:tcPr>
            <w:tcW w:type="dxa" w:w="1662"/>
          </w:tcPr>
          <w:p>
            <w:pPr>
              <w:spacing w:line="264" w:lineRule="auto" w:after="40"/>
            </w:pPr>
            <w:r>
              <w:rPr>
                <w:rFonts w:ascii="Times New Roman" w:hAnsi="Times New Roman"/>
                <w:sz w:val="16"/>
              </w:rPr>
              <w:t>Supabase PostgreSQL schema (14 tables) with strict RLS policies</w:t>
            </w:r>
          </w:p>
        </w:tc>
        <w:tc>
          <w:tcPr>
            <w:tcW w:type="dxa" w:w="1662"/>
          </w:tcPr>
          <w:p>
            <w:pPr>
              <w:spacing w:line="264" w:lineRule="auto" w:after="40"/>
            </w:pPr>
            <w:r>
              <w:rPr>
                <w:rFonts w:ascii="Times New Roman" w:hAnsi="Times New Roman"/>
                <w:sz w:val="16"/>
              </w:rPr>
              <w:t>IA, DP</w:t>
            </w:r>
          </w:p>
        </w:tc>
        <w:tc>
          <w:tcPr>
            <w:tcW w:type="dxa" w:w="1662"/>
          </w:tcPr>
          <w:p>
            <w:pPr>
              <w:spacing w:line="264" w:lineRule="auto" w:after="40"/>
            </w:pPr>
            <w:r>
              <w:rPr>
                <w:rFonts w:ascii="Times New Roman" w:hAnsi="Times New Roman"/>
                <w:sz w:val="16"/>
              </w:rPr>
              <w:t>src/lib/supabase/</w:t>
            </w:r>
          </w:p>
        </w:tc>
      </w:tr>
      <w:tr>
        <w:tc>
          <w:tcPr>
            <w:tcW w:type="dxa" w:w="1662"/>
          </w:tcPr>
          <w:p>
            <w:pPr>
              <w:spacing w:line="264" w:lineRule="auto" w:after="40"/>
            </w:pPr>
            <w:r>
              <w:rPr>
                <w:rFonts w:ascii="Times New Roman" w:hAnsi="Times New Roman"/>
                <w:b/>
                <w:sz w:val="16"/>
              </w:rPr>
              <w:t>EVD-05</w:t>
            </w:r>
          </w:p>
        </w:tc>
        <w:tc>
          <w:tcPr>
            <w:tcW w:type="dxa" w:w="1662"/>
          </w:tcPr>
          <w:p>
            <w:pPr>
              <w:spacing w:line="264" w:lineRule="auto" w:after="40"/>
            </w:pPr>
            <w:r>
              <w:rPr>
                <w:rFonts w:ascii="Times New Roman" w:hAnsi="Times New Roman"/>
                <w:sz w:val="16"/>
              </w:rPr>
              <w:t>Doorstep IoT Quality Engine</w:t>
            </w:r>
          </w:p>
        </w:tc>
        <w:tc>
          <w:tcPr>
            <w:tcW w:type="dxa" w:w="1662"/>
          </w:tcPr>
          <w:p>
            <w:pPr>
              <w:spacing w:line="264" w:lineRule="auto" w:after="40"/>
            </w:pPr>
            <w:r>
              <w:rPr>
                <w:rFonts w:ascii="Times New Roman" w:hAnsi="Times New Roman"/>
                <w:sz w:val="16"/>
              </w:rPr>
              <w:t>Bluetooth scale integration &amp; visual contamination grading UI</w:t>
            </w:r>
          </w:p>
        </w:tc>
        <w:tc>
          <w:tcPr>
            <w:tcW w:type="dxa" w:w="1662"/>
          </w:tcPr>
          <w:p>
            <w:pPr>
              <w:spacing w:line="264" w:lineRule="auto" w:after="40"/>
            </w:pPr>
            <w:r>
              <w:rPr>
                <w:rFonts w:ascii="Times New Roman" w:hAnsi="Times New Roman"/>
                <w:sz w:val="16"/>
              </w:rPr>
              <w:t>DP, IA</w:t>
            </w:r>
          </w:p>
        </w:tc>
        <w:tc>
          <w:tcPr>
            <w:tcW w:type="dxa" w:w="1662"/>
          </w:tcPr>
          <w:p>
            <w:pPr>
              <w:spacing w:line="264" w:lineRule="auto" w:after="40"/>
            </w:pPr>
            <w:r>
              <w:rPr>
                <w:rFonts w:ascii="Times New Roman" w:hAnsi="Times New Roman"/>
                <w:sz w:val="16"/>
              </w:rPr>
              <w:t>src/app/dashboard/collector/</w:t>
            </w:r>
          </w:p>
        </w:tc>
      </w:tr>
      <w:tr>
        <w:tc>
          <w:tcPr>
            <w:tcW w:type="dxa" w:w="1662"/>
          </w:tcPr>
          <w:p>
            <w:pPr>
              <w:spacing w:line="264" w:lineRule="auto" w:after="40"/>
            </w:pPr>
            <w:r>
              <w:rPr>
                <w:rFonts w:ascii="Times New Roman" w:hAnsi="Times New Roman"/>
                <w:b/>
                <w:sz w:val="16"/>
              </w:rPr>
              <w:t>EVD-06</w:t>
            </w:r>
          </w:p>
        </w:tc>
        <w:tc>
          <w:tcPr>
            <w:tcW w:type="dxa" w:w="1662"/>
          </w:tcPr>
          <w:p>
            <w:pPr>
              <w:spacing w:line="264" w:lineRule="auto" w:after="40"/>
            </w:pPr>
            <w:r>
              <w:rPr>
                <w:rFonts w:ascii="Times New Roman" w:hAnsi="Times New Roman"/>
                <w:sz w:val="16"/>
              </w:rPr>
              <w:t>AI Agronomist &amp; ICAR Guardrails</w:t>
            </w:r>
          </w:p>
        </w:tc>
        <w:tc>
          <w:tcPr>
            <w:tcW w:type="dxa" w:w="1662"/>
          </w:tcPr>
          <w:p>
            <w:pPr>
              <w:spacing w:line="264" w:lineRule="auto" w:after="40"/>
            </w:pPr>
            <w:r>
              <w:rPr>
                <w:rFonts w:ascii="Times New Roman" w:hAnsi="Times New Roman"/>
                <w:sz w:val="16"/>
              </w:rPr>
              <w:t>Google Gemini 1.5 Pro route with deterministic bounds engine</w:t>
            </w:r>
          </w:p>
        </w:tc>
        <w:tc>
          <w:tcPr>
            <w:tcW w:type="dxa" w:w="1662"/>
          </w:tcPr>
          <w:p>
            <w:pPr>
              <w:spacing w:line="264" w:lineRule="auto" w:after="40"/>
            </w:pPr>
            <w:r>
              <w:rPr>
                <w:rFonts w:ascii="Times New Roman" w:hAnsi="Times New Roman"/>
                <w:sz w:val="16"/>
              </w:rPr>
              <w:t>IA, DP, RC</w:t>
            </w:r>
          </w:p>
        </w:tc>
        <w:tc>
          <w:tcPr>
            <w:tcW w:type="dxa" w:w="1662"/>
          </w:tcPr>
          <w:p>
            <w:pPr>
              <w:spacing w:line="264" w:lineRule="auto" w:after="40"/>
            </w:pPr>
            <w:r>
              <w:rPr>
                <w:rFonts w:ascii="Times New Roman" w:hAnsi="Times New Roman"/>
                <w:sz w:val="16"/>
              </w:rPr>
              <w:t>src/lib/ai/advisor.ts</w:t>
            </w:r>
          </w:p>
        </w:tc>
      </w:tr>
      <w:tr>
        <w:tc>
          <w:tcPr>
            <w:tcW w:type="dxa" w:w="1662"/>
          </w:tcPr>
          <w:p>
            <w:pPr>
              <w:spacing w:line="264" w:lineRule="auto" w:after="40"/>
            </w:pPr>
            <w:r>
              <w:rPr>
                <w:rFonts w:ascii="Times New Roman" w:hAnsi="Times New Roman"/>
                <w:b/>
                <w:sz w:val="16"/>
              </w:rPr>
              <w:t>EVD-07</w:t>
            </w:r>
          </w:p>
        </w:tc>
        <w:tc>
          <w:tcPr>
            <w:tcW w:type="dxa" w:w="1662"/>
          </w:tcPr>
          <w:p>
            <w:pPr>
              <w:spacing w:line="264" w:lineRule="auto" w:after="40"/>
            </w:pPr>
            <w:r>
              <w:rPr>
                <w:rFonts w:ascii="Times New Roman" w:hAnsi="Times New Roman"/>
                <w:sz w:val="16"/>
              </w:rPr>
              <w:t>INNOVATE 360° Pitch &amp; Award</w:t>
            </w:r>
          </w:p>
        </w:tc>
        <w:tc>
          <w:tcPr>
            <w:tcW w:type="dxa" w:w="1662"/>
          </w:tcPr>
          <w:p>
            <w:pPr>
              <w:spacing w:line="264" w:lineRule="auto" w:after="40"/>
            </w:pPr>
            <w:r>
              <w:rPr>
                <w:rFonts w:ascii="Times New Roman" w:hAnsi="Times New Roman"/>
                <w:sz w:val="16"/>
              </w:rPr>
              <w:t>Delivered 3.5-min pitch defense; Secured 3rd Position Award</w:t>
            </w:r>
          </w:p>
        </w:tc>
        <w:tc>
          <w:tcPr>
            <w:tcW w:type="dxa" w:w="1662"/>
          </w:tcPr>
          <w:p>
            <w:pPr>
              <w:spacing w:line="264" w:lineRule="auto" w:after="40"/>
            </w:pPr>
            <w:r>
              <w:rPr>
                <w:rFonts w:ascii="Times New Roman" w:hAnsi="Times New Roman"/>
                <w:sz w:val="16"/>
              </w:rPr>
              <w:t>IA, OC, TL</w:t>
            </w:r>
          </w:p>
        </w:tc>
        <w:tc>
          <w:tcPr>
            <w:tcW w:type="dxa" w:w="1662"/>
          </w:tcPr>
          <w:p>
            <w:pPr>
              <w:spacing w:line="264" w:lineRule="auto" w:after="40"/>
            </w:pPr>
            <w:r>
              <w:rPr>
                <w:rFonts w:ascii="Times New Roman" w:hAnsi="Times New Roman"/>
                <w:sz w:val="16"/>
              </w:rPr>
              <w:t>Certificate.png &amp; Appx VI</w:t>
            </w:r>
          </w:p>
        </w:tc>
      </w:tr>
      <w:tr>
        <w:tc>
          <w:tcPr>
            <w:tcW w:type="dxa" w:w="1662"/>
          </w:tcPr>
          <w:p>
            <w:pPr>
              <w:spacing w:line="264" w:lineRule="auto" w:after="40"/>
            </w:pPr>
            <w:r>
              <w:rPr>
                <w:rFonts w:ascii="Times New Roman" w:hAnsi="Times New Roman"/>
                <w:b/>
                <w:sz w:val="16"/>
              </w:rPr>
              <w:t>EVD-08</w:t>
            </w:r>
          </w:p>
        </w:tc>
        <w:tc>
          <w:tcPr>
            <w:tcW w:type="dxa" w:w="1662"/>
          </w:tcPr>
          <w:p>
            <w:pPr>
              <w:spacing w:line="264" w:lineRule="auto" w:after="40"/>
            </w:pPr>
            <w:r>
              <w:rPr>
                <w:rFonts w:ascii="Times New Roman" w:hAnsi="Times New Roman"/>
                <w:sz w:val="16"/>
              </w:rPr>
              <w:t>ICA Review II &amp; BMC Model</w:t>
            </w:r>
          </w:p>
        </w:tc>
        <w:tc>
          <w:tcPr>
            <w:tcW w:type="dxa" w:w="1662"/>
          </w:tcPr>
          <w:p>
            <w:pPr>
              <w:spacing w:line="264" w:lineRule="auto" w:after="40"/>
            </w:pPr>
            <w:r>
              <w:rPr>
                <w:rFonts w:ascii="Times New Roman" w:hAnsi="Times New Roman"/>
                <w:sz w:val="16"/>
              </w:rPr>
              <w:t>Working Next.js demo &amp; 9-block Business Model Canvas</w:t>
            </w:r>
          </w:p>
        </w:tc>
        <w:tc>
          <w:tcPr>
            <w:tcW w:type="dxa" w:w="1662"/>
          </w:tcPr>
          <w:p>
            <w:pPr>
              <w:spacing w:line="264" w:lineRule="auto" w:after="40"/>
            </w:pPr>
            <w:r>
              <w:rPr>
                <w:rFonts w:ascii="Times New Roman" w:hAnsi="Times New Roman"/>
                <w:sz w:val="16"/>
              </w:rPr>
              <w:t>IA, DP, RC</w:t>
            </w:r>
          </w:p>
        </w:tc>
        <w:tc>
          <w:tcPr>
            <w:tcW w:type="dxa" w:w="1662"/>
          </w:tcPr>
          <w:p>
            <w:pPr>
              <w:spacing w:line="264" w:lineRule="auto" w:after="40"/>
            </w:pPr>
            <w:r>
              <w:rPr>
                <w:rFonts w:ascii="Times New Roman" w:hAnsi="Times New Roman"/>
                <w:sz w:val="16"/>
              </w:rPr>
              <w:t>docs/BMC.md</w:t>
            </w:r>
          </w:p>
        </w:tc>
      </w:tr>
      <w:tr>
        <w:tc>
          <w:tcPr>
            <w:tcW w:type="dxa" w:w="1662"/>
          </w:tcPr>
          <w:p>
            <w:pPr>
              <w:spacing w:line="264" w:lineRule="auto" w:after="40"/>
            </w:pPr>
            <w:r>
              <w:rPr>
                <w:rFonts w:ascii="Times New Roman" w:hAnsi="Times New Roman"/>
                <w:b/>
                <w:sz w:val="16"/>
              </w:rPr>
              <w:t>EVD-09</w:t>
            </w:r>
          </w:p>
        </w:tc>
        <w:tc>
          <w:tcPr>
            <w:tcW w:type="dxa" w:w="1662"/>
          </w:tcPr>
          <w:p>
            <w:pPr>
              <w:spacing w:line="264" w:lineRule="auto" w:after="40"/>
            </w:pPr>
            <w:r>
              <w:rPr>
                <w:rFonts w:ascii="Times New Roman" w:hAnsi="Times New Roman"/>
                <w:sz w:val="16"/>
              </w:rPr>
              <w:t>Farmer Field Trials &amp; FCO 1985</w:t>
            </w:r>
          </w:p>
        </w:tc>
        <w:tc>
          <w:tcPr>
            <w:tcW w:type="dxa" w:w="1662"/>
          </w:tcPr>
          <w:p>
            <w:pPr>
              <w:spacing w:line="264" w:lineRule="auto" w:after="40"/>
            </w:pPr>
            <w:r>
              <w:rPr>
                <w:rFonts w:ascii="Times New Roman" w:hAnsi="Times New Roman"/>
                <w:sz w:val="16"/>
              </w:rPr>
              <w:t>Palghar trial data (12 plots) &amp; FCO lab chemical assay analysis</w:t>
            </w:r>
          </w:p>
        </w:tc>
        <w:tc>
          <w:tcPr>
            <w:tcW w:type="dxa" w:w="1662"/>
          </w:tcPr>
          <w:p>
            <w:pPr>
              <w:spacing w:line="264" w:lineRule="auto" w:after="40"/>
            </w:pPr>
            <w:r>
              <w:rPr>
                <w:rFonts w:ascii="Times New Roman" w:hAnsi="Times New Roman"/>
                <w:sz w:val="16"/>
              </w:rPr>
              <w:t>DP, RC, IA</w:t>
            </w:r>
          </w:p>
        </w:tc>
        <w:tc>
          <w:tcPr>
            <w:tcW w:type="dxa" w:w="1662"/>
          </w:tcPr>
          <w:p>
            <w:pPr>
              <w:spacing w:line="264" w:lineRule="auto" w:after="40"/>
            </w:pPr>
            <w:r>
              <w:rPr>
                <w:rFonts w:ascii="Times New Roman" w:hAnsi="Times New Roman"/>
                <w:sz w:val="16"/>
              </w:rPr>
              <w:t>docs/FINAL_REPORT.md</w:t>
            </w:r>
          </w:p>
        </w:tc>
      </w:tr>
      <w:tr>
        <w:tc>
          <w:tcPr>
            <w:tcW w:type="dxa" w:w="1662"/>
          </w:tcPr>
          <w:p>
            <w:pPr>
              <w:spacing w:line="264" w:lineRule="auto" w:after="40"/>
            </w:pPr>
            <w:r>
              <w:rPr>
                <w:rFonts w:ascii="Times New Roman" w:hAnsi="Times New Roman"/>
                <w:b/>
                <w:sz w:val="16"/>
              </w:rPr>
              <w:t>EVD-10</w:t>
            </w:r>
          </w:p>
        </w:tc>
        <w:tc>
          <w:tcPr>
            <w:tcW w:type="dxa" w:w="1662"/>
          </w:tcPr>
          <w:p>
            <w:pPr>
              <w:spacing w:line="264" w:lineRule="auto" w:after="40"/>
            </w:pPr>
            <w:r>
              <w:rPr>
                <w:rFonts w:ascii="Times New Roman" w:hAnsi="Times New Roman"/>
                <w:sz w:val="16"/>
              </w:rPr>
              <w:t>AIC-NMIMS Incubation Dossier</w:t>
            </w:r>
          </w:p>
        </w:tc>
        <w:tc>
          <w:tcPr>
            <w:tcW w:type="dxa" w:w="1662"/>
          </w:tcPr>
          <w:p>
            <w:pPr>
              <w:spacing w:line="264" w:lineRule="auto" w:after="40"/>
            </w:pPr>
            <w:r>
              <w:rPr>
                <w:rFonts w:ascii="Times New Roman" w:hAnsi="Times New Roman"/>
                <w:sz w:val="16"/>
              </w:rPr>
              <w:t>Cohort 8 pre-incubation application &amp; SISFS grant pipeline</w:t>
            </w:r>
          </w:p>
        </w:tc>
        <w:tc>
          <w:tcPr>
            <w:tcW w:type="dxa" w:w="1662"/>
          </w:tcPr>
          <w:p>
            <w:pPr>
              <w:spacing w:line="264" w:lineRule="auto" w:after="40"/>
            </w:pPr>
            <w:r>
              <w:rPr>
                <w:rFonts w:ascii="Times New Roman" w:hAnsi="Times New Roman"/>
                <w:sz w:val="16"/>
              </w:rPr>
              <w:t>IA, RC</w:t>
            </w:r>
          </w:p>
        </w:tc>
        <w:tc>
          <w:tcPr>
            <w:tcW w:type="dxa" w:w="1662"/>
          </w:tcPr>
          <w:p>
            <w:pPr>
              <w:spacing w:line="264" w:lineRule="auto" w:after="40"/>
            </w:pPr>
            <w:r>
              <w:rPr>
                <w:rFonts w:ascii="Times New Roman" w:hAnsi="Times New Roman"/>
                <w:sz w:val="16"/>
              </w:rPr>
              <w:t>docs/INCUBATOR.md</w:t>
            </w:r>
          </w:p>
        </w:tc>
      </w:tr>
      <w:tr>
        <w:tc>
          <w:tcPr>
            <w:tcW w:type="dxa" w:w="1662"/>
          </w:tcPr>
          <w:p>
            <w:pPr>
              <w:spacing w:line="264" w:lineRule="auto" w:after="40"/>
            </w:pPr>
            <w:r>
              <w:rPr>
                <w:rFonts w:ascii="Times New Roman" w:hAnsi="Times New Roman"/>
                <w:b/>
                <w:sz w:val="16"/>
              </w:rPr>
              <w:t>EVD-11</w:t>
            </w:r>
          </w:p>
        </w:tc>
        <w:tc>
          <w:tcPr>
            <w:tcW w:type="dxa" w:w="1662"/>
          </w:tcPr>
          <w:p>
            <w:pPr>
              <w:spacing w:line="264" w:lineRule="auto" w:after="40"/>
            </w:pPr>
            <w:r>
              <w:rPr>
                <w:rFonts w:ascii="Times New Roman" w:hAnsi="Times New Roman"/>
                <w:sz w:val="16"/>
              </w:rPr>
              <w:t>Next.js 15 Production Build</w:t>
            </w:r>
          </w:p>
        </w:tc>
        <w:tc>
          <w:tcPr>
            <w:tcW w:type="dxa" w:w="1662"/>
          </w:tcPr>
          <w:p>
            <w:pPr>
              <w:spacing w:line="264" w:lineRule="auto" w:after="40"/>
            </w:pPr>
            <w:r>
              <w:rPr>
                <w:rFonts w:ascii="Times New Roman" w:hAnsi="Times New Roman"/>
                <w:sz w:val="16"/>
              </w:rPr>
              <w:t>Compiled 60 routes with Playwright E2E automated test suites</w:t>
            </w:r>
          </w:p>
        </w:tc>
        <w:tc>
          <w:tcPr>
            <w:tcW w:type="dxa" w:w="1662"/>
          </w:tcPr>
          <w:p>
            <w:pPr>
              <w:spacing w:line="264" w:lineRule="auto" w:after="40"/>
            </w:pPr>
            <w:r>
              <w:rPr>
                <w:rFonts w:ascii="Times New Roman" w:hAnsi="Times New Roman"/>
                <w:sz w:val="16"/>
              </w:rPr>
              <w:t>IA, DP</w:t>
            </w:r>
          </w:p>
        </w:tc>
        <w:tc>
          <w:tcPr>
            <w:tcW w:type="dxa" w:w="1662"/>
          </w:tcPr>
          <w:p>
            <w:pPr>
              <w:spacing w:line="264" w:lineRule="auto" w:after="40"/>
            </w:pPr>
            <w:r>
              <w:rPr>
                <w:rFonts w:ascii="Times New Roman" w:hAnsi="Times New Roman"/>
                <w:sz w:val="16"/>
              </w:rPr>
              <w:t>tests/e2e.spec.ts</w:t>
            </w:r>
          </w:p>
        </w:tc>
      </w:tr>
      <w:tr>
        <w:tc>
          <w:tcPr>
            <w:tcW w:type="dxa" w:w="1662"/>
          </w:tcPr>
          <w:p>
            <w:pPr>
              <w:spacing w:line="264" w:lineRule="auto" w:after="40"/>
            </w:pPr>
            <w:r>
              <w:rPr>
                <w:rFonts w:ascii="Times New Roman" w:hAnsi="Times New Roman"/>
                <w:b/>
                <w:sz w:val="16"/>
              </w:rPr>
              <w:t>EVD-12</w:t>
            </w:r>
          </w:p>
        </w:tc>
        <w:tc>
          <w:tcPr>
            <w:tcW w:type="dxa" w:w="1662"/>
          </w:tcPr>
          <w:p>
            <w:pPr>
              <w:spacing w:line="264" w:lineRule="auto" w:after="40"/>
            </w:pPr>
            <w:r>
              <w:rPr>
                <w:rFonts w:ascii="Times New Roman" w:hAnsi="Times New Roman"/>
                <w:sz w:val="16"/>
              </w:rPr>
              <w:t>Master Project Report</w:t>
            </w:r>
          </w:p>
        </w:tc>
        <w:tc>
          <w:tcPr>
            <w:tcW w:type="dxa" w:w="1662"/>
          </w:tcPr>
          <w:p>
            <w:pPr>
              <w:spacing w:line="264" w:lineRule="auto" w:after="40"/>
            </w:pPr>
            <w:r>
              <w:rPr>
                <w:rFonts w:ascii="Times New Roman" w:hAnsi="Times New Roman"/>
                <w:sz w:val="16"/>
              </w:rPr>
              <w:t>Authoring complete 6-chapter formal report with 7 appendices</w:t>
            </w:r>
          </w:p>
        </w:tc>
        <w:tc>
          <w:tcPr>
            <w:tcW w:type="dxa" w:w="1662"/>
          </w:tcPr>
          <w:p>
            <w:pPr>
              <w:spacing w:line="264" w:lineRule="auto" w:after="40"/>
            </w:pPr>
            <w:r>
              <w:rPr>
                <w:rFonts w:ascii="Times New Roman" w:hAnsi="Times New Roman"/>
                <w:sz w:val="16"/>
              </w:rPr>
              <w:t>IA, OC, RC</w:t>
            </w:r>
          </w:p>
        </w:tc>
        <w:tc>
          <w:tcPr>
            <w:tcW w:type="dxa" w:w="1662"/>
          </w:tcPr>
          <w:p>
            <w:pPr>
              <w:spacing w:line="264" w:lineRule="auto" w:after="40"/>
            </w:pPr>
            <w:r>
              <w:rPr>
                <w:rFonts w:ascii="Times New Roman" w:hAnsi="Times New Roman"/>
                <w:sz w:val="16"/>
              </w:rPr>
              <w:t>Master Report</w:t>
            </w:r>
          </w:p>
        </w:tc>
      </w:tr>
      <w:tr>
        <w:tc>
          <w:tcPr>
            <w:tcW w:type="dxa" w:w="1662"/>
          </w:tcPr>
          <w:p>
            <w:pPr>
              <w:spacing w:line="264" w:lineRule="auto" w:after="40"/>
            </w:pPr>
            <w:r>
              <w:rPr>
                <w:rFonts w:ascii="Times New Roman" w:hAnsi="Times New Roman"/>
                <w:b/>
                <w:sz w:val="16"/>
              </w:rPr>
              <w:t>EVD-13</w:t>
            </w:r>
          </w:p>
        </w:tc>
        <w:tc>
          <w:tcPr>
            <w:tcW w:type="dxa" w:w="1662"/>
          </w:tcPr>
          <w:p>
            <w:pPr>
              <w:spacing w:line="264" w:lineRule="auto" w:after="40"/>
            </w:pPr>
            <w:r>
              <w:rPr>
                <w:rFonts w:ascii="Times New Roman" w:hAnsi="Times New Roman"/>
                <w:sz w:val="16"/>
              </w:rPr>
              <w:t>Market &amp; Competitor Study</w:t>
            </w:r>
          </w:p>
        </w:tc>
        <w:tc>
          <w:tcPr>
            <w:tcW w:type="dxa" w:w="1662"/>
          </w:tcPr>
          <w:p>
            <w:pPr>
              <w:spacing w:line="264" w:lineRule="auto" w:after="40"/>
            </w:pPr>
            <w:r>
              <w:rPr>
                <w:rFonts w:ascii="Times New Roman" w:hAnsi="Times New Roman"/>
                <w:sz w:val="16"/>
              </w:rPr>
              <w:t>Comprehensive TAM/SAM/SOM &amp; Porter's Five Forces report</w:t>
            </w:r>
          </w:p>
        </w:tc>
        <w:tc>
          <w:tcPr>
            <w:tcW w:type="dxa" w:w="1662"/>
          </w:tcPr>
          <w:p>
            <w:pPr>
              <w:spacing w:line="264" w:lineRule="auto" w:after="40"/>
            </w:pPr>
            <w:r>
              <w:rPr>
                <w:rFonts w:ascii="Times New Roman" w:hAnsi="Times New Roman"/>
                <w:sz w:val="16"/>
              </w:rPr>
              <w:t>RC, DP</w:t>
            </w:r>
          </w:p>
        </w:tc>
        <w:tc>
          <w:tcPr>
            <w:tcW w:type="dxa" w:w="1662"/>
          </w:tcPr>
          <w:p>
            <w:pPr>
              <w:spacing w:line="264" w:lineRule="auto" w:after="40"/>
            </w:pPr>
            <w:r>
              <w:rPr>
                <w:rFonts w:ascii="Times New Roman" w:hAnsi="Times New Roman"/>
                <w:sz w:val="16"/>
              </w:rPr>
              <w:t>docs/MARKET_ANALYSIS.md</w:t>
            </w:r>
          </w:p>
        </w:tc>
      </w:tr>
      <w:tr>
        <w:tc>
          <w:tcPr>
            <w:tcW w:type="dxa" w:w="1662"/>
          </w:tcPr>
          <w:p>
            <w:pPr>
              <w:spacing w:line="264" w:lineRule="auto" w:after="40"/>
            </w:pPr>
            <w:r>
              <w:rPr>
                <w:rFonts w:ascii="Times New Roman" w:hAnsi="Times New Roman"/>
                <w:b/>
                <w:sz w:val="16"/>
              </w:rPr>
              <w:t>EVD-14</w:t>
            </w:r>
          </w:p>
        </w:tc>
        <w:tc>
          <w:tcPr>
            <w:tcW w:type="dxa" w:w="1662"/>
          </w:tcPr>
          <w:p>
            <w:pPr>
              <w:spacing w:line="264" w:lineRule="auto" w:after="40"/>
            </w:pPr>
            <w:r>
              <w:rPr>
                <w:rFonts w:ascii="Times New Roman" w:hAnsi="Times New Roman"/>
                <w:sz w:val="16"/>
              </w:rPr>
              <w:t>Business Model Canvas Document</w:t>
            </w:r>
          </w:p>
        </w:tc>
        <w:tc>
          <w:tcPr>
            <w:tcW w:type="dxa" w:w="1662"/>
          </w:tcPr>
          <w:p>
            <w:pPr>
              <w:spacing w:line="264" w:lineRule="auto" w:after="40"/>
            </w:pPr>
            <w:r>
              <w:rPr>
                <w:rFonts w:ascii="Times New Roman" w:hAnsi="Times New Roman"/>
                <w:sz w:val="16"/>
              </w:rPr>
              <w:t>Comprehensive BMC deliverable with unit economic breakdowns</w:t>
            </w:r>
          </w:p>
        </w:tc>
        <w:tc>
          <w:tcPr>
            <w:tcW w:type="dxa" w:w="1662"/>
          </w:tcPr>
          <w:p>
            <w:pPr>
              <w:spacing w:line="264" w:lineRule="auto" w:after="40"/>
            </w:pPr>
            <w:r>
              <w:rPr>
                <w:rFonts w:ascii="Times New Roman" w:hAnsi="Times New Roman"/>
                <w:sz w:val="16"/>
              </w:rPr>
              <w:t>RC, DP</w:t>
            </w:r>
          </w:p>
        </w:tc>
        <w:tc>
          <w:tcPr>
            <w:tcW w:type="dxa" w:w="1662"/>
          </w:tcPr>
          <w:p>
            <w:pPr>
              <w:spacing w:line="264" w:lineRule="auto" w:after="40"/>
            </w:pPr>
            <w:r>
              <w:rPr>
                <w:rFonts w:ascii="Times New Roman" w:hAnsi="Times New Roman"/>
                <w:sz w:val="16"/>
              </w:rPr>
              <w:t>docs/BMC.md</w:t>
            </w:r>
          </w:p>
        </w:tc>
      </w:tr>
      <w:tr>
        <w:tc>
          <w:tcPr>
            <w:tcW w:type="dxa" w:w="1662"/>
          </w:tcPr>
          <w:p>
            <w:pPr>
              <w:spacing w:line="264" w:lineRule="auto" w:after="40"/>
            </w:pPr>
            <w:r>
              <w:rPr>
                <w:rFonts w:ascii="Times New Roman" w:hAnsi="Times New Roman"/>
                <w:b/>
                <w:sz w:val="16"/>
              </w:rPr>
              <w:t>EVD-15</w:t>
            </w:r>
          </w:p>
        </w:tc>
        <w:tc>
          <w:tcPr>
            <w:tcW w:type="dxa" w:w="1662"/>
          </w:tcPr>
          <w:p>
            <w:pPr>
              <w:spacing w:line="264" w:lineRule="auto" w:after="40"/>
            </w:pPr>
            <w:r>
              <w:rPr>
                <w:rFonts w:ascii="Times New Roman" w:hAnsi="Times New Roman"/>
                <w:sz w:val="16"/>
              </w:rPr>
              <w:t>Final Pitch Deck &amp; Defense</w:t>
            </w:r>
          </w:p>
        </w:tc>
        <w:tc>
          <w:tcPr>
            <w:tcW w:type="dxa" w:w="1662"/>
          </w:tcPr>
          <w:p>
            <w:pPr>
              <w:spacing w:line="264" w:lineRule="auto" w:after="40"/>
            </w:pPr>
            <w:r>
              <w:rPr>
                <w:rFonts w:ascii="Times New Roman" w:hAnsi="Times New Roman"/>
                <w:sz w:val="16"/>
              </w:rPr>
              <w:t>10-slide PowerPoint &amp; PDF presentation with Q&amp;A battlecards</w:t>
            </w:r>
          </w:p>
        </w:tc>
        <w:tc>
          <w:tcPr>
            <w:tcW w:type="dxa" w:w="1662"/>
          </w:tcPr>
          <w:p>
            <w:pPr>
              <w:spacing w:line="264" w:lineRule="auto" w:after="40"/>
            </w:pPr>
            <w:r>
              <w:rPr>
                <w:rFonts w:ascii="Times New Roman" w:hAnsi="Times New Roman"/>
                <w:sz w:val="16"/>
              </w:rPr>
              <w:t>OC, IA, TL</w:t>
            </w:r>
          </w:p>
        </w:tc>
        <w:tc>
          <w:tcPr>
            <w:tcW w:type="dxa" w:w="1662"/>
          </w:tcPr>
          <w:p>
            <w:pPr>
              <w:spacing w:line="264" w:lineRule="auto" w:after="40"/>
            </w:pPr>
            <w:r>
              <w:rPr>
                <w:rFonts w:ascii="Times New Roman" w:hAnsi="Times New Roman"/>
                <w:sz w:val="16"/>
              </w:rPr>
              <w:t>AgroLoop_Pitch.pptx</w:t>
            </w:r>
          </w:p>
        </w:tc>
      </w:tr>
    </w:tbl>
    <w:p>
      <w:pPr>
        <w:keepNext/>
        <w:spacing w:before="280" w:after="120"/>
        <w:jc w:val="left"/>
      </w:pPr>
      <w:r>
        <w:rPr>
          <w:rFonts w:ascii="Times New Roman" w:hAnsi="Times New Roman"/>
          <w:b/>
          <w:color w:val="047857"/>
          <w:sz w:val="28"/>
        </w:rPr>
        <w:t>5.3 Teamwork and Leadership: Mentoring Coordination &amp; Partner Interactions</w:t>
      </w:r>
    </w:p>
    <w:p>
      <w:pPr>
        <w:spacing w:before="0" w:after="120" w:line="360" w:lineRule="auto"/>
        <w:jc w:val="left"/>
      </w:pPr>
      <w:r>
        <w:rPr>
          <w:rFonts w:ascii="Times New Roman" w:hAnsi="Times New Roman"/>
          <w:b w:val="0"/>
          <w:i w:val="0"/>
          <w:sz w:val="24"/>
        </w:rPr>
        <w:t>Throughout the 14-week semester, Veer Nagda demonstrated consistent leadership and professional accountability, maintaining weekly mentoring consultations with faculty mentor Prof. Deepali A. Maste. Table 5.2 summarizes the key mentoring sessions and outcomes.</w:t>
      </w:r>
    </w:p>
    <w:p>
      <w:pPr>
        <w:spacing w:before="200" w:after="80" w:line="360" w:lineRule="auto"/>
        <w:jc w:val="left"/>
      </w:pPr>
      <w:r>
        <w:rPr>
          <w:rFonts w:ascii="Times New Roman" w:hAnsi="Times New Roman"/>
          <w:b/>
          <w:i w:val="0"/>
          <w:sz w:val="20"/>
        </w:rPr>
        <w:t>Table 5.2: Summary of Weekly Mentoring Meetings with Prof. Deepali A. Maste</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pPr>
              <w:spacing w:line="264" w:lineRule="auto" w:after="40"/>
            </w:pPr>
            <w:r>
              <w:rPr>
                <w:rFonts w:ascii="Times New Roman" w:hAnsi="Times New Roman"/>
                <w:b/>
                <w:sz w:val="17"/>
              </w:rPr>
              <w:t>Week &amp; Date</w:t>
            </w:r>
          </w:p>
        </w:tc>
        <w:tc>
          <w:tcPr>
            <w:tcW w:type="dxa" w:w="2077"/>
            <w:shd w:fill="F1F5F9"/>
          </w:tcPr>
          <w:p>
            <w:pPr>
              <w:spacing w:line="264" w:lineRule="auto" w:after="40"/>
            </w:pPr>
            <w:r>
              <w:rPr>
                <w:rFonts w:ascii="Times New Roman" w:hAnsi="Times New Roman"/>
                <w:b/>
                <w:sz w:val="17"/>
              </w:rPr>
              <w:t>Focus Area / Agenda</w:t>
            </w:r>
          </w:p>
        </w:tc>
        <w:tc>
          <w:tcPr>
            <w:tcW w:type="dxa" w:w="2077"/>
            <w:shd w:fill="F1F5F9"/>
          </w:tcPr>
          <w:p>
            <w:pPr>
              <w:spacing w:line="264" w:lineRule="auto" w:after="40"/>
            </w:pPr>
            <w:r>
              <w:rPr>
                <w:rFonts w:ascii="Times New Roman" w:hAnsi="Times New Roman"/>
                <w:b/>
                <w:sz w:val="17"/>
              </w:rPr>
              <w:t>Discussions &amp; Guidance Received</w:t>
            </w:r>
          </w:p>
        </w:tc>
        <w:tc>
          <w:tcPr>
            <w:tcW w:type="dxa" w:w="2077"/>
            <w:shd w:fill="F1F5F9"/>
          </w:tcPr>
          <w:p>
            <w:pPr>
              <w:spacing w:line="264" w:lineRule="auto" w:after="40"/>
            </w:pPr>
            <w:r>
              <w:rPr>
                <w:rFonts w:ascii="Times New Roman" w:hAnsi="Times New Roman"/>
                <w:b/>
                <w:sz w:val="17"/>
              </w:rPr>
              <w:t>Sign-Off Status</w:t>
            </w:r>
          </w:p>
        </w:tc>
      </w:tr>
      <w:tr>
        <w:tc>
          <w:tcPr>
            <w:tcW w:type="dxa" w:w="2077"/>
          </w:tcPr>
          <w:p>
            <w:pPr>
              <w:spacing w:line="264" w:lineRule="auto" w:after="40"/>
            </w:pPr>
            <w:r>
              <w:rPr>
                <w:rFonts w:ascii="Times New Roman" w:hAnsi="Times New Roman"/>
                <w:sz w:val="16"/>
              </w:rPr>
              <w:t>Week 1 (17-Jul-2026)</w:t>
            </w:r>
          </w:p>
        </w:tc>
        <w:tc>
          <w:tcPr>
            <w:tcW w:type="dxa" w:w="2077"/>
          </w:tcPr>
          <w:p>
            <w:pPr>
              <w:spacing w:line="264" w:lineRule="auto" w:after="40"/>
            </w:pPr>
            <w:r>
              <w:rPr>
                <w:rFonts w:ascii="Times New Roman" w:hAnsi="Times New Roman"/>
                <w:sz w:val="16"/>
              </w:rPr>
              <w:t>Vertical Selection &amp; Problem Scoping</w:t>
            </w:r>
          </w:p>
        </w:tc>
        <w:tc>
          <w:tcPr>
            <w:tcW w:type="dxa" w:w="2077"/>
          </w:tcPr>
          <w:p>
            <w:pPr>
              <w:spacing w:line="264" w:lineRule="auto" w:after="40"/>
            </w:pPr>
            <w:r>
              <w:rPr>
                <w:rFonts w:ascii="Times New Roman" w:hAnsi="Times New Roman"/>
                <w:sz w:val="16"/>
              </w:rPr>
              <w:t>Advised selecting Entrepreneurship vertical; focus on verified circular unit economics.</w:t>
            </w:r>
          </w:p>
        </w:tc>
        <w:tc>
          <w:tcPr>
            <w:tcW w:type="dxa" w:w="2077"/>
          </w:tcPr>
          <w:p>
            <w:pPr>
              <w:spacing w:line="264" w:lineRule="auto" w:after="40"/>
            </w:pPr>
            <w:r>
              <w:rPr>
                <w:rFonts w:ascii="Times New Roman" w:hAnsi="Times New Roman"/>
                <w:b/>
                <w:sz w:val="16"/>
              </w:rPr>
              <w:t>Approved</w:t>
            </w:r>
          </w:p>
        </w:tc>
      </w:tr>
      <w:tr>
        <w:tc>
          <w:tcPr>
            <w:tcW w:type="dxa" w:w="2077"/>
          </w:tcPr>
          <w:p>
            <w:pPr>
              <w:spacing w:line="264" w:lineRule="auto" w:after="40"/>
            </w:pPr>
            <w:r>
              <w:rPr>
                <w:rFonts w:ascii="Times New Roman" w:hAnsi="Times New Roman"/>
                <w:sz w:val="16"/>
              </w:rPr>
              <w:t>Week 3 (31-Jul-2026)</w:t>
            </w:r>
          </w:p>
        </w:tc>
        <w:tc>
          <w:tcPr>
            <w:tcW w:type="dxa" w:w="2077"/>
          </w:tcPr>
          <w:p>
            <w:pPr>
              <w:spacing w:line="264" w:lineRule="auto" w:after="40"/>
            </w:pPr>
            <w:r>
              <w:rPr>
                <w:rFonts w:ascii="Times New Roman" w:hAnsi="Times New Roman"/>
                <w:sz w:val="16"/>
              </w:rPr>
              <w:t>Customer Survey &amp; Processing Decisions</w:t>
            </w:r>
          </w:p>
        </w:tc>
        <w:tc>
          <w:tcPr>
            <w:tcW w:type="dxa" w:w="2077"/>
          </w:tcPr>
          <w:p>
            <w:pPr>
              <w:spacing w:line="264" w:lineRule="auto" w:after="40"/>
            </w:pPr>
            <w:r>
              <w:rPr>
                <w:rFonts w:ascii="Times New Roman" w:hAnsi="Times New Roman"/>
                <w:sz w:val="16"/>
              </w:rPr>
              <w:t>Recommended multi-stream bioconversion to eliminate odor and maximize gross margins.</w:t>
            </w:r>
          </w:p>
        </w:tc>
        <w:tc>
          <w:tcPr>
            <w:tcW w:type="dxa" w:w="2077"/>
          </w:tcPr>
          <w:p>
            <w:pPr>
              <w:spacing w:line="264" w:lineRule="auto" w:after="40"/>
            </w:pPr>
            <w:r>
              <w:rPr>
                <w:rFonts w:ascii="Times New Roman" w:hAnsi="Times New Roman"/>
                <w:b/>
                <w:sz w:val="16"/>
              </w:rPr>
              <w:t>Approved</w:t>
            </w:r>
          </w:p>
        </w:tc>
      </w:tr>
      <w:tr>
        <w:tc>
          <w:tcPr>
            <w:tcW w:type="dxa" w:w="2077"/>
          </w:tcPr>
          <w:p>
            <w:pPr>
              <w:spacing w:line="264" w:lineRule="auto" w:after="40"/>
            </w:pPr>
            <w:r>
              <w:rPr>
                <w:rFonts w:ascii="Times New Roman" w:hAnsi="Times New Roman"/>
                <w:sz w:val="16"/>
              </w:rPr>
              <w:t>Week 4 (07-Aug-2026)</w:t>
            </w:r>
          </w:p>
        </w:tc>
        <w:tc>
          <w:tcPr>
            <w:tcW w:type="dxa" w:w="2077"/>
          </w:tcPr>
          <w:p>
            <w:pPr>
              <w:spacing w:line="264" w:lineRule="auto" w:after="40"/>
            </w:pPr>
            <w:r>
              <w:rPr>
                <w:rFonts w:ascii="Times New Roman" w:hAnsi="Times New Roman"/>
                <w:sz w:val="16"/>
              </w:rPr>
              <w:t>ICA Review I Presentation</w:t>
            </w:r>
          </w:p>
        </w:tc>
        <w:tc>
          <w:tcPr>
            <w:tcW w:type="dxa" w:w="2077"/>
          </w:tcPr>
          <w:p>
            <w:pPr>
              <w:spacing w:line="264" w:lineRule="auto" w:after="40"/>
            </w:pPr>
            <w:r>
              <w:rPr>
                <w:rFonts w:ascii="Times New Roman" w:hAnsi="Times New Roman"/>
                <w:sz w:val="16"/>
              </w:rPr>
              <w:t>Evaluated initial architecture and stakeholder needs; scored 9.5 / 10.</w:t>
            </w:r>
          </w:p>
        </w:tc>
        <w:tc>
          <w:tcPr>
            <w:tcW w:type="dxa" w:w="2077"/>
          </w:tcPr>
          <w:p>
            <w:pPr>
              <w:spacing w:line="264" w:lineRule="auto" w:after="40"/>
            </w:pPr>
            <w:r>
              <w:rPr>
                <w:rFonts w:ascii="Times New Roman" w:hAnsi="Times New Roman"/>
                <w:b/>
                <w:sz w:val="16"/>
              </w:rPr>
              <w:t>Signed Off</w:t>
            </w:r>
          </w:p>
        </w:tc>
      </w:tr>
      <w:tr>
        <w:tc>
          <w:tcPr>
            <w:tcW w:type="dxa" w:w="2077"/>
          </w:tcPr>
          <w:p>
            <w:pPr>
              <w:spacing w:line="264" w:lineRule="auto" w:after="40"/>
            </w:pPr>
            <w:r>
              <w:rPr>
                <w:rFonts w:ascii="Times New Roman" w:hAnsi="Times New Roman"/>
                <w:sz w:val="16"/>
              </w:rPr>
              <w:t>Week 7 (28-Aug-2026)</w:t>
            </w:r>
          </w:p>
        </w:tc>
        <w:tc>
          <w:tcPr>
            <w:tcW w:type="dxa" w:w="2077"/>
          </w:tcPr>
          <w:p>
            <w:pPr>
              <w:spacing w:line="264" w:lineRule="auto" w:after="40"/>
            </w:pPr>
            <w:r>
              <w:rPr>
                <w:rFonts w:ascii="Times New Roman" w:hAnsi="Times New Roman"/>
                <w:sz w:val="16"/>
              </w:rPr>
              <w:t>AI Agronomist &amp; INNOVATE 360 Prep</w:t>
            </w:r>
          </w:p>
        </w:tc>
        <w:tc>
          <w:tcPr>
            <w:tcW w:type="dxa" w:w="2077"/>
          </w:tcPr>
          <w:p>
            <w:pPr>
              <w:spacing w:line="264" w:lineRule="auto" w:after="40"/>
            </w:pPr>
            <w:r>
              <w:rPr>
                <w:rFonts w:ascii="Times New Roman" w:hAnsi="Times New Roman"/>
                <w:sz w:val="16"/>
              </w:rPr>
              <w:t>Advised adding deterministic ICAR guardrails to eliminate toxic LLM hallucinations.</w:t>
            </w:r>
          </w:p>
        </w:tc>
        <w:tc>
          <w:tcPr>
            <w:tcW w:type="dxa" w:w="2077"/>
          </w:tcPr>
          <w:p>
            <w:pPr>
              <w:spacing w:line="264" w:lineRule="auto" w:after="40"/>
            </w:pPr>
            <w:r>
              <w:rPr>
                <w:rFonts w:ascii="Times New Roman" w:hAnsi="Times New Roman"/>
                <w:b/>
                <w:sz w:val="16"/>
              </w:rPr>
              <w:t>Approved</w:t>
            </w:r>
          </w:p>
        </w:tc>
      </w:tr>
      <w:tr>
        <w:tc>
          <w:tcPr>
            <w:tcW w:type="dxa" w:w="2077"/>
          </w:tcPr>
          <w:p>
            <w:pPr>
              <w:spacing w:line="264" w:lineRule="auto" w:after="40"/>
            </w:pPr>
            <w:r>
              <w:rPr>
                <w:rFonts w:ascii="Times New Roman" w:hAnsi="Times New Roman"/>
                <w:sz w:val="16"/>
              </w:rPr>
              <w:t>Week 8 (04-Sep-2026)</w:t>
            </w:r>
          </w:p>
        </w:tc>
        <w:tc>
          <w:tcPr>
            <w:tcW w:type="dxa" w:w="2077"/>
          </w:tcPr>
          <w:p>
            <w:pPr>
              <w:spacing w:line="264" w:lineRule="auto" w:after="40"/>
            </w:pPr>
            <w:r>
              <w:rPr>
                <w:rFonts w:ascii="Times New Roman" w:hAnsi="Times New Roman"/>
                <w:sz w:val="16"/>
              </w:rPr>
              <w:t>INNOVATE 360° Pitch Competition</w:t>
            </w:r>
          </w:p>
        </w:tc>
        <w:tc>
          <w:tcPr>
            <w:tcW w:type="dxa" w:w="2077"/>
          </w:tcPr>
          <w:p>
            <w:pPr>
              <w:spacing w:line="264" w:lineRule="auto" w:after="40"/>
            </w:pPr>
            <w:r>
              <w:rPr>
                <w:rFonts w:ascii="Times New Roman" w:hAnsi="Times New Roman"/>
                <w:sz w:val="16"/>
              </w:rPr>
              <w:t>Secured 3rd Position across MPSTME; commended for working demo and unit economics.</w:t>
            </w:r>
          </w:p>
        </w:tc>
        <w:tc>
          <w:tcPr>
            <w:tcW w:type="dxa" w:w="2077"/>
          </w:tcPr>
          <w:p>
            <w:pPr>
              <w:spacing w:line="264" w:lineRule="auto" w:after="40"/>
            </w:pPr>
            <w:r>
              <w:rPr>
                <w:rFonts w:ascii="Times New Roman" w:hAnsi="Times New Roman"/>
                <w:b/>
                <w:sz w:val="16"/>
              </w:rPr>
              <w:t>Awarded</w:t>
            </w:r>
          </w:p>
        </w:tc>
      </w:tr>
      <w:tr>
        <w:tc>
          <w:tcPr>
            <w:tcW w:type="dxa" w:w="2077"/>
          </w:tcPr>
          <w:p>
            <w:pPr>
              <w:spacing w:line="264" w:lineRule="auto" w:after="40"/>
            </w:pPr>
            <w:r>
              <w:rPr>
                <w:rFonts w:ascii="Times New Roman" w:hAnsi="Times New Roman"/>
                <w:sz w:val="16"/>
              </w:rPr>
              <w:t>Week 9 (11-Sep-2026)</w:t>
            </w:r>
          </w:p>
        </w:tc>
        <w:tc>
          <w:tcPr>
            <w:tcW w:type="dxa" w:w="2077"/>
          </w:tcPr>
          <w:p>
            <w:pPr>
              <w:spacing w:line="264" w:lineRule="auto" w:after="40"/>
            </w:pPr>
            <w:r>
              <w:rPr>
                <w:rFonts w:ascii="Times New Roman" w:hAnsi="Times New Roman"/>
                <w:sz w:val="16"/>
              </w:rPr>
              <w:t>ICA Review II Presentation</w:t>
            </w:r>
          </w:p>
        </w:tc>
        <w:tc>
          <w:tcPr>
            <w:tcW w:type="dxa" w:w="2077"/>
          </w:tcPr>
          <w:p>
            <w:pPr>
              <w:spacing w:line="264" w:lineRule="auto" w:after="40"/>
            </w:pPr>
            <w:r>
              <w:rPr>
                <w:rFonts w:ascii="Times New Roman" w:hAnsi="Times New Roman"/>
                <w:sz w:val="16"/>
              </w:rPr>
              <w:t>Evaluated live Next.js build, Playwright test results, and BMC; scored 9.5 / 10.</w:t>
            </w:r>
          </w:p>
        </w:tc>
        <w:tc>
          <w:tcPr>
            <w:tcW w:type="dxa" w:w="2077"/>
          </w:tcPr>
          <w:p>
            <w:pPr>
              <w:spacing w:line="264" w:lineRule="auto" w:after="40"/>
            </w:pPr>
            <w:r>
              <w:rPr>
                <w:rFonts w:ascii="Times New Roman" w:hAnsi="Times New Roman"/>
                <w:b/>
                <w:sz w:val="16"/>
              </w:rPr>
              <w:t>Signed Off</w:t>
            </w:r>
          </w:p>
        </w:tc>
      </w:tr>
      <w:tr>
        <w:tc>
          <w:tcPr>
            <w:tcW w:type="dxa" w:w="2077"/>
          </w:tcPr>
          <w:p>
            <w:pPr>
              <w:spacing w:line="264" w:lineRule="auto" w:after="40"/>
            </w:pPr>
            <w:r>
              <w:rPr>
                <w:rFonts w:ascii="Times New Roman" w:hAnsi="Times New Roman"/>
                <w:sz w:val="16"/>
              </w:rPr>
              <w:t>Week 10 (18-Sep-2026)</w:t>
            </w:r>
          </w:p>
        </w:tc>
        <w:tc>
          <w:tcPr>
            <w:tcW w:type="dxa" w:w="2077"/>
          </w:tcPr>
          <w:p>
            <w:pPr>
              <w:spacing w:line="264" w:lineRule="auto" w:after="40"/>
            </w:pPr>
            <w:r>
              <w:rPr>
                <w:rFonts w:ascii="Times New Roman" w:hAnsi="Times New Roman"/>
                <w:sz w:val="16"/>
              </w:rPr>
              <w:t>Palghar Farmer Trials &amp; FCO 1985</w:t>
            </w:r>
          </w:p>
        </w:tc>
        <w:tc>
          <w:tcPr>
            <w:tcW w:type="dxa" w:w="2077"/>
          </w:tcPr>
          <w:p>
            <w:pPr>
              <w:spacing w:line="264" w:lineRule="auto" w:after="40"/>
            </w:pPr>
            <w:r>
              <w:rPr>
                <w:rFonts w:ascii="Times New Roman" w:hAnsi="Times New Roman"/>
                <w:sz w:val="16"/>
              </w:rPr>
              <w:t>Advised documenting empirical trial protocols and soil moisture retention gains.</w:t>
            </w:r>
          </w:p>
        </w:tc>
        <w:tc>
          <w:tcPr>
            <w:tcW w:type="dxa" w:w="2077"/>
          </w:tcPr>
          <w:p>
            <w:pPr>
              <w:spacing w:line="264" w:lineRule="auto" w:after="40"/>
            </w:pPr>
            <w:r>
              <w:rPr>
                <w:rFonts w:ascii="Times New Roman" w:hAnsi="Times New Roman"/>
                <w:b/>
                <w:sz w:val="16"/>
              </w:rPr>
              <w:t>Approved</w:t>
            </w:r>
          </w:p>
        </w:tc>
      </w:tr>
      <w:tr>
        <w:tc>
          <w:tcPr>
            <w:tcW w:type="dxa" w:w="2077"/>
          </w:tcPr>
          <w:p>
            <w:pPr>
              <w:spacing w:line="264" w:lineRule="auto" w:after="40"/>
            </w:pPr>
            <w:r>
              <w:rPr>
                <w:rFonts w:ascii="Times New Roman" w:hAnsi="Times New Roman"/>
                <w:sz w:val="16"/>
              </w:rPr>
              <w:t>Week 13 (12-Oct-2026)</w:t>
            </w:r>
          </w:p>
        </w:tc>
        <w:tc>
          <w:tcPr>
            <w:tcW w:type="dxa" w:w="2077"/>
          </w:tcPr>
          <w:p>
            <w:pPr>
              <w:spacing w:line="264" w:lineRule="auto" w:after="40"/>
            </w:pPr>
            <w:r>
              <w:rPr>
                <w:rFonts w:ascii="Times New Roman" w:hAnsi="Times New Roman"/>
                <w:sz w:val="16"/>
              </w:rPr>
              <w:t>Pre-Submission Audit &amp; Report Review</w:t>
            </w:r>
          </w:p>
        </w:tc>
        <w:tc>
          <w:tcPr>
            <w:tcW w:type="dxa" w:w="2077"/>
          </w:tcPr>
          <w:p>
            <w:pPr>
              <w:spacing w:line="264" w:lineRule="auto" w:after="40"/>
            </w:pPr>
            <w:r>
              <w:rPr>
                <w:rFonts w:ascii="Times New Roman" w:hAnsi="Times New Roman"/>
                <w:sz w:val="16"/>
              </w:rPr>
              <w:t>Inspected 5 deliverables and 7 appendices; cleared report for final submission.</w:t>
            </w:r>
          </w:p>
        </w:tc>
        <w:tc>
          <w:tcPr>
            <w:tcW w:type="dxa" w:w="2077"/>
          </w:tcPr>
          <w:p>
            <w:pPr>
              <w:spacing w:line="264" w:lineRule="auto" w:after="40"/>
            </w:pPr>
            <w:r>
              <w:rPr>
                <w:rFonts w:ascii="Times New Roman" w:hAnsi="Times New Roman"/>
                <w:b/>
                <w:sz w:val="16"/>
              </w:rPr>
              <w:t>Signed Off</w:t>
            </w:r>
          </w:p>
        </w:tc>
      </w:tr>
    </w:tbl>
    <w:p>
      <w:pPr>
        <w:keepNext/>
        <w:spacing w:before="280" w:after="120"/>
        <w:jc w:val="left"/>
      </w:pPr>
      <w:r>
        <w:rPr>
          <w:rFonts w:ascii="Times New Roman" w:hAnsi="Times New Roman"/>
          <w:b/>
          <w:color w:val="047857"/>
          <w:sz w:val="28"/>
        </w:rPr>
        <w:t>5.4 Reflective and Critical Thinking: Decisions, Challenges and Lessons Learned</w:t>
      </w:r>
    </w:p>
    <w:p>
      <w:pPr>
        <w:spacing w:before="40" w:after="80" w:line="360" w:lineRule="auto"/>
        <w:jc w:val="left"/>
      </w:pPr>
      <w:r>
        <w:rPr>
          <w:rFonts w:ascii="Times New Roman" w:hAnsi="Times New Roman"/>
          <w:b w:val="0"/>
          <w:i w:val="0"/>
          <w:sz w:val="24"/>
        </w:rPr>
        <w:t>Critical Reflection 1 (The Pitfall of Centralized Composting): My initial hypothesis was that municipal authorities would eagerly purchase compost in bulk. Field research shattered this assumption: municipal concessionaires produce toxic, plastic-contaminated sludge that farmers refuse to touch. I pivoted the entire model to doorstep source verification (&lt;5% plastic threshold) and premium multi-stream bio-inputs (Biochar and Liquid Bio-Fertiliser). This single architectural decision increased product realization from ₹3.00/kg to ₹14.50/kg.</w:t>
      </w:r>
    </w:p>
    <w:p>
      <w:pPr>
        <w:spacing w:before="40" w:after="80" w:line="360" w:lineRule="auto"/>
        <w:jc w:val="left"/>
      </w:pPr>
      <w:r>
        <w:rPr>
          <w:rFonts w:ascii="Times New Roman" w:hAnsi="Times New Roman"/>
          <w:b w:val="0"/>
          <w:i w:val="0"/>
          <w:sz w:val="24"/>
        </w:rPr>
        <w:t>Critical Reflection 2 (Balancing Generative AI with Agronomic Safety): Integrating LLMs into agricultural advisory is dangerous if left unbounded. In early testing, Gemini recommended applying 5 tonnes of biochar per acre, which would have immobilized soil nitrogen and stunted crop growth. Recognizing this liability, I designed a deterministic agronomic pre- and post-validation layer that strictly clamps dosage recommendations to ICAR package of practices. This taught me that in mission-critical domains, AI must always be governed by deterministic domain rules.</w:t>
      </w:r>
    </w:p>
    <w:p>
      <w:pPr>
        <w:spacing w:before="40" w:after="120" w:line="360" w:lineRule="auto"/>
        <w:jc w:val="left"/>
      </w:pPr>
      <w:r>
        <w:rPr>
          <w:rFonts w:ascii="Times New Roman" w:hAnsi="Times New Roman"/>
          <w:b w:val="0"/>
          <w:i w:val="0"/>
          <w:sz w:val="24"/>
        </w:rPr>
        <w:t>Critical Reflection 3 (Managing Demonstrability under Network Uncertainty): Viva demonstrations frequently fail due to unstable campus WiFi. To eliminate this risk, I engineered an in-memory and local-storage client fallback engine that pre-seeds realistic pickups, batches, orders, and compliance certificates. This ensured flawless live demonstrations during INNOVATE 360° and ICA Reviews.</w:t>
      </w:r>
    </w:p>
    <w:p>
      <w:pPr>
        <w:keepNext/>
        <w:spacing w:before="280" w:after="120"/>
        <w:jc w:val="left"/>
      </w:pPr>
      <w:r>
        <w:rPr>
          <w:rFonts w:ascii="Times New Roman" w:hAnsi="Times New Roman"/>
          <w:b/>
          <w:color w:val="047857"/>
          <w:sz w:val="28"/>
        </w:rPr>
        <w:t>5.5 Project Management, Professional Conduct and AI-Use Disclosure</w:t>
      </w:r>
    </w:p>
    <w:p>
      <w:pPr>
        <w:spacing w:before="0" w:after="120" w:line="360" w:lineRule="auto"/>
        <w:jc w:val="left"/>
      </w:pPr>
      <w:r>
        <w:rPr>
          <w:rFonts w:ascii="Times New Roman" w:hAnsi="Times New Roman"/>
          <w:b w:val="0"/>
          <w:i w:val="0"/>
          <w:sz w:val="24"/>
        </w:rPr>
        <w:t>All engineering, data collection, and entrepreneurial modeling were conducted with strict professional integrity. Full attribution is accorded to municipal bodies, academic papers, and survey respondents. Intellectual property developed under this course is governed by the IPR Policy of SVKM's NMIMS.</w:t>
      </w:r>
    </w:p>
    <w:p>
      <w:pPr>
        <w:spacing w:before="0" w:after="120" w:line="360" w:lineRule="auto"/>
        <w:jc w:val="left"/>
      </w:pPr>
      <w:r>
        <w:rPr>
          <w:rFonts w:ascii="Times New Roman" w:hAnsi="Times New Roman"/>
          <w:b w:val="0"/>
          <w:i w:val="0"/>
          <w:sz w:val="24"/>
        </w:rPr>
        <w:t>AI-Use Disclosure: In accordance with University guidelines, Google Gemini 1.5 Pro was utilized as an assistive tool for synthesizing literature survey notes, refining TypeScript type definitions, and generating synthetic test cases for Playwright E2E suites. All generated code and text were rigorously reviewed, debugged, and empirically verified by the student. A detailed disclosure log is provided in Appendix VII.</w:t>
      </w:r>
    </w:p>
    <w:p>
      <w:pPr>
        <w:spacing w:before="120" w:after="120" w:line="360" w:lineRule="auto"/>
        <w:jc w:val="left"/>
      </w:pPr>
      <w:r>
        <w:rPr>
          <w:rFonts w:ascii="Times New Roman" w:hAnsi="Times New Roman"/>
          <w:b w:val="0"/>
          <w:i/>
          <w:sz w:val="22"/>
        </w:rPr>
        <w:t>Summary: Chapter 5 provided Veer Nagda's individual contribution matrix with 15 Evidence IDs, documented weekly mentoring logs in Table 5.2, shared critical reflections on pivots and AI safety, and disclosed AI usage.</w:t>
      </w:r>
    </w:p>
    <w:p>
      <w:r>
        <w:br w:type="page"/>
      </w:r>
    </w:p>
    <w:p>
      <w:pPr>
        <w:keepNext/>
        <w:spacing w:before="360" w:after="160"/>
        <w:jc w:val="left"/>
      </w:pPr>
      <w:r>
        <w:rPr>
          <w:rFonts w:ascii="Times New Roman" w:hAnsi="Times New Roman"/>
          <w:b/>
          <w:color w:val="064E3B"/>
          <w:sz w:val="36"/>
        </w:rPr>
        <w:t>Chapter 6: Conclusion and Future Scope</w:t>
      </w:r>
    </w:p>
    <w:p>
      <w:pPr>
        <w:spacing w:before="0" w:after="240" w:line="360" w:lineRule="auto"/>
        <w:jc w:val="left"/>
      </w:pPr>
      <w:r>
        <w:rPr>
          <w:rFonts w:ascii="Times New Roman" w:hAnsi="Times New Roman"/>
          <w:b w:val="0"/>
          <w:i/>
          <w:sz w:val="23"/>
        </w:rPr>
        <w:t>This chapter summarizes the primary outcomes achieved during Design Experience III, highlights the validated circular bio-economy model, and articulates a structured three-phase commercialization roadmap and technical handover notes.</w:t>
      </w:r>
    </w:p>
    <w:p>
      <w:pPr>
        <w:keepNext/>
        <w:spacing w:before="280" w:after="120"/>
        <w:jc w:val="left"/>
      </w:pPr>
      <w:r>
        <w:rPr>
          <w:rFonts w:ascii="Times New Roman" w:hAnsi="Times New Roman"/>
          <w:b/>
          <w:color w:val="047857"/>
          <w:sz w:val="28"/>
        </w:rPr>
        <w:t>6.1 Summary of Work Carried Out and Key Conclusions</w:t>
      </w:r>
    </w:p>
    <w:p>
      <w:pPr>
        <w:spacing w:before="0" w:after="120" w:line="360" w:lineRule="auto"/>
        <w:jc w:val="left"/>
      </w:pPr>
      <w:r>
        <w:rPr>
          <w:rFonts w:ascii="Times New Roman" w:hAnsi="Times New Roman"/>
          <w:b w:val="0"/>
          <w:i w:val="0"/>
          <w:sz w:val="24"/>
        </w:rPr>
        <w:t>Over the course of Academic Year 2026–27, AgroLoop successfully demonstrated the technical feasibility, agronomic efficacy, and commercial viability of closing the loop between urban food waste and rural soil health in the Mumbai Metropolitan Region. Key conclusions drawn include:</w:t>
      </w:r>
    </w:p>
    <w:p>
      <w:pPr>
        <w:spacing w:before="40" w:after="40" w:line="360" w:lineRule="auto"/>
        <w:jc w:val="left"/>
      </w:pPr>
      <w:r>
        <w:rPr>
          <w:rFonts w:ascii="Times New Roman" w:hAnsi="Times New Roman"/>
          <w:b w:val="0"/>
          <w:i w:val="0"/>
          <w:sz w:val="24"/>
        </w:rPr>
        <w:t>1. Technical Excellence: Built and verified a full-stack Next.js 15 PWA web platform with 60 generated pages, Supabase PostgreSQL with RLS, Bluetooth scale integration, and MapLibre GL telematics, achieving zero-error production compilation and automated Playwright E2E verification.</w:t>
      </w:r>
    </w:p>
    <w:p>
      <w:pPr>
        <w:spacing w:before="40" w:after="40" w:line="360" w:lineRule="auto"/>
        <w:jc w:val="left"/>
      </w:pPr>
      <w:r>
        <w:rPr>
          <w:rFonts w:ascii="Times New Roman" w:hAnsi="Times New Roman"/>
          <w:b w:val="0"/>
          <w:i w:val="0"/>
          <w:sz w:val="24"/>
        </w:rPr>
        <w:t>2. Biological Quality: Verified that combining Bokashi EM1 anaerobic fermentation with Eisenia fetida vermicomposting and 550°C biochar pyrolysis eliminates putrefactive odors (pH 4.0 within 48h) and produces high-humus bio-inputs strictly compliant with Fertilizer Control Order (FCO) 1985 standards (C:N 16.2:1, heavy metals undetectable).</w:t>
      </w:r>
    </w:p>
    <w:p>
      <w:pPr>
        <w:spacing w:before="40" w:after="40" w:line="360" w:lineRule="auto"/>
        <w:jc w:val="left"/>
      </w:pPr>
      <w:r>
        <w:rPr>
          <w:rFonts w:ascii="Times New Roman" w:hAnsi="Times New Roman"/>
          <w:b w:val="0"/>
          <w:i w:val="0"/>
          <w:sz w:val="24"/>
        </w:rPr>
        <w:t>3. Agronomic Impact: Validated in 12 Palghar smallholder farm trial plots that AgroLoop inputs enhance soil water retention by 28%, reduce synthetic fertilizer costs by 35%, and improve crop yields by 18.2%.</w:t>
      </w:r>
    </w:p>
    <w:p>
      <w:pPr>
        <w:spacing w:before="40" w:after="40" w:line="360" w:lineRule="auto"/>
        <w:jc w:val="left"/>
      </w:pPr>
      <w:r>
        <w:rPr>
          <w:rFonts w:ascii="Times New Roman" w:hAnsi="Times New Roman"/>
          <w:b w:val="0"/>
          <w:i w:val="0"/>
          <w:sz w:val="24"/>
        </w:rPr>
        <w:t>4. Commercial Viability: Validated a dual-revenue business model (B2B SWM compliance retainers + agricultural product sales) delivering a 56.5% gross processing margin and operational breakeven by Month 14.</w:t>
      </w:r>
    </w:p>
    <w:p>
      <w:pPr>
        <w:spacing w:before="40" w:after="120" w:line="360" w:lineRule="auto"/>
        <w:jc w:val="left"/>
      </w:pPr>
      <w:r>
        <w:rPr>
          <w:rFonts w:ascii="Times New Roman" w:hAnsi="Times New Roman"/>
          <w:b w:val="0"/>
          <w:i w:val="0"/>
          <w:sz w:val="24"/>
        </w:rPr>
        <w:t>5. External Recognition: Secured 3rd Position in the prestigious INNOVATE 360° (2026–27) challenge organized by the Department of Computer Engineering and SIG AI MPSTME, and initiated formal pre-incubation with Atal Incubation Centre (AIC - NMIMS).</w:t>
      </w:r>
    </w:p>
    <w:p>
      <w:pPr>
        <w:keepNext/>
        <w:spacing w:before="280" w:after="120"/>
        <w:jc w:val="left"/>
      </w:pPr>
      <w:r>
        <w:rPr>
          <w:rFonts w:ascii="Times New Roman" w:hAnsi="Times New Roman"/>
          <w:b/>
          <w:color w:val="047857"/>
          <w:sz w:val="28"/>
        </w:rPr>
        <w:t>6.2 Future Scope, Multi-Hub Scaling and Hand-over Notes</w:t>
      </w:r>
    </w:p>
    <w:p>
      <w:pPr>
        <w:spacing w:before="0" w:after="120" w:line="360" w:lineRule="auto"/>
        <w:jc w:val="left"/>
      </w:pPr>
      <w:r>
        <w:rPr>
          <w:rFonts w:ascii="Times New Roman" w:hAnsi="Times New Roman"/>
          <w:b w:val="0"/>
          <w:i w:val="0"/>
          <w:sz w:val="24"/>
        </w:rPr>
        <w:t>AgroLoop is architected for rapid commercial scaling across three defined operational phases:</w:t>
      </w:r>
    </w:p>
    <w:p>
      <w:pPr>
        <w:spacing w:before="40" w:after="40" w:line="360" w:lineRule="auto"/>
        <w:jc w:val="left"/>
      </w:pPr>
      <w:r>
        <w:rPr>
          <w:rFonts w:ascii="Times New Roman" w:hAnsi="Times New Roman"/>
          <w:b w:val="0"/>
          <w:i w:val="0"/>
          <w:sz w:val="24"/>
        </w:rPr>
        <w:t>• Phase 1 (Months 1–12): Commission the 5,000 sq. ft. pilot bio-refinery hub in Mahape Industrial Area, Navi Mumbai. Deploy four 3-wheeler EV cargo loaders covering Bandra and Powai, onboard 60 commercial kitchens and 20 gated societies, and supply 650 smallholders in Palghar, diverting 900 MT of food waste and generating ₹1.02 Crores in annual revenue.</w:t>
      </w:r>
    </w:p>
    <w:p>
      <w:pPr>
        <w:spacing w:before="40" w:after="40" w:line="360" w:lineRule="auto"/>
        <w:jc w:val="left"/>
      </w:pPr>
      <w:r>
        <w:rPr>
          <w:rFonts w:ascii="Times New Roman" w:hAnsi="Times New Roman"/>
          <w:b w:val="0"/>
          <w:i w:val="0"/>
          <w:sz w:val="24"/>
        </w:rPr>
        <w:t>• Phase 2 (Months 13–24): Expand operations across the Thane and Navi Mumbai industrial corridors, targeting corporate IT canteens (Mindspace, Reliance Jio, Tata Motors). Deploy two operational hubs diverting 2,160 MT/year, reaching positive EBITDA (+₹73.0 Lakhs) on ₹2.68 Crores revenue.</w:t>
      </w:r>
    </w:p>
    <w:p>
      <w:pPr>
        <w:spacing w:before="40" w:after="80" w:line="360" w:lineRule="auto"/>
        <w:jc w:val="left"/>
      </w:pPr>
      <w:r>
        <w:rPr>
          <w:rFonts w:ascii="Times New Roman" w:hAnsi="Times New Roman"/>
          <w:b w:val="0"/>
          <w:i w:val="0"/>
          <w:sz w:val="24"/>
        </w:rPr>
        <w:t>• Phase 3 (Months 25–36): Deploy modular, containerized bio-refinery units across Maharashtra's horticultural belts (Nashik, Satara, and Pune). Tokenize high-purity biochar carbon removal certificates (CORCs) on voluntary carbon markets, scaling to five hubs, diverting 5,400 MT/year, and generating ₹6.85 Crores in annual revenue with +₹2.25 Crores EBITDA.</w:t>
      </w:r>
    </w:p>
    <w:p>
      <w:pPr>
        <w:spacing w:before="0" w:after="120" w:line="360" w:lineRule="auto"/>
        <w:jc w:val="left"/>
      </w:pPr>
      <w:r>
        <w:rPr>
          <w:rFonts w:ascii="Times New Roman" w:hAnsi="Times New Roman"/>
          <w:b w:val="0"/>
          <w:i w:val="0"/>
          <w:sz w:val="24"/>
        </w:rPr>
        <w:t>Hand-over Notes: All source code, database migration scripts, AI prompt templates, and Playwright test suites are documented in the project repository (`/Users/veernagda/Downloads/DE-Project`). Future student teams or incubation engineers can immediately spin up the local development server using `npm run dev` and execute automated tests using `npm run test:e2e`.</w:t>
      </w:r>
    </w:p>
    <w:p>
      <w:pPr>
        <w:spacing w:before="120" w:after="120" w:line="360" w:lineRule="auto"/>
        <w:jc w:val="left"/>
      </w:pPr>
      <w:r>
        <w:rPr>
          <w:rFonts w:ascii="Times New Roman" w:hAnsi="Times New Roman"/>
          <w:b w:val="0"/>
          <w:i/>
          <w:sz w:val="22"/>
        </w:rPr>
        <w:t>Summary: Chapter 6 concluded the report by synthesizing the primary engineering, biological, and economic milestones achieved, and articulated a scalable 3-phase commercialization roadmap.</w:t>
      </w:r>
    </w:p>
    <w:p>
      <w:r>
        <w:br w:type="page"/>
      </w:r>
    </w:p>
    <w:p>
      <w:pPr>
        <w:keepNext/>
        <w:spacing w:before="360" w:after="160"/>
        <w:jc w:val="left"/>
      </w:pPr>
      <w:r>
        <w:rPr>
          <w:rFonts w:ascii="Times New Roman" w:hAnsi="Times New Roman"/>
          <w:b/>
          <w:color w:val="064E3B"/>
          <w:sz w:val="36"/>
        </w:rPr>
        <w:t>References</w:t>
      </w:r>
    </w:p>
    <w:p>
      <w:pPr>
        <w:spacing w:before="40" w:after="80" w:line="360" w:lineRule="auto"/>
        <w:jc w:val="left"/>
      </w:pPr>
      <w:r>
        <w:rPr>
          <w:rFonts w:ascii="Times New Roman" w:hAnsi="Times New Roman"/>
          <w:b w:val="0"/>
          <w:i w:val="0"/>
          <w:sz w:val="20"/>
        </w:rPr>
        <w:t>[1] C. P. C. B. (CPCB), "Annual Report on Solid Waste Management Rules, 2016," Central Pollution Control Board, Ministry of Environment, Forest and Climate Change, New Delhi, Tech. Rep. 2024-25, 2025.</w:t>
      </w:r>
    </w:p>
    <w:p>
      <w:pPr>
        <w:spacing w:before="40" w:after="80" w:line="360" w:lineRule="auto"/>
        <w:jc w:val="left"/>
      </w:pPr>
      <w:r>
        <w:rPr>
          <w:rFonts w:ascii="Times New Roman" w:hAnsi="Times New Roman"/>
          <w:b w:val="0"/>
          <w:i w:val="0"/>
          <w:sz w:val="20"/>
        </w:rPr>
        <w:t>[2] Municipal Corporation of Greater Mumbai (MCGM), "Environment Status Report for Greater Mumbai 2024-25," Solid Waste Management Department, Mumbai, Tech. Rep., Aug. 2025.</w:t>
      </w:r>
    </w:p>
    <w:p>
      <w:pPr>
        <w:spacing w:before="40" w:after="80" w:line="360" w:lineRule="auto"/>
        <w:jc w:val="left"/>
      </w:pPr>
      <w:r>
        <w:rPr>
          <w:rFonts w:ascii="Times New Roman" w:hAnsi="Times New Roman"/>
          <w:b w:val="0"/>
          <w:i w:val="0"/>
          <w:sz w:val="20"/>
        </w:rPr>
        <w:t>[3] S. Kumar, S. R. Smith, G. Fowler, C. Velis, S. J. Kumar, and S. Arya, "Challenges and opportunities associated with waste management in India," Royal Society Open Science, vol. 4, no. 3, pp. 160764, Mar. 2017.</w:t>
      </w:r>
    </w:p>
    <w:p>
      <w:pPr>
        <w:spacing w:before="40" w:after="80" w:line="360" w:lineRule="auto"/>
        <w:jc w:val="left"/>
      </w:pPr>
      <w:r>
        <w:rPr>
          <w:rFonts w:ascii="Times New Roman" w:hAnsi="Times New Roman"/>
          <w:b w:val="0"/>
          <w:i w:val="0"/>
          <w:sz w:val="20"/>
        </w:rPr>
        <w:t>[4] R. Joshi and K. Ahmed, "Status and challenges of municipal solid waste management in India: A review," Cogent Environmental Science, vol. 2, no. 1, pp. 1139434, Feb. 2016.</w:t>
      </w:r>
    </w:p>
    <w:p>
      <w:pPr>
        <w:spacing w:before="40" w:after="80" w:line="360" w:lineRule="auto"/>
        <w:jc w:val="left"/>
      </w:pPr>
      <w:r>
        <w:rPr>
          <w:rFonts w:ascii="Times New Roman" w:hAnsi="Times New Roman"/>
          <w:b w:val="0"/>
          <w:i w:val="0"/>
          <w:sz w:val="20"/>
        </w:rPr>
        <w:t>[5] Indian Council of Agricultural Research (ICAR), "Soil Health and Organic Carbon Dynamics in Semi-Arid Agro-Ecosystems," ICAR-Indian Institute of Soil Science, Bhopal, Bulletin No. 42, 2024.</w:t>
      </w:r>
    </w:p>
    <w:p>
      <w:pPr>
        <w:spacing w:before="40" w:after="80" w:line="360" w:lineRule="auto"/>
        <w:jc w:val="left"/>
      </w:pPr>
      <w:r>
        <w:rPr>
          <w:rFonts w:ascii="Times New Roman" w:hAnsi="Times New Roman"/>
          <w:b w:val="0"/>
          <w:i w:val="0"/>
          <w:sz w:val="20"/>
        </w:rPr>
        <w:t>[6] National Bank for Agriculture and Rural Development (NABARD), "Study on Input Costs, Farm Indebtedness and Regenerative Agriculture in Maharashtra," NABARD Research Monograph Series, Pune, Rep. 18, 2025.</w:t>
      </w:r>
    </w:p>
    <w:p>
      <w:pPr>
        <w:spacing w:before="40" w:after="80" w:line="360" w:lineRule="auto"/>
        <w:jc w:val="left"/>
      </w:pPr>
      <w:r>
        <w:rPr>
          <w:rFonts w:ascii="Times New Roman" w:hAnsi="Times New Roman"/>
          <w:b w:val="0"/>
          <w:i w:val="0"/>
          <w:sz w:val="20"/>
        </w:rPr>
        <w:t>[7] P. Agamuthu and S. H. Fauziah, "Microplastic contamination in municipal organic compost and agricultural soils: A critical evaluation," Waste Management &amp; Research, vol. 40, no. 5, pp. 498-508, May 2022.</w:t>
      </w:r>
    </w:p>
    <w:p>
      <w:pPr>
        <w:spacing w:before="40" w:after="80" w:line="360" w:lineRule="auto"/>
        <w:jc w:val="left"/>
      </w:pPr>
      <w:r>
        <w:rPr>
          <w:rFonts w:ascii="Times New Roman" w:hAnsi="Times New Roman"/>
          <w:b w:val="0"/>
          <w:i w:val="0"/>
          <w:sz w:val="20"/>
        </w:rPr>
        <w:t>[8] Swachh Bharat Mission (Urban), "Advisory on On-Site Composting for Bulk Waste Generators," Ministry of Housing and Urban Affairs (MoHUA), Government of India, New Delhi, Advisory Note 7, 2023.</w:t>
      </w:r>
    </w:p>
    <w:p>
      <w:pPr>
        <w:spacing w:before="40" w:after="80" w:line="360" w:lineRule="auto"/>
        <w:jc w:val="left"/>
      </w:pPr>
      <w:r>
        <w:rPr>
          <w:rFonts w:ascii="Times New Roman" w:hAnsi="Times New Roman"/>
          <w:b w:val="0"/>
          <w:i w:val="0"/>
          <w:sz w:val="20"/>
        </w:rPr>
        <w:t>[9] Ministry of Environment, Forest and Climate Change (MoEFCC), "Solid Waste Management Rules, 2016," The Gazette of India, Extraordinary, Part II, Section 3, Sub-section (ii), New Delhi, Apr. 2016.</w:t>
      </w:r>
    </w:p>
    <w:p>
      <w:pPr>
        <w:spacing w:before="40" w:after="80" w:line="360" w:lineRule="auto"/>
        <w:jc w:val="left"/>
      </w:pPr>
      <w:r>
        <w:rPr>
          <w:rFonts w:ascii="Times New Roman" w:hAnsi="Times New Roman"/>
          <w:b w:val="0"/>
          <w:i w:val="0"/>
          <w:sz w:val="20"/>
        </w:rPr>
        <w:t>[10] Government of India, "The Fertilizer (Control) Order, 1985 (as amended up to 2023)," Department of Agriculture and Farmers Welfare, Ministry of Agriculture, New Delhi, 2023.</w:t>
      </w:r>
    </w:p>
    <w:p>
      <w:pPr>
        <w:spacing w:before="40" w:after="80" w:line="360" w:lineRule="auto"/>
        <w:jc w:val="left"/>
      </w:pPr>
      <w:r>
        <w:rPr>
          <w:rFonts w:ascii="Times New Roman" w:hAnsi="Times New Roman"/>
          <w:b w:val="0"/>
          <w:i w:val="0"/>
          <w:sz w:val="20"/>
        </w:rPr>
        <w:t>[11] N. S. Rao, B. R. Swamy, and P. K. Sinha, "Assessment of Bulk Waste Generator Compliance in Metropolitan Tier-1 Cities," Journal of Cleaner Production, vol. 312, pp. 127680, Aug. 2021.</w:t>
      </w:r>
    </w:p>
    <w:p>
      <w:pPr>
        <w:spacing w:before="40" w:after="80" w:line="360" w:lineRule="auto"/>
        <w:jc w:val="left"/>
      </w:pPr>
      <w:r>
        <w:rPr>
          <w:rFonts w:ascii="Times New Roman" w:hAnsi="Times New Roman"/>
          <w:b w:val="0"/>
          <w:i w:val="0"/>
          <w:sz w:val="20"/>
        </w:rPr>
        <w:t>[12] R. Lal, "Soil carbon sequestration to mitigate climate change and advance food security," Soil Science, vol. 177, no. 1, pp. 1-8, Jan. 2012.</w:t>
      </w:r>
    </w:p>
    <w:p>
      <w:pPr>
        <w:spacing w:before="40" w:after="80" w:line="360" w:lineRule="auto"/>
        <w:jc w:val="left"/>
      </w:pPr>
      <w:r>
        <w:rPr>
          <w:rFonts w:ascii="Times New Roman" w:hAnsi="Times New Roman"/>
          <w:b w:val="0"/>
          <w:i w:val="0"/>
          <w:sz w:val="20"/>
        </w:rPr>
        <w:t>[13] J. Lehmann and S. Joseph, Biochar for Environmental Management: Science, Technology and Implementation, 2nd ed., London: Routledge, 2015, ch. 4, pp. 89-124.</w:t>
      </w:r>
    </w:p>
    <w:p>
      <w:pPr>
        <w:spacing w:before="40" w:after="80" w:line="360" w:lineRule="auto"/>
        <w:jc w:val="left"/>
      </w:pPr>
      <w:r>
        <w:rPr>
          <w:rFonts w:ascii="Times New Roman" w:hAnsi="Times New Roman"/>
          <w:b w:val="0"/>
          <w:i w:val="0"/>
          <w:sz w:val="20"/>
        </w:rPr>
        <w:t>[14] K. A. Spokas, "Review of the stability of biochar in soils: Predicting biochemical recalcitrance," Carbon Management, vol. 1, no. 2, pp. 289-303, Dec. 2010.</w:t>
      </w:r>
    </w:p>
    <w:p>
      <w:pPr>
        <w:spacing w:before="40" w:after="80" w:line="360" w:lineRule="auto"/>
        <w:jc w:val="left"/>
      </w:pPr>
      <w:r>
        <w:rPr>
          <w:rFonts w:ascii="Times New Roman" w:hAnsi="Times New Roman"/>
          <w:b w:val="0"/>
          <w:i w:val="0"/>
          <w:sz w:val="20"/>
        </w:rPr>
        <w:t>[15] T. Higa and J. F. Parr, "Beneficial and Effective Microorganisms for a Sustainable Agriculture and Environment," International Nature Farming Research Center, Atami, Japan, Tech. Rep. 1, 1994.</w:t>
      </w:r>
    </w:p>
    <w:p>
      <w:pPr>
        <w:spacing w:before="40" w:after="80" w:line="360" w:lineRule="auto"/>
        <w:jc w:val="left"/>
      </w:pPr>
      <w:r>
        <w:rPr>
          <w:rFonts w:ascii="Times New Roman" w:hAnsi="Times New Roman"/>
          <w:b w:val="0"/>
          <w:i w:val="0"/>
          <w:sz w:val="20"/>
        </w:rPr>
        <w:t>[16] C. A. Edwards and N. Q. Arancon, Biology and Ecology of Earthworms, 4th ed., New York: Springer, 2022, ch. 8, pp. 215-240.</w:t>
      </w:r>
    </w:p>
    <w:p>
      <w:pPr>
        <w:spacing w:before="40" w:after="80" w:line="360" w:lineRule="auto"/>
        <w:jc w:val="left"/>
      </w:pPr>
      <w:r>
        <w:rPr>
          <w:rFonts w:ascii="Times New Roman" w:hAnsi="Times New Roman"/>
          <w:b w:val="0"/>
          <w:i w:val="0"/>
          <w:sz w:val="20"/>
        </w:rPr>
        <w:t>[17] Vercel Inc., "Next.js 15 Documentation: React Server Components, Server Actions and Edge Runtime," Vercel Inc., San Francisco, CA, Available: https://nextjs.org/docs, 2025.</w:t>
      </w:r>
    </w:p>
    <w:p>
      <w:pPr>
        <w:spacing w:before="40" w:after="80" w:line="360" w:lineRule="auto"/>
        <w:jc w:val="left"/>
      </w:pPr>
      <w:r>
        <w:rPr>
          <w:rFonts w:ascii="Times New Roman" w:hAnsi="Times New Roman"/>
          <w:b w:val="0"/>
          <w:i w:val="0"/>
          <w:sz w:val="20"/>
        </w:rPr>
        <w:t>[18] Supabase Inc., "PostgreSQL Row Level Security and Realtime Architecture," Supabase Community Documentation, Available: https://supabase.com/docs, 2025.</w:t>
      </w:r>
    </w:p>
    <w:p>
      <w:pPr>
        <w:spacing w:before="40" w:after="80" w:line="360" w:lineRule="auto"/>
        <w:jc w:val="left"/>
      </w:pPr>
      <w:r>
        <w:rPr>
          <w:rFonts w:ascii="Times New Roman" w:hAnsi="Times New Roman"/>
          <w:b w:val="0"/>
          <w:i w:val="0"/>
          <w:sz w:val="20"/>
        </w:rPr>
        <w:t>[19] Google DeepMind, "Gemini 1.5: Unlocking multimodal understanding across millions of tokens of context," Google Research Technical Report, Mar. 2024.</w:t>
      </w:r>
    </w:p>
    <w:p>
      <w:pPr>
        <w:spacing w:before="40" w:after="80" w:line="360" w:lineRule="auto"/>
        <w:jc w:val="left"/>
      </w:pPr>
      <w:r>
        <w:rPr>
          <w:rFonts w:ascii="Times New Roman" w:hAnsi="Times New Roman"/>
          <w:b w:val="0"/>
          <w:i w:val="0"/>
          <w:sz w:val="20"/>
        </w:rPr>
        <w:t>[20] IEEE Computer Society, "IEEE Standard for Software Quality Assurance Processes," IEEE Std 730-2014, pp. 1-138, Jun. 2014.</w:t>
      </w:r>
    </w:p>
    <w:p>
      <w:pPr>
        <w:spacing w:before="40" w:after="80" w:line="360" w:lineRule="auto"/>
        <w:jc w:val="left"/>
      </w:pPr>
      <w:r>
        <w:rPr>
          <w:rFonts w:ascii="Times New Roman" w:hAnsi="Times New Roman"/>
          <w:b w:val="0"/>
          <w:i w:val="0"/>
          <w:sz w:val="20"/>
        </w:rPr>
        <w:t>[21] International Organization for Standardization, "Information technology — Security techniques — Code of practice for information security controls," ISO/IEC Standard 27002:2022, Feb. 2022.</w:t>
      </w:r>
    </w:p>
    <w:p>
      <w:pPr>
        <w:spacing w:before="40" w:after="80" w:line="360" w:lineRule="auto"/>
        <w:jc w:val="left"/>
      </w:pPr>
      <w:r>
        <w:rPr>
          <w:rFonts w:ascii="Times New Roman" w:hAnsi="Times New Roman"/>
          <w:b w:val="0"/>
          <w:i w:val="0"/>
          <w:sz w:val="20"/>
        </w:rPr>
        <w:t>[22] Open Web Application Security Project (OWASP), "OWASP Top 10: 2021 The Ten Most Critical Web Application Security Risks," OWASP Foundation, Tech. Rep., 2021.</w:t>
      </w:r>
    </w:p>
    <w:p>
      <w:r>
        <w:br w:type="page"/>
      </w:r>
    </w:p>
    <w:p>
      <w:pPr>
        <w:keepNext/>
        <w:spacing w:before="360" w:after="160"/>
        <w:jc w:val="left"/>
      </w:pPr>
      <w:r>
        <w:rPr>
          <w:rFonts w:ascii="Times New Roman" w:hAnsi="Times New Roman"/>
          <w:b/>
          <w:color w:val="064E3B"/>
          <w:sz w:val="36"/>
        </w:rPr>
        <w:t>Appendix I: Summary of IER and Evidence Register</w:t>
      </w:r>
    </w:p>
    <w:p>
      <w:pPr>
        <w:spacing w:before="0" w:after="120" w:line="360" w:lineRule="auto"/>
        <w:jc w:val="left"/>
      </w:pPr>
      <w:r>
        <w:rPr>
          <w:rFonts w:ascii="Times New Roman" w:hAnsi="Times New Roman"/>
          <w:b w:val="0"/>
          <w:i/>
          <w:sz w:val="22"/>
        </w:rPr>
        <w:t>This appendix provides the consolidated register of individual evidence entries logged by Veer Nagda throughout the semester.</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F1F5F9"/>
          </w:tcPr>
          <w:p>
            <w:pPr>
              <w:spacing w:line="264" w:lineRule="auto" w:after="40"/>
            </w:pPr>
            <w:r>
              <w:rPr>
                <w:rFonts w:ascii="Times New Roman" w:hAnsi="Times New Roman"/>
                <w:b/>
                <w:sz w:val="17"/>
              </w:rPr>
              <w:t>Evidence ID</w:t>
            </w:r>
          </w:p>
        </w:tc>
        <w:tc>
          <w:tcPr>
            <w:tcW w:type="dxa" w:w="1662"/>
            <w:shd w:fill="F1F5F9"/>
          </w:tcPr>
          <w:p>
            <w:pPr>
              <w:spacing w:line="264" w:lineRule="auto" w:after="40"/>
            </w:pPr>
            <w:r>
              <w:rPr>
                <w:rFonts w:ascii="Times New Roman" w:hAnsi="Times New Roman"/>
                <w:b/>
                <w:sz w:val="17"/>
              </w:rPr>
              <w:t>Date Logged</w:t>
            </w:r>
          </w:p>
        </w:tc>
        <w:tc>
          <w:tcPr>
            <w:tcW w:type="dxa" w:w="1662"/>
            <w:shd w:fill="F1F5F9"/>
          </w:tcPr>
          <w:p>
            <w:pPr>
              <w:spacing w:line="264" w:lineRule="auto" w:after="40"/>
            </w:pPr>
            <w:r>
              <w:rPr>
                <w:rFonts w:ascii="Times New Roman" w:hAnsi="Times New Roman"/>
                <w:b/>
                <w:sz w:val="17"/>
              </w:rPr>
              <w:t>Artifact Description &amp; Milestone</w:t>
            </w:r>
          </w:p>
        </w:tc>
        <w:tc>
          <w:tcPr>
            <w:tcW w:type="dxa" w:w="1662"/>
            <w:shd w:fill="F1F5F9"/>
          </w:tcPr>
          <w:p>
            <w:pPr>
              <w:spacing w:line="264" w:lineRule="auto" w:after="40"/>
            </w:pPr>
            <w:r>
              <w:rPr>
                <w:rFonts w:ascii="Times New Roman" w:hAnsi="Times New Roman"/>
                <w:b/>
                <w:sz w:val="17"/>
              </w:rPr>
              <w:t>Competency Code</w:t>
            </w:r>
          </w:p>
        </w:tc>
        <w:tc>
          <w:tcPr>
            <w:tcW w:type="dxa" w:w="1662"/>
            <w:shd w:fill="F1F5F9"/>
          </w:tcPr>
          <w:p>
            <w:pPr>
              <w:spacing w:line="264" w:lineRule="auto" w:after="40"/>
            </w:pPr>
            <w:r>
              <w:rPr>
                <w:rFonts w:ascii="Times New Roman" w:hAnsi="Times New Roman"/>
                <w:b/>
                <w:sz w:val="17"/>
              </w:rPr>
              <w:t>Verification &amp; Sign-off</w:t>
            </w:r>
          </w:p>
        </w:tc>
      </w:tr>
      <w:tr>
        <w:tc>
          <w:tcPr>
            <w:tcW w:type="dxa" w:w="1662"/>
          </w:tcPr>
          <w:p>
            <w:pPr>
              <w:spacing w:line="264" w:lineRule="auto" w:after="40"/>
            </w:pPr>
            <w:r>
              <w:rPr>
                <w:rFonts w:ascii="Times New Roman" w:hAnsi="Times New Roman"/>
                <w:b/>
                <w:sz w:val="16"/>
              </w:rPr>
              <w:t>EVD-01</w:t>
            </w:r>
          </w:p>
        </w:tc>
        <w:tc>
          <w:tcPr>
            <w:tcW w:type="dxa" w:w="1662"/>
          </w:tcPr>
          <w:p>
            <w:pPr>
              <w:spacing w:line="264" w:lineRule="auto" w:after="40"/>
            </w:pPr>
            <w:r>
              <w:rPr>
                <w:rFonts w:ascii="Times New Roman" w:hAnsi="Times New Roman"/>
                <w:sz w:val="16"/>
              </w:rPr>
              <w:t>24-Jul-2026</w:t>
            </w:r>
          </w:p>
        </w:tc>
        <w:tc>
          <w:tcPr>
            <w:tcW w:type="dxa" w:w="1662"/>
          </w:tcPr>
          <w:p>
            <w:pPr>
              <w:spacing w:line="264" w:lineRule="auto" w:after="40"/>
            </w:pPr>
            <w:r>
              <w:rPr>
                <w:rFonts w:ascii="Times New Roman" w:hAnsi="Times New Roman"/>
                <w:sz w:val="16"/>
              </w:rPr>
              <w:t>SWM 2016 Regulatory Analysis &amp; Survey Questionnaire Design</w:t>
            </w:r>
          </w:p>
        </w:tc>
        <w:tc>
          <w:tcPr>
            <w:tcW w:type="dxa" w:w="1662"/>
          </w:tcPr>
          <w:p>
            <w:pPr>
              <w:spacing w:line="264" w:lineRule="auto" w:after="40"/>
            </w:pPr>
            <w:r>
              <w:rPr>
                <w:rFonts w:ascii="Times New Roman" w:hAnsi="Times New Roman"/>
                <w:sz w:val="16"/>
              </w:rPr>
              <w:t>DP, RC</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EVD-02</w:t>
            </w:r>
          </w:p>
        </w:tc>
        <w:tc>
          <w:tcPr>
            <w:tcW w:type="dxa" w:w="1662"/>
          </w:tcPr>
          <w:p>
            <w:pPr>
              <w:spacing w:line="264" w:lineRule="auto" w:after="40"/>
            </w:pPr>
            <w:r>
              <w:rPr>
                <w:rFonts w:ascii="Times New Roman" w:hAnsi="Times New Roman"/>
                <w:sz w:val="16"/>
              </w:rPr>
              <w:t>31-Jul-2026</w:t>
            </w:r>
          </w:p>
        </w:tc>
        <w:tc>
          <w:tcPr>
            <w:tcW w:type="dxa" w:w="1662"/>
          </w:tcPr>
          <w:p>
            <w:pPr>
              <w:spacing w:line="264" w:lineRule="auto" w:after="40"/>
            </w:pPr>
            <w:r>
              <w:rPr>
                <w:rFonts w:ascii="Times New Roman" w:hAnsi="Times New Roman"/>
                <w:sz w:val="16"/>
              </w:rPr>
              <w:t>Customer Discovery Survey Synthesis (45 Kitchens, 80 Societies)</w:t>
            </w:r>
          </w:p>
        </w:tc>
        <w:tc>
          <w:tcPr>
            <w:tcW w:type="dxa" w:w="1662"/>
          </w:tcPr>
          <w:p>
            <w:pPr>
              <w:spacing w:line="264" w:lineRule="auto" w:after="40"/>
            </w:pPr>
            <w:r>
              <w:rPr>
                <w:rFonts w:ascii="Times New Roman" w:hAnsi="Times New Roman"/>
                <w:sz w:val="16"/>
              </w:rPr>
              <w:t>RC, DP</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EVD-03</w:t>
            </w:r>
          </w:p>
        </w:tc>
        <w:tc>
          <w:tcPr>
            <w:tcW w:type="dxa" w:w="1662"/>
          </w:tcPr>
          <w:p>
            <w:pPr>
              <w:spacing w:line="264" w:lineRule="auto" w:after="40"/>
            </w:pPr>
            <w:r>
              <w:rPr>
                <w:rFonts w:ascii="Times New Roman" w:hAnsi="Times New Roman"/>
                <w:sz w:val="16"/>
              </w:rPr>
              <w:t>07-Aug-2026</w:t>
            </w:r>
          </w:p>
        </w:tc>
        <w:tc>
          <w:tcPr>
            <w:tcW w:type="dxa" w:w="1662"/>
          </w:tcPr>
          <w:p>
            <w:pPr>
              <w:spacing w:line="264" w:lineRule="auto" w:after="40"/>
            </w:pPr>
            <w:r>
              <w:rPr>
                <w:rFonts w:ascii="Times New Roman" w:hAnsi="Times New Roman"/>
                <w:sz w:val="16"/>
              </w:rPr>
              <w:t>ICA Review I Presentation &amp; System Architecture Document</w:t>
            </w:r>
          </w:p>
        </w:tc>
        <w:tc>
          <w:tcPr>
            <w:tcW w:type="dxa" w:w="1662"/>
          </w:tcPr>
          <w:p>
            <w:pPr>
              <w:spacing w:line="264" w:lineRule="auto" w:after="40"/>
            </w:pPr>
            <w:r>
              <w:rPr>
                <w:rFonts w:ascii="Times New Roman" w:hAnsi="Times New Roman"/>
                <w:sz w:val="16"/>
              </w:rPr>
              <w:t>IA, OC</w:t>
            </w:r>
          </w:p>
        </w:tc>
        <w:tc>
          <w:tcPr>
            <w:tcW w:type="dxa" w:w="1662"/>
          </w:tcPr>
          <w:p>
            <w:pPr>
              <w:spacing w:line="264" w:lineRule="auto" w:after="40"/>
            </w:pPr>
            <w:r>
              <w:rPr>
                <w:rFonts w:ascii="Times New Roman" w:hAnsi="Times New Roman"/>
                <w:sz w:val="16"/>
              </w:rPr>
              <w:t>Review Panel (9.5 / 10 Awarded)</w:t>
            </w:r>
          </w:p>
        </w:tc>
      </w:tr>
      <w:tr>
        <w:tc>
          <w:tcPr>
            <w:tcW w:type="dxa" w:w="1662"/>
          </w:tcPr>
          <w:p>
            <w:pPr>
              <w:spacing w:line="264" w:lineRule="auto" w:after="40"/>
            </w:pPr>
            <w:r>
              <w:rPr>
                <w:rFonts w:ascii="Times New Roman" w:hAnsi="Times New Roman"/>
                <w:b/>
                <w:sz w:val="16"/>
              </w:rPr>
              <w:t>EVD-04</w:t>
            </w:r>
          </w:p>
        </w:tc>
        <w:tc>
          <w:tcPr>
            <w:tcW w:type="dxa" w:w="1662"/>
          </w:tcPr>
          <w:p>
            <w:pPr>
              <w:spacing w:line="264" w:lineRule="auto" w:after="40"/>
            </w:pPr>
            <w:r>
              <w:rPr>
                <w:rFonts w:ascii="Times New Roman" w:hAnsi="Times New Roman"/>
                <w:sz w:val="16"/>
              </w:rPr>
              <w:t>14-Aug-2026</w:t>
            </w:r>
          </w:p>
        </w:tc>
        <w:tc>
          <w:tcPr>
            <w:tcW w:type="dxa" w:w="1662"/>
          </w:tcPr>
          <w:p>
            <w:pPr>
              <w:spacing w:line="264" w:lineRule="auto" w:after="40"/>
            </w:pPr>
            <w:r>
              <w:rPr>
                <w:rFonts w:ascii="Times New Roman" w:hAnsi="Times New Roman"/>
                <w:sz w:val="16"/>
              </w:rPr>
              <w:t>Supabase PostgreSQL Database Schema &amp; RLS Security Policies</w:t>
            </w:r>
          </w:p>
        </w:tc>
        <w:tc>
          <w:tcPr>
            <w:tcW w:type="dxa" w:w="1662"/>
          </w:tcPr>
          <w:p>
            <w:pPr>
              <w:spacing w:line="264" w:lineRule="auto" w:after="40"/>
            </w:pPr>
            <w:r>
              <w:rPr>
                <w:rFonts w:ascii="Times New Roman" w:hAnsi="Times New Roman"/>
                <w:sz w:val="16"/>
              </w:rPr>
              <w:t>IA, DP</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EVD-05</w:t>
            </w:r>
          </w:p>
        </w:tc>
        <w:tc>
          <w:tcPr>
            <w:tcW w:type="dxa" w:w="1662"/>
          </w:tcPr>
          <w:p>
            <w:pPr>
              <w:spacing w:line="264" w:lineRule="auto" w:after="40"/>
            </w:pPr>
            <w:r>
              <w:rPr>
                <w:rFonts w:ascii="Times New Roman" w:hAnsi="Times New Roman"/>
                <w:sz w:val="16"/>
              </w:rPr>
              <w:t>21-Aug-2026</w:t>
            </w:r>
          </w:p>
        </w:tc>
        <w:tc>
          <w:tcPr>
            <w:tcW w:type="dxa" w:w="1662"/>
          </w:tcPr>
          <w:p>
            <w:pPr>
              <w:spacing w:line="264" w:lineRule="auto" w:after="40"/>
            </w:pPr>
            <w:r>
              <w:rPr>
                <w:rFonts w:ascii="Times New Roman" w:hAnsi="Times New Roman"/>
                <w:sz w:val="16"/>
              </w:rPr>
              <w:t>Doorstep IoT Contamination Grading (&lt;5%) &amp; BLE Scale Engine</w:t>
            </w:r>
          </w:p>
        </w:tc>
        <w:tc>
          <w:tcPr>
            <w:tcW w:type="dxa" w:w="1662"/>
          </w:tcPr>
          <w:p>
            <w:pPr>
              <w:spacing w:line="264" w:lineRule="auto" w:after="40"/>
            </w:pPr>
            <w:r>
              <w:rPr>
                <w:rFonts w:ascii="Times New Roman" w:hAnsi="Times New Roman"/>
                <w:sz w:val="16"/>
              </w:rPr>
              <w:t>DP, IA</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EVD-06</w:t>
            </w:r>
          </w:p>
        </w:tc>
        <w:tc>
          <w:tcPr>
            <w:tcW w:type="dxa" w:w="1662"/>
          </w:tcPr>
          <w:p>
            <w:pPr>
              <w:spacing w:line="264" w:lineRule="auto" w:after="40"/>
            </w:pPr>
            <w:r>
              <w:rPr>
                <w:rFonts w:ascii="Times New Roman" w:hAnsi="Times New Roman"/>
                <w:sz w:val="16"/>
              </w:rPr>
              <w:t>28-Aug-2026</w:t>
            </w:r>
          </w:p>
        </w:tc>
        <w:tc>
          <w:tcPr>
            <w:tcW w:type="dxa" w:w="1662"/>
          </w:tcPr>
          <w:p>
            <w:pPr>
              <w:spacing w:line="264" w:lineRule="auto" w:after="40"/>
            </w:pPr>
            <w:r>
              <w:rPr>
                <w:rFonts w:ascii="Times New Roman" w:hAnsi="Times New Roman"/>
                <w:sz w:val="16"/>
              </w:rPr>
              <w:t>Google Gemini 1.5 AI Advisor with Deterministic ICAR Guardrails</w:t>
            </w:r>
          </w:p>
        </w:tc>
        <w:tc>
          <w:tcPr>
            <w:tcW w:type="dxa" w:w="1662"/>
          </w:tcPr>
          <w:p>
            <w:pPr>
              <w:spacing w:line="264" w:lineRule="auto" w:after="40"/>
            </w:pPr>
            <w:r>
              <w:rPr>
                <w:rFonts w:ascii="Times New Roman" w:hAnsi="Times New Roman"/>
                <w:sz w:val="16"/>
              </w:rPr>
              <w:t>IA, DP, RC</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EVD-07</w:t>
            </w:r>
          </w:p>
        </w:tc>
        <w:tc>
          <w:tcPr>
            <w:tcW w:type="dxa" w:w="1662"/>
          </w:tcPr>
          <w:p>
            <w:pPr>
              <w:spacing w:line="264" w:lineRule="auto" w:after="40"/>
            </w:pPr>
            <w:r>
              <w:rPr>
                <w:rFonts w:ascii="Times New Roman" w:hAnsi="Times New Roman"/>
                <w:sz w:val="16"/>
              </w:rPr>
              <w:t>04-Sep-2026</w:t>
            </w:r>
          </w:p>
        </w:tc>
        <w:tc>
          <w:tcPr>
            <w:tcW w:type="dxa" w:w="1662"/>
          </w:tcPr>
          <w:p>
            <w:pPr>
              <w:spacing w:line="264" w:lineRule="auto" w:after="40"/>
            </w:pPr>
            <w:r>
              <w:rPr>
                <w:rFonts w:ascii="Times New Roman" w:hAnsi="Times New Roman"/>
                <w:sz w:val="16"/>
              </w:rPr>
              <w:t>INNOVATE 360° Pitch Defense &amp; 3rd Place Award Certificate</w:t>
            </w:r>
          </w:p>
        </w:tc>
        <w:tc>
          <w:tcPr>
            <w:tcW w:type="dxa" w:w="1662"/>
          </w:tcPr>
          <w:p>
            <w:pPr>
              <w:spacing w:line="264" w:lineRule="auto" w:after="40"/>
            </w:pPr>
            <w:r>
              <w:rPr>
                <w:rFonts w:ascii="Times New Roman" w:hAnsi="Times New Roman"/>
                <w:sz w:val="16"/>
              </w:rPr>
              <w:t>IA, OC, TL</w:t>
            </w:r>
          </w:p>
        </w:tc>
        <w:tc>
          <w:tcPr>
            <w:tcW w:type="dxa" w:w="1662"/>
          </w:tcPr>
          <w:p>
            <w:pPr>
              <w:spacing w:line="264" w:lineRule="auto" w:after="40"/>
            </w:pPr>
            <w:r>
              <w:rPr>
                <w:rFonts w:ascii="Times New Roman" w:hAnsi="Times New Roman"/>
                <w:sz w:val="16"/>
              </w:rPr>
              <w:t>Dr. Priti Rumao &amp; SIG AI (Awarded)</w:t>
            </w:r>
          </w:p>
        </w:tc>
      </w:tr>
      <w:tr>
        <w:tc>
          <w:tcPr>
            <w:tcW w:type="dxa" w:w="1662"/>
          </w:tcPr>
          <w:p>
            <w:pPr>
              <w:spacing w:line="264" w:lineRule="auto" w:after="40"/>
            </w:pPr>
            <w:r>
              <w:rPr>
                <w:rFonts w:ascii="Times New Roman" w:hAnsi="Times New Roman"/>
                <w:b/>
                <w:sz w:val="16"/>
              </w:rPr>
              <w:t>EVD-08</w:t>
            </w:r>
          </w:p>
        </w:tc>
        <w:tc>
          <w:tcPr>
            <w:tcW w:type="dxa" w:w="1662"/>
          </w:tcPr>
          <w:p>
            <w:pPr>
              <w:spacing w:line="264" w:lineRule="auto" w:after="40"/>
            </w:pPr>
            <w:r>
              <w:rPr>
                <w:rFonts w:ascii="Times New Roman" w:hAnsi="Times New Roman"/>
                <w:sz w:val="16"/>
              </w:rPr>
              <w:t>11-Sep-2026</w:t>
            </w:r>
          </w:p>
        </w:tc>
        <w:tc>
          <w:tcPr>
            <w:tcW w:type="dxa" w:w="1662"/>
          </w:tcPr>
          <w:p>
            <w:pPr>
              <w:spacing w:line="264" w:lineRule="auto" w:after="40"/>
            </w:pPr>
            <w:r>
              <w:rPr>
                <w:rFonts w:ascii="Times New Roman" w:hAnsi="Times New Roman"/>
                <w:sz w:val="16"/>
              </w:rPr>
              <w:t>ICA Review II Presentation, Working Build Demo &amp; BMC Model</w:t>
            </w:r>
          </w:p>
        </w:tc>
        <w:tc>
          <w:tcPr>
            <w:tcW w:type="dxa" w:w="1662"/>
          </w:tcPr>
          <w:p>
            <w:pPr>
              <w:spacing w:line="264" w:lineRule="auto" w:after="40"/>
            </w:pPr>
            <w:r>
              <w:rPr>
                <w:rFonts w:ascii="Times New Roman" w:hAnsi="Times New Roman"/>
                <w:sz w:val="16"/>
              </w:rPr>
              <w:t>IA, DP, RC</w:t>
            </w:r>
          </w:p>
        </w:tc>
        <w:tc>
          <w:tcPr>
            <w:tcW w:type="dxa" w:w="1662"/>
          </w:tcPr>
          <w:p>
            <w:pPr>
              <w:spacing w:line="264" w:lineRule="auto" w:after="40"/>
            </w:pPr>
            <w:r>
              <w:rPr>
                <w:rFonts w:ascii="Times New Roman" w:hAnsi="Times New Roman"/>
                <w:sz w:val="16"/>
              </w:rPr>
              <w:t>Review Panel (9.5 / 10 Awarded)</w:t>
            </w:r>
          </w:p>
        </w:tc>
      </w:tr>
      <w:tr>
        <w:tc>
          <w:tcPr>
            <w:tcW w:type="dxa" w:w="1662"/>
          </w:tcPr>
          <w:p>
            <w:pPr>
              <w:spacing w:line="264" w:lineRule="auto" w:after="40"/>
            </w:pPr>
            <w:r>
              <w:rPr>
                <w:rFonts w:ascii="Times New Roman" w:hAnsi="Times New Roman"/>
                <w:b/>
                <w:sz w:val="16"/>
              </w:rPr>
              <w:t>EVD-09</w:t>
            </w:r>
          </w:p>
        </w:tc>
        <w:tc>
          <w:tcPr>
            <w:tcW w:type="dxa" w:w="1662"/>
          </w:tcPr>
          <w:p>
            <w:pPr>
              <w:spacing w:line="264" w:lineRule="auto" w:after="40"/>
            </w:pPr>
            <w:r>
              <w:rPr>
                <w:rFonts w:ascii="Times New Roman" w:hAnsi="Times New Roman"/>
                <w:sz w:val="16"/>
              </w:rPr>
              <w:t>18-Sep-2026</w:t>
            </w:r>
          </w:p>
        </w:tc>
        <w:tc>
          <w:tcPr>
            <w:tcW w:type="dxa" w:w="1662"/>
          </w:tcPr>
          <w:p>
            <w:pPr>
              <w:spacing w:line="264" w:lineRule="auto" w:after="40"/>
            </w:pPr>
            <w:r>
              <w:rPr>
                <w:rFonts w:ascii="Times New Roman" w:hAnsi="Times New Roman"/>
                <w:sz w:val="16"/>
              </w:rPr>
              <w:t>Palghar Farmer Field Trial Data &amp; FCO 1985 Lab NPK Analysis</w:t>
            </w:r>
          </w:p>
        </w:tc>
        <w:tc>
          <w:tcPr>
            <w:tcW w:type="dxa" w:w="1662"/>
          </w:tcPr>
          <w:p>
            <w:pPr>
              <w:spacing w:line="264" w:lineRule="auto" w:after="40"/>
            </w:pPr>
            <w:r>
              <w:rPr>
                <w:rFonts w:ascii="Times New Roman" w:hAnsi="Times New Roman"/>
                <w:sz w:val="16"/>
              </w:rPr>
              <w:t>DP, RC, IA</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EVD-10</w:t>
            </w:r>
          </w:p>
        </w:tc>
        <w:tc>
          <w:tcPr>
            <w:tcW w:type="dxa" w:w="1662"/>
          </w:tcPr>
          <w:p>
            <w:pPr>
              <w:spacing w:line="264" w:lineRule="auto" w:after="40"/>
            </w:pPr>
            <w:r>
              <w:rPr>
                <w:rFonts w:ascii="Times New Roman" w:hAnsi="Times New Roman"/>
                <w:sz w:val="16"/>
              </w:rPr>
              <w:t>25-Sep-2026</w:t>
            </w:r>
          </w:p>
        </w:tc>
        <w:tc>
          <w:tcPr>
            <w:tcW w:type="dxa" w:w="1662"/>
          </w:tcPr>
          <w:p>
            <w:pPr>
              <w:spacing w:line="264" w:lineRule="auto" w:after="40"/>
            </w:pPr>
            <w:r>
              <w:rPr>
                <w:rFonts w:ascii="Times New Roman" w:hAnsi="Times New Roman"/>
                <w:sz w:val="16"/>
              </w:rPr>
              <w:t>AIC-NMIMS Pre-Incubation Dossier &amp; SISFS/RKVY Grant Pipeline</w:t>
            </w:r>
          </w:p>
        </w:tc>
        <w:tc>
          <w:tcPr>
            <w:tcW w:type="dxa" w:w="1662"/>
          </w:tcPr>
          <w:p>
            <w:pPr>
              <w:spacing w:line="264" w:lineRule="auto" w:after="40"/>
            </w:pPr>
            <w:r>
              <w:rPr>
                <w:rFonts w:ascii="Times New Roman" w:hAnsi="Times New Roman"/>
                <w:sz w:val="16"/>
              </w:rPr>
              <w:t>IA, RC</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EVD-11</w:t>
            </w:r>
          </w:p>
        </w:tc>
        <w:tc>
          <w:tcPr>
            <w:tcW w:type="dxa" w:w="1662"/>
          </w:tcPr>
          <w:p>
            <w:pPr>
              <w:spacing w:line="264" w:lineRule="auto" w:after="40"/>
            </w:pPr>
            <w:r>
              <w:rPr>
                <w:rFonts w:ascii="Times New Roman" w:hAnsi="Times New Roman"/>
                <w:sz w:val="16"/>
              </w:rPr>
              <w:t>05-Oct-2026</w:t>
            </w:r>
          </w:p>
        </w:tc>
        <w:tc>
          <w:tcPr>
            <w:tcW w:type="dxa" w:w="1662"/>
          </w:tcPr>
          <w:p>
            <w:pPr>
              <w:spacing w:line="264" w:lineRule="auto" w:after="40"/>
            </w:pPr>
            <w:r>
              <w:rPr>
                <w:rFonts w:ascii="Times New Roman" w:hAnsi="Times New Roman"/>
                <w:sz w:val="16"/>
              </w:rPr>
              <w:t>Next.js 15 Production Build &amp; Playwright E2E Automated Tests</w:t>
            </w:r>
          </w:p>
        </w:tc>
        <w:tc>
          <w:tcPr>
            <w:tcW w:type="dxa" w:w="1662"/>
          </w:tcPr>
          <w:p>
            <w:pPr>
              <w:spacing w:line="264" w:lineRule="auto" w:after="40"/>
            </w:pPr>
            <w:r>
              <w:rPr>
                <w:rFonts w:ascii="Times New Roman" w:hAnsi="Times New Roman"/>
                <w:sz w:val="16"/>
              </w:rPr>
              <w:t>IA, DP</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EVD-12</w:t>
            </w:r>
          </w:p>
        </w:tc>
        <w:tc>
          <w:tcPr>
            <w:tcW w:type="dxa" w:w="1662"/>
          </w:tcPr>
          <w:p>
            <w:pPr>
              <w:spacing w:line="264" w:lineRule="auto" w:after="40"/>
            </w:pPr>
            <w:r>
              <w:rPr>
                <w:rFonts w:ascii="Times New Roman" w:hAnsi="Times New Roman"/>
                <w:sz w:val="16"/>
              </w:rPr>
              <w:t>12-Oct-2026</w:t>
            </w:r>
          </w:p>
        </w:tc>
        <w:tc>
          <w:tcPr>
            <w:tcW w:type="dxa" w:w="1662"/>
          </w:tcPr>
          <w:p>
            <w:pPr>
              <w:spacing w:line="264" w:lineRule="auto" w:after="40"/>
            </w:pPr>
            <w:r>
              <w:rPr>
                <w:rFonts w:ascii="Times New Roman" w:hAnsi="Times New Roman"/>
                <w:sz w:val="16"/>
              </w:rPr>
              <w:t>Complete Master Technical Project Report (Chapters 1 to 6)</w:t>
            </w:r>
          </w:p>
        </w:tc>
        <w:tc>
          <w:tcPr>
            <w:tcW w:type="dxa" w:w="1662"/>
          </w:tcPr>
          <w:p>
            <w:pPr>
              <w:spacing w:line="264" w:lineRule="auto" w:after="40"/>
            </w:pPr>
            <w:r>
              <w:rPr>
                <w:rFonts w:ascii="Times New Roman" w:hAnsi="Times New Roman"/>
                <w:sz w:val="16"/>
              </w:rPr>
              <w:t>IA, OC, RC</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EVD-13</w:t>
            </w:r>
          </w:p>
        </w:tc>
        <w:tc>
          <w:tcPr>
            <w:tcW w:type="dxa" w:w="1662"/>
          </w:tcPr>
          <w:p>
            <w:pPr>
              <w:spacing w:line="264" w:lineRule="auto" w:after="40"/>
            </w:pPr>
            <w:r>
              <w:rPr>
                <w:rFonts w:ascii="Times New Roman" w:hAnsi="Times New Roman"/>
                <w:sz w:val="16"/>
              </w:rPr>
              <w:t>15-Oct-2026</w:t>
            </w:r>
          </w:p>
        </w:tc>
        <w:tc>
          <w:tcPr>
            <w:tcW w:type="dxa" w:w="1662"/>
          </w:tcPr>
          <w:p>
            <w:pPr>
              <w:spacing w:line="264" w:lineRule="auto" w:after="40"/>
            </w:pPr>
            <w:r>
              <w:rPr>
                <w:rFonts w:ascii="Times New Roman" w:hAnsi="Times New Roman"/>
                <w:sz w:val="16"/>
              </w:rPr>
              <w:t>Standalone Market &amp; Competitor Analysis Document</w:t>
            </w:r>
          </w:p>
        </w:tc>
        <w:tc>
          <w:tcPr>
            <w:tcW w:type="dxa" w:w="1662"/>
          </w:tcPr>
          <w:p>
            <w:pPr>
              <w:spacing w:line="264" w:lineRule="auto" w:after="40"/>
            </w:pPr>
            <w:r>
              <w:rPr>
                <w:rFonts w:ascii="Times New Roman" w:hAnsi="Times New Roman"/>
                <w:sz w:val="16"/>
              </w:rPr>
              <w:t>RC, DP</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EVD-14</w:t>
            </w:r>
          </w:p>
        </w:tc>
        <w:tc>
          <w:tcPr>
            <w:tcW w:type="dxa" w:w="1662"/>
          </w:tcPr>
          <w:p>
            <w:pPr>
              <w:spacing w:line="264" w:lineRule="auto" w:after="40"/>
            </w:pPr>
            <w:r>
              <w:rPr>
                <w:rFonts w:ascii="Times New Roman" w:hAnsi="Times New Roman"/>
                <w:sz w:val="16"/>
              </w:rPr>
              <w:t>16-Oct-2026</w:t>
            </w:r>
          </w:p>
        </w:tc>
        <w:tc>
          <w:tcPr>
            <w:tcW w:type="dxa" w:w="1662"/>
          </w:tcPr>
          <w:p>
            <w:pPr>
              <w:spacing w:line="264" w:lineRule="auto" w:after="40"/>
            </w:pPr>
            <w:r>
              <w:rPr>
                <w:rFonts w:ascii="Times New Roman" w:hAnsi="Times New Roman"/>
                <w:sz w:val="16"/>
              </w:rPr>
              <w:t>Standalone Business Model Canvas &amp; Financial Plan Document</w:t>
            </w:r>
          </w:p>
        </w:tc>
        <w:tc>
          <w:tcPr>
            <w:tcW w:type="dxa" w:w="1662"/>
          </w:tcPr>
          <w:p>
            <w:pPr>
              <w:spacing w:line="264" w:lineRule="auto" w:after="40"/>
            </w:pPr>
            <w:r>
              <w:rPr>
                <w:rFonts w:ascii="Times New Roman" w:hAnsi="Times New Roman"/>
                <w:sz w:val="16"/>
              </w:rPr>
              <w:t>RC, DP</w:t>
            </w:r>
          </w:p>
        </w:tc>
        <w:tc>
          <w:tcPr>
            <w:tcW w:type="dxa" w:w="1662"/>
          </w:tcPr>
          <w:p>
            <w:pPr>
              <w:spacing w:line="264" w:lineRule="auto" w:after="40"/>
            </w:pPr>
            <w:r>
              <w:rPr>
                <w:rFonts w:ascii="Times New Roman" w:hAnsi="Times New Roman"/>
                <w:sz w:val="16"/>
              </w:rPr>
              <w:t>Prof. Deepali A. Maste (Verified)</w:t>
            </w:r>
          </w:p>
        </w:tc>
      </w:tr>
      <w:tr>
        <w:tc>
          <w:tcPr>
            <w:tcW w:type="dxa" w:w="1662"/>
          </w:tcPr>
          <w:p>
            <w:pPr>
              <w:spacing w:line="264" w:lineRule="auto" w:after="40"/>
            </w:pPr>
            <w:r>
              <w:rPr>
                <w:rFonts w:ascii="Times New Roman" w:hAnsi="Times New Roman"/>
                <w:b/>
                <w:sz w:val="16"/>
              </w:rPr>
              <w:t>EVD-15</w:t>
            </w:r>
          </w:p>
        </w:tc>
        <w:tc>
          <w:tcPr>
            <w:tcW w:type="dxa" w:w="1662"/>
          </w:tcPr>
          <w:p>
            <w:pPr>
              <w:spacing w:line="264" w:lineRule="auto" w:after="40"/>
            </w:pPr>
            <w:r>
              <w:rPr>
                <w:rFonts w:ascii="Times New Roman" w:hAnsi="Times New Roman"/>
                <w:sz w:val="16"/>
              </w:rPr>
              <w:t>18-Oct-2026</w:t>
            </w:r>
          </w:p>
        </w:tc>
        <w:tc>
          <w:tcPr>
            <w:tcW w:type="dxa" w:w="1662"/>
          </w:tcPr>
          <w:p>
            <w:pPr>
              <w:spacing w:line="264" w:lineRule="auto" w:after="40"/>
            </w:pPr>
            <w:r>
              <w:rPr>
                <w:rFonts w:ascii="Times New Roman" w:hAnsi="Times New Roman"/>
                <w:sz w:val="16"/>
              </w:rPr>
              <w:t>Final Timed 5-Minute Pitch Deck &amp; Rapid Q&amp;A Battlecard Deck</w:t>
            </w:r>
          </w:p>
        </w:tc>
        <w:tc>
          <w:tcPr>
            <w:tcW w:type="dxa" w:w="1662"/>
          </w:tcPr>
          <w:p>
            <w:pPr>
              <w:spacing w:line="264" w:lineRule="auto" w:after="40"/>
            </w:pPr>
            <w:r>
              <w:rPr>
                <w:rFonts w:ascii="Times New Roman" w:hAnsi="Times New Roman"/>
                <w:sz w:val="16"/>
              </w:rPr>
              <w:t>OC, IA, TL</w:t>
            </w:r>
          </w:p>
        </w:tc>
        <w:tc>
          <w:tcPr>
            <w:tcW w:type="dxa" w:w="1662"/>
          </w:tcPr>
          <w:p>
            <w:pPr>
              <w:spacing w:line="264" w:lineRule="auto" w:after="40"/>
            </w:pPr>
            <w:r>
              <w:rPr>
                <w:rFonts w:ascii="Times New Roman" w:hAnsi="Times New Roman"/>
                <w:sz w:val="16"/>
              </w:rPr>
              <w:t>Prof. Deepali A. Maste (Cleared)</w:t>
            </w:r>
          </w:p>
        </w:tc>
      </w:tr>
    </w:tbl>
    <w:p>
      <w:r>
        <w:br w:type="page"/>
      </w:r>
    </w:p>
    <w:p>
      <w:pPr>
        <w:keepNext/>
        <w:spacing w:before="360" w:after="160"/>
        <w:jc w:val="left"/>
      </w:pPr>
      <w:r>
        <w:rPr>
          <w:rFonts w:ascii="Times New Roman" w:hAnsi="Times New Roman"/>
          <w:b/>
          <w:color w:val="064E3B"/>
          <w:sz w:val="36"/>
        </w:rPr>
        <w:t>Appendix II: Component Specifications, Schemas and Architecture Drawings</w:t>
      </w:r>
    </w:p>
    <w:p>
      <w:pPr>
        <w:spacing w:before="0" w:after="120" w:line="360" w:lineRule="auto"/>
        <w:jc w:val="left"/>
      </w:pPr>
      <w:r>
        <w:rPr>
          <w:rFonts w:ascii="Times New Roman" w:hAnsi="Times New Roman"/>
          <w:b w:val="0"/>
          <w:i/>
          <w:sz w:val="22"/>
        </w:rPr>
        <w:t>This appendix documents the hardware and software technical specifications governing the AgroLoop physical-digital ecosystem.</w:t>
      </w:r>
    </w:p>
    <w:p>
      <w:pPr>
        <w:keepNext/>
        <w:spacing w:before="280" w:after="120"/>
        <w:jc w:val="left"/>
      </w:pPr>
      <w:r>
        <w:rPr>
          <w:rFonts w:ascii="Times New Roman" w:hAnsi="Times New Roman"/>
          <w:b/>
          <w:color w:val="047857"/>
          <w:sz w:val="28"/>
        </w:rPr>
        <w:t>A2.1 Hardware Specifications: 3-Wheeler Electric Cargo Loaders</w:t>
      </w:r>
    </w:p>
    <w:p>
      <w:pPr>
        <w:spacing w:before="0" w:after="120" w:line="360" w:lineRule="auto"/>
        <w:jc w:val="left"/>
      </w:pPr>
      <w:r>
        <w:rPr>
          <w:rFonts w:ascii="Times New Roman" w:hAnsi="Times New Roman"/>
          <w:b w:val="0"/>
          <w:i w:val="0"/>
          <w:sz w:val="24"/>
        </w:rPr>
        <w:t>• Vehicle Model: Euler Motors HiLoad EV / Piaggio Ape E-City Electric Cargo 3-Wheeler.</w:t>
      </w:r>
    </w:p>
    <w:p>
      <w:pPr>
        <w:spacing w:before="0" w:after="120" w:line="360" w:lineRule="auto"/>
        <w:jc w:val="left"/>
      </w:pPr>
      <w:r>
        <w:rPr>
          <w:rFonts w:ascii="Times New Roman" w:hAnsi="Times New Roman"/>
          <w:b w:val="0"/>
          <w:i w:val="0"/>
          <w:sz w:val="24"/>
        </w:rPr>
        <w:t>• Payload Capacity: 688 kg volumetric gross payload.</w:t>
      </w:r>
    </w:p>
    <w:p>
      <w:pPr>
        <w:spacing w:before="0" w:after="120" w:line="360" w:lineRule="auto"/>
        <w:jc w:val="left"/>
      </w:pPr>
      <w:r>
        <w:rPr>
          <w:rFonts w:ascii="Times New Roman" w:hAnsi="Times New Roman"/>
          <w:b w:val="0"/>
          <w:i w:val="0"/>
          <w:sz w:val="24"/>
        </w:rPr>
        <w:t>• Battery Pack: 12.4 kWh Lithium-ion LFP battery, IP67 waterproof enclosure.</w:t>
      </w:r>
    </w:p>
    <w:p>
      <w:pPr>
        <w:spacing w:before="0" w:after="120" w:line="360" w:lineRule="auto"/>
        <w:jc w:val="left"/>
      </w:pPr>
      <w:r>
        <w:rPr>
          <w:rFonts w:ascii="Times New Roman" w:hAnsi="Times New Roman"/>
          <w:b w:val="0"/>
          <w:i w:val="0"/>
          <w:sz w:val="24"/>
        </w:rPr>
        <w:t>• Certified Operational Range: 110 km per single charge.</w:t>
      </w:r>
    </w:p>
    <w:p>
      <w:pPr>
        <w:spacing w:before="0" w:after="120" w:line="360" w:lineRule="auto"/>
        <w:jc w:val="left"/>
      </w:pPr>
      <w:r>
        <w:rPr>
          <w:rFonts w:ascii="Times New Roman" w:hAnsi="Times New Roman"/>
          <w:b w:val="0"/>
          <w:i w:val="0"/>
          <w:sz w:val="24"/>
        </w:rPr>
        <w:t>• Energy Consumption &amp; Cost: 10.5 kWh per 100 km @ ₹3.80/kWh = ₹0.40 per kilometer.</w:t>
      </w:r>
    </w:p>
    <w:p>
      <w:pPr>
        <w:spacing w:before="0" w:after="120" w:line="360" w:lineRule="auto"/>
        <w:jc w:val="left"/>
      </w:pPr>
      <w:r>
        <w:rPr>
          <w:rFonts w:ascii="Times New Roman" w:hAnsi="Times New Roman"/>
          <w:b w:val="0"/>
          <w:i w:val="0"/>
          <w:sz w:val="24"/>
        </w:rPr>
        <w:t>• Digital Load Cell: 200 kg Bluetooth 5.0 wireless platform scale (accuracy ±50 g) paired via Web Bluetooth API to driver smartphone.</w:t>
      </w:r>
    </w:p>
    <w:p>
      <w:pPr>
        <w:keepNext/>
        <w:spacing w:before="280" w:after="120"/>
        <w:jc w:val="left"/>
      </w:pPr>
      <w:r>
        <w:rPr>
          <w:rFonts w:ascii="Times New Roman" w:hAnsi="Times New Roman"/>
          <w:b/>
          <w:color w:val="047857"/>
          <w:sz w:val="28"/>
        </w:rPr>
        <w:t>A2.2 Hub Equipment Specifications: Mahape Bio-Refinery</w:t>
      </w:r>
    </w:p>
    <w:p>
      <w:pPr>
        <w:spacing w:before="0" w:after="120" w:line="360" w:lineRule="auto"/>
        <w:jc w:val="left"/>
      </w:pPr>
      <w:r>
        <w:rPr>
          <w:rFonts w:ascii="Times New Roman" w:hAnsi="Times New Roman"/>
          <w:b w:val="0"/>
          <w:i w:val="0"/>
          <w:sz w:val="24"/>
        </w:rPr>
        <w:t>• Bokashi Fermentation Pits: 4 x 5-tonne concrete containment pits with air-tight EPDM rubber gaskets and leachate drains.</w:t>
      </w:r>
    </w:p>
    <w:p>
      <w:pPr>
        <w:spacing w:before="0" w:after="120" w:line="360" w:lineRule="auto"/>
        <w:jc w:val="left"/>
      </w:pPr>
      <w:r>
        <w:rPr>
          <w:rFonts w:ascii="Times New Roman" w:hAnsi="Times New Roman"/>
          <w:b w:val="0"/>
          <w:i w:val="0"/>
          <w:sz w:val="24"/>
        </w:rPr>
        <w:t>• Continuous Flow Vermicomposting Reactor: 20 m x 2 m insulated raised beds utilizing Eisenia fetida red wigglers.</w:t>
      </w:r>
    </w:p>
    <w:p>
      <w:pPr>
        <w:spacing w:before="0" w:after="120" w:line="360" w:lineRule="auto"/>
        <w:jc w:val="left"/>
      </w:pPr>
      <w:r>
        <w:rPr>
          <w:rFonts w:ascii="Times New Roman" w:hAnsi="Times New Roman"/>
          <w:b w:val="0"/>
          <w:i w:val="0"/>
          <w:sz w:val="24"/>
        </w:rPr>
        <w:t>• Biochar Pyrolysis Retort Kiln: Indirectly heated, closed-atmosphere batch pyrolysis retort operating at 550°C.</w:t>
      </w:r>
    </w:p>
    <w:p>
      <w:r>
        <w:br w:type="page"/>
      </w:r>
    </w:p>
    <w:p>
      <w:pPr>
        <w:keepNext/>
        <w:spacing w:before="360" w:after="160"/>
        <w:jc w:val="left"/>
      </w:pPr>
      <w:r>
        <w:rPr>
          <w:rFonts w:ascii="Times New Roman" w:hAnsi="Times New Roman"/>
          <w:b/>
          <w:color w:val="064E3B"/>
          <w:sz w:val="36"/>
        </w:rPr>
        <w:t>Appendix III: Source Code Snippets, Route Handlers and Database Schema</w:t>
      </w:r>
    </w:p>
    <w:p>
      <w:pPr>
        <w:spacing w:before="0" w:after="120" w:line="360" w:lineRule="auto"/>
        <w:jc w:val="left"/>
      </w:pPr>
      <w:r>
        <w:rPr>
          <w:rFonts w:ascii="Times New Roman" w:hAnsi="Times New Roman"/>
          <w:b w:val="0"/>
          <w:i/>
          <w:sz w:val="22"/>
        </w:rPr>
        <w:t>This appendix presents core implementation code snippets from the Next.js 15 repository.</w:t>
      </w:r>
    </w:p>
    <w:p>
      <w:pPr>
        <w:keepNext/>
        <w:spacing w:before="280" w:after="120"/>
        <w:jc w:val="left"/>
      </w:pPr>
      <w:r>
        <w:rPr>
          <w:rFonts w:ascii="Times New Roman" w:hAnsi="Times New Roman"/>
          <w:b/>
          <w:color w:val="047857"/>
          <w:sz w:val="28"/>
        </w:rPr>
        <w:t>A3.1 AI Advisor Route Handler (`src/app/api/ai/advisor/route.ts`)</w:t>
      </w:r>
    </w:p>
    <w:p>
      <w:pPr>
        <w:spacing w:before="80" w:after="160" w:line="360" w:lineRule="auto"/>
        <w:jc w:val="left"/>
      </w:pPr>
      <w:r>
        <w:rPr>
          <w:rFonts w:ascii="Times New Roman" w:hAnsi="Times New Roman"/>
          <w:b w:val="0"/>
          <w:i w:val="0"/>
          <w:sz w:val="19"/>
        </w:rPr>
        <w:t>import { NextRequest, NextResponse } from 'next/server';</w:t>
        <w:br/>
        <w:t>import { GoogleGenerativeAI } from '@google/generative-ai';</w:t>
        <w:br/>
        <w:t>import { validateAgronomicBounds } from '@/lib/ai/prompts';</w:t>
        <w:br/>
        <w:br/>
        <w:t>const genAI = new GoogleGenerativeAI(process.env.GEMINI_API_KEY || '');</w:t>
        <w:br/>
        <w:br/>
        <w:t>export async function POST(req: NextRequest) {</w:t>
        <w:br/>
        <w:t xml:space="preserve">  const { crop, acreage, soilPh, symptoms, language } = await req.json();</w:t>
        <w:br/>
        <w:t xml:space="preserve">  const safeBounds = validateAgronomicBounds(crop, acreage);</w:t>
        <w:br/>
        <w:t xml:space="preserve">  const prompt = `You are AgroLoop's Senior ICAR Agronomist. Recommend bio-input dosages...`;</w:t>
        <w:br/>
        <w:t xml:space="preserve">  const model = genAI.getGenerativeModel({ model: 'gemini-1.5-pro' });</w:t>
        <w:br/>
        <w:t xml:space="preserve">  const result = await model.generateContent(prompt);</w:t>
        <w:br/>
        <w:t xml:space="preserve">  return NextResponse.json({ advice: result.response.text(), bounds: safeBounds });</w:t>
        <w:br/>
        <w:t>}</w:t>
      </w:r>
    </w:p>
    <w:p>
      <w:pPr>
        <w:keepNext/>
        <w:spacing w:before="280" w:after="120"/>
        <w:jc w:val="left"/>
      </w:pPr>
      <w:r>
        <w:rPr>
          <w:rFonts w:ascii="Times New Roman" w:hAnsi="Times New Roman"/>
          <w:b/>
          <w:color w:val="047857"/>
          <w:sz w:val="28"/>
        </w:rPr>
        <w:t>A3.2 Supabase PostgreSQL Row Level Security (RLS) Policy</w:t>
      </w:r>
    </w:p>
    <w:p>
      <w:pPr>
        <w:spacing w:before="80" w:after="160" w:line="360" w:lineRule="auto"/>
        <w:jc w:val="left"/>
      </w:pPr>
      <w:r>
        <w:rPr>
          <w:rFonts w:ascii="Times New Roman" w:hAnsi="Times New Roman"/>
          <w:b w:val="0"/>
          <w:i w:val="0"/>
          <w:sz w:val="19"/>
        </w:rPr>
        <w:t>-- Secure Pickups Access by Tenant Role</w:t>
        <w:br/>
        <w:t>ALTER TABLE pickups ENABLE ROW LEVEL SECURITY;</w:t>
        <w:br/>
        <w:br/>
        <w:t>CREATE POLICY "Users can view own pickups" ON pickups</w:t>
        <w:br/>
        <w:t xml:space="preserve">  FOR SELECT USING (auth.uid() = user_id);</w:t>
        <w:br/>
        <w:br/>
        <w:t>CREATE POLICY "Collectors can view and update assigned route pickups" ON pickups</w:t>
        <w:br/>
        <w:t xml:space="preserve">  FOR ALL USING (auth.uid() = collector_id);</w:t>
        <w:br/>
        <w:br/>
        <w:t>CREATE POLICY "Admins have universal access" ON pickups</w:t>
        <w:br/>
        <w:t xml:space="preserve">  FOR ALL USING (EXISTS (SELECT 1 FROM users WHERE id = auth.uid() AND role = 'admin'));</w:t>
      </w:r>
    </w:p>
    <w:p>
      <w:r>
        <w:br w:type="page"/>
      </w:r>
    </w:p>
    <w:p>
      <w:pPr>
        <w:keepNext/>
        <w:spacing w:before="360" w:after="160"/>
        <w:jc w:val="left"/>
      </w:pPr>
      <w:r>
        <w:rPr>
          <w:rFonts w:ascii="Times New Roman" w:hAnsi="Times New Roman"/>
          <w:b/>
          <w:color w:val="064E3B"/>
          <w:sz w:val="36"/>
        </w:rPr>
        <w:t>Appendix IV: Project Logbook &amp; Mentoring Meeting Minutes</w:t>
      </w:r>
    </w:p>
    <w:p>
      <w:pPr>
        <w:spacing w:before="0" w:after="120" w:line="360" w:lineRule="auto"/>
        <w:jc w:val="left"/>
      </w:pPr>
      <w:r>
        <w:rPr>
          <w:rFonts w:ascii="Times New Roman" w:hAnsi="Times New Roman"/>
          <w:b w:val="0"/>
          <w:i/>
          <w:sz w:val="22"/>
        </w:rPr>
        <w:t>This appendix reproduces the complete weekly mentoring logbook maintained with Prof. Deepali A. Maste across Weeks 1 to 14.</w:t>
      </w:r>
    </w:p>
    <w:p>
      <w:pPr>
        <w:spacing w:before="0" w:after="120" w:line="360" w:lineRule="auto"/>
        <w:jc w:val="left"/>
      </w:pPr>
      <w:r>
        <w:rPr>
          <w:rFonts w:ascii="Times New Roman" w:hAnsi="Times New Roman"/>
          <w:b w:val="0"/>
          <w:i w:val="0"/>
          <w:sz w:val="24"/>
        </w:rPr>
        <w:t>A full verbatim copy of the project logbook is preserved in `docs/PROJECT_LOGBOOK_AND_MENTORING_RECORDS.md`. Every session includes attendees, agenda, technical progress, mentor guidance, action items, and verification sign-offs. Mentoring meetings were conducted on a strict weekly schedule in Lab 402 and the Department Meeting Room, MPSTME Mumbai.</w:t>
      </w:r>
    </w:p>
    <w:p>
      <w:r>
        <w:br w:type="page"/>
      </w:r>
    </w:p>
    <w:p>
      <w:pPr>
        <w:keepNext/>
        <w:spacing w:before="360" w:after="160"/>
        <w:jc w:val="left"/>
      </w:pPr>
      <w:r>
        <w:rPr>
          <w:rFonts w:ascii="Times New Roman" w:hAnsi="Times New Roman"/>
          <w:b/>
          <w:color w:val="064E3B"/>
          <w:sz w:val="36"/>
        </w:rPr>
        <w:t>Appendix V: Vertical-Specific Evidence (Entrepreneurship)</w:t>
      </w:r>
    </w:p>
    <w:p>
      <w:pPr>
        <w:spacing w:before="0" w:after="120" w:line="360" w:lineRule="auto"/>
        <w:jc w:val="left"/>
      </w:pPr>
      <w:r>
        <w:rPr>
          <w:rFonts w:ascii="Times New Roman" w:hAnsi="Times New Roman"/>
          <w:b w:val="0"/>
          <w:i/>
          <w:sz w:val="22"/>
        </w:rPr>
        <w:t>This appendix compiles the specialized evidence required for the Entrepreneurship Vertical.</w:t>
      </w:r>
    </w:p>
    <w:p>
      <w:pPr>
        <w:keepNext/>
        <w:spacing w:before="280" w:after="120"/>
        <w:jc w:val="left"/>
      </w:pPr>
      <w:r>
        <w:rPr>
          <w:rFonts w:ascii="Times New Roman" w:hAnsi="Times New Roman"/>
          <w:b/>
          <w:color w:val="047857"/>
          <w:sz w:val="28"/>
        </w:rPr>
        <w:t>A5.1 Business Model Canvas (BMC) Overview</w:t>
      </w:r>
    </w:p>
    <w:p>
      <w:pPr>
        <w:spacing w:before="0" w:after="120" w:line="360" w:lineRule="auto"/>
        <w:jc w:val="left"/>
      </w:pPr>
      <w:r>
        <w:rPr>
          <w:rFonts w:ascii="Times New Roman" w:hAnsi="Times New Roman"/>
          <w:b w:val="0"/>
          <w:i w:val="0"/>
          <w:sz w:val="24"/>
        </w:rPr>
        <w:t>The nine building blocks are detailed in `docs/BUSINESS_MODEL_CANVAS.md`, highlighting the dual-revenue engine of B2B SWM compliance retainers (₹2,500–₹5,000/mo) and agricultural product sales (₹14.50/kg blended realization).</w:t>
      </w:r>
    </w:p>
    <w:p>
      <w:pPr>
        <w:keepNext/>
        <w:spacing w:before="280" w:after="120"/>
        <w:jc w:val="left"/>
      </w:pPr>
      <w:r>
        <w:rPr>
          <w:rFonts w:ascii="Times New Roman" w:hAnsi="Times New Roman"/>
          <w:b/>
          <w:color w:val="047857"/>
          <w:sz w:val="28"/>
        </w:rPr>
        <w:t>A5.2 Customer Discovery &amp; Market Sizing</w:t>
      </w:r>
    </w:p>
    <w:p>
      <w:pPr>
        <w:spacing w:before="0" w:after="120" w:line="360" w:lineRule="auto"/>
        <w:jc w:val="left"/>
      </w:pPr>
      <w:r>
        <w:rPr>
          <w:rFonts w:ascii="Times New Roman" w:hAnsi="Times New Roman"/>
          <w:b w:val="0"/>
          <w:i w:val="0"/>
          <w:sz w:val="24"/>
        </w:rPr>
        <w:t>Detailed in `docs/MARKET_AND_COMPETITOR_ANALYSIS.md`, validating ₹14,800 Crores TAM, ₹1,420 Crores SAM, and ₹48.5 Crores SOM, supported by survey data from 45 commercial kitchens, 80 residential complexes, and 65 smallholders.</w:t>
      </w:r>
    </w:p>
    <w:p>
      <w:pPr>
        <w:keepNext/>
        <w:spacing w:before="280" w:after="120"/>
        <w:jc w:val="left"/>
      </w:pPr>
      <w:r>
        <w:rPr>
          <w:rFonts w:ascii="Times New Roman" w:hAnsi="Times New Roman"/>
          <w:b/>
          <w:color w:val="047857"/>
          <w:sz w:val="28"/>
        </w:rPr>
        <w:t>A5.3 TBI &amp; Incubator Alignment</w:t>
      </w:r>
    </w:p>
    <w:p>
      <w:pPr>
        <w:spacing w:before="0" w:after="120" w:line="360" w:lineRule="auto"/>
        <w:jc w:val="left"/>
      </w:pPr>
      <w:r>
        <w:rPr>
          <w:rFonts w:ascii="Times New Roman" w:hAnsi="Times New Roman"/>
          <w:b w:val="0"/>
          <w:i w:val="0"/>
          <w:sz w:val="24"/>
        </w:rPr>
        <w:t>Detailed in `docs/INCUBATOR_INTERACTION_DOSSIER.md`, including Cohort 8 pre-incubation application with Atal Incubation Centre (AIC - NMIMS) and grant filings for SISFS (₹20L) and RKVY-RAFTAAR (₹25L).</w:t>
      </w:r>
    </w:p>
    <w:p>
      <w:r>
        <w:br w:type="page"/>
      </w:r>
    </w:p>
    <w:p>
      <w:pPr>
        <w:keepNext/>
        <w:spacing w:before="360" w:after="160"/>
        <w:jc w:val="left"/>
      </w:pPr>
      <w:r>
        <w:rPr>
          <w:rFonts w:ascii="Times New Roman" w:hAnsi="Times New Roman"/>
          <w:b/>
          <w:color w:val="064E3B"/>
          <w:sz w:val="36"/>
        </w:rPr>
        <w:t>Appendix VI: Competition Certificate &amp; Awards</w:t>
      </w:r>
    </w:p>
    <w:p>
      <w:pPr>
        <w:spacing w:before="0" w:after="120" w:line="360" w:lineRule="auto"/>
        <w:jc w:val="left"/>
      </w:pPr>
      <w:r>
        <w:rPr>
          <w:rFonts w:ascii="Times New Roman" w:hAnsi="Times New Roman"/>
          <w:b w:val="0"/>
          <w:i/>
          <w:sz w:val="22"/>
        </w:rPr>
        <w:t>This appendix documents external competition achievements and embeds the official Certificate of Achievement.</w:t>
      </w:r>
    </w:p>
    <w:p>
      <w:pPr>
        <w:keepNext/>
        <w:spacing w:before="280" w:after="120"/>
        <w:jc w:val="left"/>
      </w:pPr>
      <w:r>
        <w:rPr>
          <w:rFonts w:ascii="Times New Roman" w:hAnsi="Times New Roman"/>
          <w:b/>
          <w:color w:val="047857"/>
          <w:sz w:val="28"/>
        </w:rPr>
        <w:t>A6.1 INNOVATE 360° (2026–27) - 3rd Position Award</w:t>
      </w:r>
    </w:p>
    <w:p>
      <w:pPr>
        <w:spacing w:before="0" w:after="120" w:line="360" w:lineRule="auto"/>
        <w:jc w:val="left"/>
      </w:pPr>
      <w:r>
        <w:rPr>
          <w:rFonts w:ascii="Times New Roman" w:hAnsi="Times New Roman"/>
          <w:b w:val="0"/>
          <w:i w:val="0"/>
          <w:sz w:val="24"/>
        </w:rPr>
        <w:t>• Event: INNOVATE 360° Project &amp; Startup Challenge (In collaboration with SIG AI MPSTME).</w:t>
      </w:r>
    </w:p>
    <w:p>
      <w:pPr>
        <w:spacing w:before="0" w:after="120" w:line="360" w:lineRule="auto"/>
        <w:jc w:val="left"/>
      </w:pPr>
      <w:r>
        <w:rPr>
          <w:rFonts w:ascii="Times New Roman" w:hAnsi="Times New Roman"/>
          <w:b w:val="0"/>
          <w:i w:val="0"/>
          <w:sz w:val="24"/>
        </w:rPr>
        <w:t>• Date: 4th September 2026 | Venue: Mukesh Patel Auditorium, MPSTME Mumbai.</w:t>
      </w:r>
    </w:p>
    <w:p>
      <w:pPr>
        <w:spacing w:before="0" w:after="120" w:line="360" w:lineRule="auto"/>
        <w:jc w:val="left"/>
      </w:pPr>
      <w:r>
        <w:rPr>
          <w:rFonts w:ascii="Times New Roman" w:hAnsi="Times New Roman"/>
          <w:b w:val="0"/>
          <w:i w:val="0"/>
          <w:sz w:val="24"/>
        </w:rPr>
        <w:t>• Awardee: Veer Nagda | Result: Secured 3rd Position across all competitive department entries.</w:t>
      </w:r>
    </w:p>
    <w:p>
      <w:pPr>
        <w:spacing w:before="0" w:after="120" w:line="360" w:lineRule="auto"/>
        <w:jc w:val="left"/>
      </w:pPr>
      <w:r>
        <w:rPr>
          <w:rFonts w:ascii="Times New Roman" w:hAnsi="Times New Roman"/>
          <w:b w:val="0"/>
          <w:i w:val="0"/>
          <w:sz w:val="24"/>
        </w:rPr>
        <w:t>• Signatories: Dr. Priti Rumao (Professor &amp; Head of Department, Computer Engineering) and Professor in-Charge.</w:t>
      </w:r>
    </w:p>
    <w:p>
      <w:pPr>
        <w:spacing w:before="120" w:after="120" w:line="360" w:lineRule="auto"/>
        <w:jc w:val="left"/>
      </w:pPr>
      <w:r>
        <w:rPr>
          <w:rFonts w:ascii="Times New Roman" w:hAnsi="Times New Roman"/>
          <w:b w:val="0"/>
          <w:i/>
          <w:sz w:val="20"/>
        </w:rPr>
        <w:t>Below is the verified digitized Certificate of Achievement:</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ertificate.png"/>
                    <pic:cNvPicPr/>
                  </pic:nvPicPr>
                  <pic:blipFill>
                    <a:blip r:embed="rId11"/>
                    <a:stretch>
                      <a:fillRect/>
                    </a:stretch>
                  </pic:blipFill>
                  <pic:spPr>
                    <a:xfrm>
                      <a:off x="0" y="0"/>
                      <a:ext cx="5029200" cy="3771900"/>
                    </a:xfrm>
                    <a:prstGeom prst="rect"/>
                  </pic:spPr>
                </pic:pic>
              </a:graphicData>
            </a:graphic>
          </wp:inline>
        </w:drawing>
      </w:r>
    </w:p>
    <w:p>
      <w:pPr>
        <w:jc w:val="center"/>
      </w:pPr>
      <w:r>
        <w:rPr>
          <w:rFonts w:ascii="Times New Roman" w:hAnsi="Times New Roman"/>
          <w:i/>
          <w:sz w:val="20"/>
        </w:rPr>
        <w:t>Fig. VI.1: Official Certificate of Achievement - INNOVATE 360° 3rd Position Award</w:t>
      </w:r>
    </w:p>
    <w:p>
      <w:r>
        <w:br w:type="page"/>
      </w:r>
    </w:p>
    <w:p>
      <w:pPr>
        <w:keepNext/>
        <w:spacing w:before="360" w:after="160"/>
        <w:jc w:val="left"/>
      </w:pPr>
      <w:r>
        <w:rPr>
          <w:rFonts w:ascii="Times New Roman" w:hAnsi="Times New Roman"/>
          <w:b/>
          <w:color w:val="064E3B"/>
          <w:sz w:val="36"/>
        </w:rPr>
        <w:t>Appendix VII: AI-Tool Use Disclosure Log</w:t>
      </w:r>
    </w:p>
    <w:p>
      <w:pPr>
        <w:spacing w:before="0" w:after="120" w:line="360" w:lineRule="auto"/>
        <w:jc w:val="left"/>
      </w:pPr>
      <w:r>
        <w:rPr>
          <w:rFonts w:ascii="Times New Roman" w:hAnsi="Times New Roman"/>
          <w:b w:val="0"/>
          <w:i/>
          <w:sz w:val="22"/>
        </w:rPr>
        <w:t>In compliance with NMIMS academic integrity regulations, all generative AI tool interactions are disclosed below.</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F1F5F9"/>
          </w:tcPr>
          <w:p>
            <w:pPr>
              <w:spacing w:line="264" w:lineRule="auto" w:after="40"/>
            </w:pPr>
            <w:r>
              <w:rPr>
                <w:rFonts w:ascii="Times New Roman" w:hAnsi="Times New Roman"/>
                <w:b/>
                <w:sz w:val="17"/>
              </w:rPr>
              <w:t>Date</w:t>
            </w:r>
          </w:p>
        </w:tc>
        <w:tc>
          <w:tcPr>
            <w:tcW w:type="dxa" w:w="1662"/>
            <w:shd w:fill="F1F5F9"/>
          </w:tcPr>
          <w:p>
            <w:pPr>
              <w:spacing w:line="264" w:lineRule="auto" w:after="40"/>
            </w:pPr>
            <w:r>
              <w:rPr>
                <w:rFonts w:ascii="Times New Roman" w:hAnsi="Times New Roman"/>
                <w:b/>
                <w:sz w:val="17"/>
              </w:rPr>
              <w:t>AI Tool &amp; Version</w:t>
            </w:r>
          </w:p>
        </w:tc>
        <w:tc>
          <w:tcPr>
            <w:tcW w:type="dxa" w:w="1662"/>
            <w:shd w:fill="F1F5F9"/>
          </w:tcPr>
          <w:p>
            <w:pPr>
              <w:spacing w:line="264" w:lineRule="auto" w:after="40"/>
            </w:pPr>
            <w:r>
              <w:rPr>
                <w:rFonts w:ascii="Times New Roman" w:hAnsi="Times New Roman"/>
                <w:b/>
                <w:sz w:val="17"/>
              </w:rPr>
              <w:t>Task / Purpose</w:t>
            </w:r>
          </w:p>
        </w:tc>
        <w:tc>
          <w:tcPr>
            <w:tcW w:type="dxa" w:w="1662"/>
            <w:shd w:fill="F1F5F9"/>
          </w:tcPr>
          <w:p>
            <w:pPr>
              <w:spacing w:line="264" w:lineRule="auto" w:after="40"/>
            </w:pPr>
            <w:r>
              <w:rPr>
                <w:rFonts w:ascii="Times New Roman" w:hAnsi="Times New Roman"/>
                <w:b/>
                <w:sz w:val="17"/>
              </w:rPr>
              <w:t>Prompt / Input Summary</w:t>
            </w:r>
          </w:p>
        </w:tc>
        <w:tc>
          <w:tcPr>
            <w:tcW w:type="dxa" w:w="1662"/>
            <w:shd w:fill="F1F5F9"/>
          </w:tcPr>
          <w:p>
            <w:pPr>
              <w:spacing w:line="264" w:lineRule="auto" w:after="40"/>
            </w:pPr>
            <w:r>
              <w:rPr>
                <w:rFonts w:ascii="Times New Roman" w:hAnsi="Times New Roman"/>
                <w:b/>
                <w:sz w:val="17"/>
              </w:rPr>
              <w:t>Verification &amp; Human Curation</w:t>
            </w:r>
          </w:p>
        </w:tc>
      </w:tr>
      <w:tr>
        <w:tc>
          <w:tcPr>
            <w:tcW w:type="dxa" w:w="1662"/>
          </w:tcPr>
          <w:p>
            <w:pPr>
              <w:spacing w:line="264" w:lineRule="auto" w:after="40"/>
            </w:pPr>
            <w:r>
              <w:rPr>
                <w:rFonts w:ascii="Times New Roman" w:hAnsi="Times New Roman"/>
                <w:b/>
                <w:sz w:val="16"/>
              </w:rPr>
              <w:t>26-Jul-2026</w:t>
            </w:r>
          </w:p>
        </w:tc>
        <w:tc>
          <w:tcPr>
            <w:tcW w:type="dxa" w:w="1662"/>
          </w:tcPr>
          <w:p>
            <w:pPr>
              <w:spacing w:line="264" w:lineRule="auto" w:after="40"/>
            </w:pPr>
            <w:r>
              <w:rPr>
                <w:rFonts w:ascii="Times New Roman" w:hAnsi="Times New Roman"/>
                <w:sz w:val="16"/>
              </w:rPr>
              <w:t>Gemini 1.5 Pro</w:t>
            </w:r>
          </w:p>
        </w:tc>
        <w:tc>
          <w:tcPr>
            <w:tcW w:type="dxa" w:w="1662"/>
          </w:tcPr>
          <w:p>
            <w:pPr>
              <w:spacing w:line="264" w:lineRule="auto" w:after="40"/>
            </w:pPr>
            <w:r>
              <w:rPr>
                <w:rFonts w:ascii="Times New Roman" w:hAnsi="Times New Roman"/>
                <w:sz w:val="16"/>
              </w:rPr>
              <w:t>Literature Survey Synthesis</w:t>
            </w:r>
          </w:p>
        </w:tc>
        <w:tc>
          <w:tcPr>
            <w:tcW w:type="dxa" w:w="1662"/>
          </w:tcPr>
          <w:p>
            <w:pPr>
              <w:spacing w:line="264" w:lineRule="auto" w:after="40"/>
            </w:pPr>
            <w:r>
              <w:rPr>
                <w:rFonts w:ascii="Times New Roman" w:hAnsi="Times New Roman"/>
                <w:sz w:val="16"/>
              </w:rPr>
              <w:t>Summarized CPCB municipal solid waste reports &amp; SOC degradation</w:t>
            </w:r>
          </w:p>
        </w:tc>
        <w:tc>
          <w:tcPr>
            <w:tcW w:type="dxa" w:w="1662"/>
          </w:tcPr>
          <w:p>
            <w:pPr>
              <w:spacing w:line="264" w:lineRule="auto" w:after="40"/>
            </w:pPr>
            <w:r>
              <w:rPr>
                <w:rFonts w:ascii="Times New Roman" w:hAnsi="Times New Roman"/>
                <w:sz w:val="16"/>
              </w:rPr>
              <w:t>Extracted verified statistics; cross-checked with MoEFCC 2016 gazette.</w:t>
            </w:r>
          </w:p>
        </w:tc>
      </w:tr>
      <w:tr>
        <w:tc>
          <w:tcPr>
            <w:tcW w:type="dxa" w:w="1662"/>
          </w:tcPr>
          <w:p>
            <w:pPr>
              <w:spacing w:line="264" w:lineRule="auto" w:after="40"/>
            </w:pPr>
            <w:r>
              <w:rPr>
                <w:rFonts w:ascii="Times New Roman" w:hAnsi="Times New Roman"/>
                <w:b/>
                <w:sz w:val="16"/>
              </w:rPr>
              <w:t>12-Aug-2026</w:t>
            </w:r>
          </w:p>
        </w:tc>
        <w:tc>
          <w:tcPr>
            <w:tcW w:type="dxa" w:w="1662"/>
          </w:tcPr>
          <w:p>
            <w:pPr>
              <w:spacing w:line="264" w:lineRule="auto" w:after="40"/>
            </w:pPr>
            <w:r>
              <w:rPr>
                <w:rFonts w:ascii="Times New Roman" w:hAnsi="Times New Roman"/>
                <w:sz w:val="16"/>
              </w:rPr>
              <w:t>Gemini 1.5 Pro</w:t>
            </w:r>
          </w:p>
        </w:tc>
        <w:tc>
          <w:tcPr>
            <w:tcW w:type="dxa" w:w="1662"/>
          </w:tcPr>
          <w:p>
            <w:pPr>
              <w:spacing w:line="264" w:lineRule="auto" w:after="40"/>
            </w:pPr>
            <w:r>
              <w:rPr>
                <w:rFonts w:ascii="Times New Roman" w:hAnsi="Times New Roman"/>
                <w:sz w:val="16"/>
              </w:rPr>
              <w:t>TypeScript Schema &amp; RLS</w:t>
            </w:r>
          </w:p>
        </w:tc>
        <w:tc>
          <w:tcPr>
            <w:tcW w:type="dxa" w:w="1662"/>
          </w:tcPr>
          <w:p>
            <w:pPr>
              <w:spacing w:line="264" w:lineRule="auto" w:after="40"/>
            </w:pPr>
            <w:r>
              <w:rPr>
                <w:rFonts w:ascii="Times New Roman" w:hAnsi="Times New Roman"/>
                <w:sz w:val="16"/>
              </w:rPr>
              <w:t>Generated boilerplate TypeScript types for pickup state machine</w:t>
            </w:r>
          </w:p>
        </w:tc>
        <w:tc>
          <w:tcPr>
            <w:tcW w:type="dxa" w:w="1662"/>
          </w:tcPr>
          <w:p>
            <w:pPr>
              <w:spacing w:line="264" w:lineRule="auto" w:after="40"/>
            </w:pPr>
            <w:r>
              <w:rPr>
                <w:rFonts w:ascii="Times New Roman" w:hAnsi="Times New Roman"/>
                <w:sz w:val="16"/>
              </w:rPr>
              <w:t>Hand-audited all interfaces; wrote custom PostgreSQL RLS policies in Supabase.</w:t>
            </w:r>
          </w:p>
        </w:tc>
      </w:tr>
      <w:tr>
        <w:tc>
          <w:tcPr>
            <w:tcW w:type="dxa" w:w="1662"/>
          </w:tcPr>
          <w:p>
            <w:pPr>
              <w:spacing w:line="264" w:lineRule="auto" w:after="40"/>
            </w:pPr>
            <w:r>
              <w:rPr>
                <w:rFonts w:ascii="Times New Roman" w:hAnsi="Times New Roman"/>
                <w:b/>
                <w:sz w:val="16"/>
              </w:rPr>
              <w:t>25-Aug-2026</w:t>
            </w:r>
          </w:p>
        </w:tc>
        <w:tc>
          <w:tcPr>
            <w:tcW w:type="dxa" w:w="1662"/>
          </w:tcPr>
          <w:p>
            <w:pPr>
              <w:spacing w:line="264" w:lineRule="auto" w:after="40"/>
            </w:pPr>
            <w:r>
              <w:rPr>
                <w:rFonts w:ascii="Times New Roman" w:hAnsi="Times New Roman"/>
                <w:sz w:val="16"/>
              </w:rPr>
              <w:t>Gemini 1.5 Pro</w:t>
            </w:r>
          </w:p>
        </w:tc>
        <w:tc>
          <w:tcPr>
            <w:tcW w:type="dxa" w:w="1662"/>
          </w:tcPr>
          <w:p>
            <w:pPr>
              <w:spacing w:line="264" w:lineRule="auto" w:after="40"/>
            </w:pPr>
            <w:r>
              <w:rPr>
                <w:rFonts w:ascii="Times New Roman" w:hAnsi="Times New Roman"/>
                <w:sz w:val="16"/>
              </w:rPr>
              <w:t>Agronomic Prompt Engineering</w:t>
            </w:r>
          </w:p>
        </w:tc>
        <w:tc>
          <w:tcPr>
            <w:tcW w:type="dxa" w:w="1662"/>
          </w:tcPr>
          <w:p>
            <w:pPr>
              <w:spacing w:line="264" w:lineRule="auto" w:after="40"/>
            </w:pPr>
            <w:r>
              <w:rPr>
                <w:rFonts w:ascii="Times New Roman" w:hAnsi="Times New Roman"/>
                <w:sz w:val="16"/>
              </w:rPr>
              <w:t>Formulated ICAR NPK dosage conversion prompt for smallholders</w:t>
            </w:r>
          </w:p>
        </w:tc>
        <w:tc>
          <w:tcPr>
            <w:tcW w:type="dxa" w:w="1662"/>
          </w:tcPr>
          <w:p>
            <w:pPr>
              <w:spacing w:line="264" w:lineRule="auto" w:after="40"/>
            </w:pPr>
            <w:r>
              <w:rPr>
                <w:rFonts w:ascii="Times New Roman" w:hAnsi="Times New Roman"/>
                <w:sz w:val="16"/>
              </w:rPr>
              <w:t>Tested against ICAR bulletins; created deterministic clamp to eliminate hallucinations.</w:t>
            </w:r>
          </w:p>
        </w:tc>
      </w:tr>
      <w:tr>
        <w:tc>
          <w:tcPr>
            <w:tcW w:type="dxa" w:w="1662"/>
          </w:tcPr>
          <w:p>
            <w:pPr>
              <w:spacing w:line="264" w:lineRule="auto" w:after="40"/>
            </w:pPr>
            <w:r>
              <w:rPr>
                <w:rFonts w:ascii="Times New Roman" w:hAnsi="Times New Roman"/>
                <w:b/>
                <w:sz w:val="16"/>
              </w:rPr>
              <w:t>15-Sep-2026</w:t>
            </w:r>
          </w:p>
        </w:tc>
        <w:tc>
          <w:tcPr>
            <w:tcW w:type="dxa" w:w="1662"/>
          </w:tcPr>
          <w:p>
            <w:pPr>
              <w:spacing w:line="264" w:lineRule="auto" w:after="40"/>
            </w:pPr>
            <w:r>
              <w:rPr>
                <w:rFonts w:ascii="Times New Roman" w:hAnsi="Times New Roman"/>
                <w:sz w:val="16"/>
              </w:rPr>
              <w:t>Gemini 1.5 Pro</w:t>
            </w:r>
          </w:p>
        </w:tc>
        <w:tc>
          <w:tcPr>
            <w:tcW w:type="dxa" w:w="1662"/>
          </w:tcPr>
          <w:p>
            <w:pPr>
              <w:spacing w:line="264" w:lineRule="auto" w:after="40"/>
            </w:pPr>
            <w:r>
              <w:rPr>
                <w:rFonts w:ascii="Times New Roman" w:hAnsi="Times New Roman"/>
                <w:sz w:val="16"/>
              </w:rPr>
              <w:t>Playwright E2E Test Suite</w:t>
            </w:r>
          </w:p>
        </w:tc>
        <w:tc>
          <w:tcPr>
            <w:tcW w:type="dxa" w:w="1662"/>
          </w:tcPr>
          <w:p>
            <w:pPr>
              <w:spacing w:line="264" w:lineRule="auto" w:after="40"/>
            </w:pPr>
            <w:r>
              <w:rPr>
                <w:rFonts w:ascii="Times New Roman" w:hAnsi="Times New Roman"/>
                <w:sz w:val="16"/>
              </w:rPr>
              <w:t>Drafted end-to-end integration test scenarios for role routing</w:t>
            </w:r>
          </w:p>
        </w:tc>
        <w:tc>
          <w:tcPr>
            <w:tcW w:type="dxa" w:w="1662"/>
          </w:tcPr>
          <w:p>
            <w:pPr>
              <w:spacing w:line="264" w:lineRule="auto" w:after="40"/>
            </w:pPr>
            <w:r>
              <w:rPr>
                <w:rFonts w:ascii="Times New Roman" w:hAnsi="Times New Roman"/>
                <w:sz w:val="16"/>
              </w:rPr>
              <w:t>Executed locally via npm run test:e2e; verified all assertions pass.</w:t>
            </w:r>
          </w:p>
        </w:tc>
      </w:tr>
      <w:tr>
        <w:tc>
          <w:tcPr>
            <w:tcW w:type="dxa" w:w="1662"/>
          </w:tcPr>
          <w:p>
            <w:pPr>
              <w:spacing w:line="264" w:lineRule="auto" w:after="40"/>
            </w:pPr>
            <w:r>
              <w:rPr>
                <w:rFonts w:ascii="Times New Roman" w:hAnsi="Times New Roman"/>
                <w:b/>
                <w:sz w:val="16"/>
              </w:rPr>
              <w:t>10-Oct-2026</w:t>
            </w:r>
          </w:p>
        </w:tc>
        <w:tc>
          <w:tcPr>
            <w:tcW w:type="dxa" w:w="1662"/>
          </w:tcPr>
          <w:p>
            <w:pPr>
              <w:spacing w:line="264" w:lineRule="auto" w:after="40"/>
            </w:pPr>
            <w:r>
              <w:rPr>
                <w:rFonts w:ascii="Times New Roman" w:hAnsi="Times New Roman"/>
                <w:sz w:val="16"/>
              </w:rPr>
              <w:t>Gemini 1.5 Pro</w:t>
            </w:r>
          </w:p>
        </w:tc>
        <w:tc>
          <w:tcPr>
            <w:tcW w:type="dxa" w:w="1662"/>
          </w:tcPr>
          <w:p>
            <w:pPr>
              <w:spacing w:line="264" w:lineRule="auto" w:after="40"/>
            </w:pPr>
            <w:r>
              <w:rPr>
                <w:rFonts w:ascii="Times New Roman" w:hAnsi="Times New Roman"/>
                <w:sz w:val="16"/>
              </w:rPr>
              <w:t>Report Formatting &amp; Grammar</w:t>
            </w:r>
          </w:p>
        </w:tc>
        <w:tc>
          <w:tcPr>
            <w:tcW w:type="dxa" w:w="1662"/>
          </w:tcPr>
          <w:p>
            <w:pPr>
              <w:spacing w:line="264" w:lineRule="auto" w:after="40"/>
            </w:pPr>
            <w:r>
              <w:rPr>
                <w:rFonts w:ascii="Times New Roman" w:hAnsi="Times New Roman"/>
                <w:sz w:val="16"/>
              </w:rPr>
              <w:t>Audited draft text for IEEE citation styling and formatting checks</w:t>
            </w:r>
          </w:p>
        </w:tc>
        <w:tc>
          <w:tcPr>
            <w:tcW w:type="dxa" w:w="1662"/>
          </w:tcPr>
          <w:p>
            <w:pPr>
              <w:spacing w:line="264" w:lineRule="auto" w:after="40"/>
            </w:pPr>
            <w:r>
              <w:rPr>
                <w:rFonts w:ascii="Times New Roman" w:hAnsi="Times New Roman"/>
                <w:sz w:val="16"/>
              </w:rPr>
              <w:t>Reviewed sentence by sentence; ensured 100% compliance with Table 1 guidelines.</w:t>
            </w:r>
          </w:p>
        </w:tc>
      </w:tr>
    </w:tbl>
    <w:p>
      <w:pPr>
        <w:spacing w:before="300" w:after="120" w:line="360" w:lineRule="auto"/>
        <w:jc w:val="left"/>
      </w:pPr>
      <w:r>
        <w:rPr>
          <w:rFonts w:ascii="Times New Roman" w:hAnsi="Times New Roman"/>
          <w:b/>
          <w:i w:val="0"/>
          <w:sz w:val="22"/>
        </w:rPr>
        <w:t>Verification Statement: I confirm that all AI-generated suggestions were critically evaluated, modified, and verified by me, and that no unverified or plagiarized text exists within this project submission.</w:t>
      </w:r>
    </w:p>
    <w:p>
      <w:r>
        <w:br w:type="page"/>
      </w:r>
    </w:p>
    <w:p>
      <w:pPr>
        <w:keepNext/>
        <w:spacing w:before="360" w:after="160"/>
        <w:jc w:val="left"/>
      </w:pPr>
      <w:r>
        <w:rPr>
          <w:rFonts w:ascii="Times New Roman" w:hAnsi="Times New Roman"/>
          <w:b/>
          <w:color w:val="064E3B"/>
          <w:sz w:val="36"/>
        </w:rPr>
        <w:t>Submission Checklist (Section 7 Verification)</w:t>
      </w:r>
    </w:p>
    <w:p>
      <w:pPr>
        <w:spacing w:before="0" w:after="120" w:line="360" w:lineRule="auto"/>
        <w:jc w:val="left"/>
      </w:pPr>
      <w:r>
        <w:rPr>
          <w:rFonts w:ascii="Times New Roman" w:hAnsi="Times New Roman"/>
          <w:b w:val="0"/>
          <w:i/>
          <w:sz w:val="22"/>
        </w:rPr>
        <w:t>The following checklist confirms compliance with all University guidelines prior to final evaluation.</w:t>
      </w:r>
    </w:p>
    <w:tbl>
      <w:tblPr>
        <w:tblW w:type="auto" w:w="0"/>
        <w:jc w:val="center"/>
        <w:tblLook w:firstColumn="1" w:firstRow="1" w:lastColumn="0" w:lastRow="0" w:noHBand="0" w:noVBand="1" w:val="04A0"/>
      </w:tblPr>
      <w:tblGrid>
        <w:gridCol w:w="4154"/>
        <w:gridCol w:w="4154"/>
      </w:tblGrid>
      <w:tr>
        <w:tc>
          <w:tcPr>
            <w:tcW w:type="dxa" w:w="4154"/>
            <w:shd w:fill="F1F5F9"/>
          </w:tcPr>
          <w:p>
            <w:pPr>
              <w:spacing w:line="276" w:lineRule="auto" w:after="60"/>
            </w:pPr>
            <w:r>
              <w:rPr>
                <w:rFonts w:ascii="Times New Roman" w:hAnsi="Times New Roman"/>
                <w:b/>
                <w:sz w:val="19"/>
              </w:rPr>
              <w:t>Item to Confirm Before Submission</w:t>
            </w:r>
          </w:p>
        </w:tc>
        <w:tc>
          <w:tcPr>
            <w:tcW w:type="dxa" w:w="4154"/>
            <w:shd w:fill="F1F5F9"/>
          </w:tcPr>
          <w:p>
            <w:pPr>
              <w:spacing w:line="276" w:lineRule="auto" w:after="60"/>
            </w:pPr>
            <w:r>
              <w:rPr>
                <w:rFonts w:ascii="Times New Roman" w:hAnsi="Times New Roman"/>
                <w:b/>
                <w:sz w:val="19"/>
              </w:rPr>
              <w:t>Mentor Verification Status</w:t>
            </w:r>
          </w:p>
        </w:tc>
      </w:tr>
      <w:tr>
        <w:tc>
          <w:tcPr>
            <w:tcW w:type="dxa" w:w="4154"/>
          </w:tcPr>
          <w:p>
            <w:pPr>
              <w:spacing w:line="276" w:lineRule="auto" w:after="60"/>
            </w:pPr>
            <w:r>
              <w:rPr>
                <w:rFonts w:ascii="Times New Roman" w:hAnsi="Times New Roman"/>
                <w:sz w:val="18"/>
              </w:rPr>
              <w:t>Cover page, certificate, acknowledgement / team details and declaration completed</w:t>
            </w:r>
          </w:p>
        </w:tc>
        <w:tc>
          <w:tcPr>
            <w:tcW w:type="dxa" w:w="4154"/>
          </w:tcPr>
          <w:p>
            <w:pPr>
              <w:spacing w:line="276" w:lineRule="auto" w:after="60"/>
            </w:pPr>
            <w:r>
              <w:rPr>
                <w:rFonts w:ascii="Times New Roman" w:hAnsi="Times New Roman"/>
                <w:b/>
                <w:sz w:val="18"/>
              </w:rPr>
              <w:t>[ CONFIRMED &amp; SIGNED ]</w:t>
            </w:r>
          </w:p>
        </w:tc>
      </w:tr>
      <w:tr>
        <w:tc>
          <w:tcPr>
            <w:tcW w:type="dxa" w:w="4154"/>
          </w:tcPr>
          <w:p>
            <w:pPr>
              <w:spacing w:line="276" w:lineRule="auto" w:after="60"/>
            </w:pPr>
            <w:r>
              <w:rPr>
                <w:rFonts w:ascii="Times New Roman" w:hAnsi="Times New Roman"/>
                <w:sz w:val="18"/>
              </w:rPr>
              <w:t>Abstract is about one page; contents, lists of figures, tables and abbreviations included</w:t>
            </w:r>
          </w:p>
        </w:tc>
        <w:tc>
          <w:tcPr>
            <w:tcW w:type="dxa" w:w="4154"/>
          </w:tcPr>
          <w:p>
            <w:pPr>
              <w:spacing w:line="276" w:lineRule="auto" w:after="60"/>
            </w:pPr>
            <w:r>
              <w:rPr>
                <w:rFonts w:ascii="Times New Roman" w:hAnsi="Times New Roman"/>
                <w:b/>
                <w:sz w:val="18"/>
              </w:rPr>
              <w:t>[ CONFIRMED &amp; INCLUDED ]</w:t>
            </w:r>
          </w:p>
        </w:tc>
      </w:tr>
      <w:tr>
        <w:tc>
          <w:tcPr>
            <w:tcW w:type="dxa" w:w="4154"/>
          </w:tcPr>
          <w:p>
            <w:pPr>
              <w:spacing w:line="276" w:lineRule="auto" w:after="60"/>
            </w:pPr>
            <w:r>
              <w:rPr>
                <w:rFonts w:ascii="Times New Roman" w:hAnsi="Times New Roman"/>
                <w:sz w:val="18"/>
              </w:rPr>
              <w:t>Font, spacing, margins, headers, footers, caption positions and page numbering as per Table 1</w:t>
            </w:r>
          </w:p>
        </w:tc>
        <w:tc>
          <w:tcPr>
            <w:tcW w:type="dxa" w:w="4154"/>
          </w:tcPr>
          <w:p>
            <w:pPr>
              <w:spacing w:line="276" w:lineRule="auto" w:after="60"/>
            </w:pPr>
            <w:r>
              <w:rPr>
                <w:rFonts w:ascii="Times New Roman" w:hAnsi="Times New Roman"/>
                <w:b/>
                <w:sz w:val="18"/>
              </w:rPr>
              <w:t>[ CONFIRMED (Times New Roman 12, 1.5 sp, Margins: 1.5" L, 1" R/T/B) ]</w:t>
            </w:r>
          </w:p>
        </w:tc>
      </w:tr>
      <w:tr>
        <w:tc>
          <w:tcPr>
            <w:tcW w:type="dxa" w:w="4154"/>
          </w:tcPr>
          <w:p>
            <w:pPr>
              <w:spacing w:line="276" w:lineRule="auto" w:after="60"/>
            </w:pPr>
            <w:r>
              <w:rPr>
                <w:rFonts w:ascii="Times New Roman" w:hAnsi="Times New Roman"/>
                <w:sz w:val="18"/>
              </w:rPr>
              <w:t>All six chapters present; each has an introduction and summary lines; one conclusion at the end</w:t>
            </w:r>
          </w:p>
        </w:tc>
        <w:tc>
          <w:tcPr>
            <w:tcW w:type="dxa" w:w="4154"/>
          </w:tcPr>
          <w:p>
            <w:pPr>
              <w:spacing w:line="276" w:lineRule="auto" w:after="60"/>
            </w:pPr>
            <w:r>
              <w:rPr>
                <w:rFonts w:ascii="Times New Roman" w:hAnsi="Times New Roman"/>
                <w:b/>
                <w:sz w:val="18"/>
              </w:rPr>
              <w:t>[ CONFIRMED (Chapters 1 to 6 complete) ]</w:t>
            </w:r>
          </w:p>
        </w:tc>
      </w:tr>
      <w:tr>
        <w:tc>
          <w:tcPr>
            <w:tcW w:type="dxa" w:w="4154"/>
          </w:tcPr>
          <w:p>
            <w:pPr>
              <w:spacing w:line="276" w:lineRule="auto" w:after="60"/>
            </w:pPr>
            <w:r>
              <w:rPr>
                <w:rFonts w:ascii="Times New Roman" w:hAnsi="Times New Roman"/>
                <w:sz w:val="18"/>
              </w:rPr>
              <w:t>Chapter 5 has individual contribution and reflection of student, with Evidence IDs (EVD-01 to EVD-15)</w:t>
            </w:r>
          </w:p>
        </w:tc>
        <w:tc>
          <w:tcPr>
            <w:tcW w:type="dxa" w:w="4154"/>
          </w:tcPr>
          <w:p>
            <w:pPr>
              <w:spacing w:line="276" w:lineRule="auto" w:after="60"/>
            </w:pPr>
            <w:r>
              <w:rPr>
                <w:rFonts w:ascii="Times New Roman" w:hAnsi="Times New Roman"/>
                <w:b/>
                <w:sz w:val="18"/>
              </w:rPr>
              <w:t>[ CONFIRMED (Table 5.1 &amp; Reflective entries verified) ]</w:t>
            </w:r>
          </w:p>
        </w:tc>
      </w:tr>
      <w:tr>
        <w:tc>
          <w:tcPr>
            <w:tcW w:type="dxa" w:w="4154"/>
          </w:tcPr>
          <w:p>
            <w:pPr>
              <w:spacing w:line="276" w:lineRule="auto" w:after="60"/>
            </w:pPr>
            <w:r>
              <w:rPr>
                <w:rFonts w:ascii="Times New Roman" w:hAnsi="Times New Roman"/>
                <w:sz w:val="18"/>
              </w:rPr>
              <w:t>References numbered, cited in text and in IEEE style; standards followed are mentioned</w:t>
            </w:r>
          </w:p>
        </w:tc>
        <w:tc>
          <w:tcPr>
            <w:tcW w:type="dxa" w:w="4154"/>
          </w:tcPr>
          <w:p>
            <w:pPr>
              <w:spacing w:line="276" w:lineRule="auto" w:after="60"/>
            </w:pPr>
            <w:r>
              <w:rPr>
                <w:rFonts w:ascii="Times New Roman" w:hAnsi="Times New Roman"/>
                <w:b/>
                <w:sz w:val="18"/>
              </w:rPr>
              <w:t>[ CONFIRMED (22 IEEE references cited) ]</w:t>
            </w:r>
          </w:p>
        </w:tc>
      </w:tr>
      <w:tr>
        <w:tc>
          <w:tcPr>
            <w:tcW w:type="dxa" w:w="4154"/>
          </w:tcPr>
          <w:p>
            <w:pPr>
              <w:spacing w:line="276" w:lineRule="auto" w:after="60"/>
            </w:pPr>
            <w:r>
              <w:rPr>
                <w:rFonts w:ascii="Times New Roman" w:hAnsi="Times New Roman"/>
                <w:sz w:val="18"/>
              </w:rPr>
              <w:t>Appendices I to VII included as applicable; AI-use disclosure completed</w:t>
            </w:r>
          </w:p>
        </w:tc>
        <w:tc>
          <w:tcPr>
            <w:tcW w:type="dxa" w:w="4154"/>
          </w:tcPr>
          <w:p>
            <w:pPr>
              <w:spacing w:line="276" w:lineRule="auto" w:after="60"/>
            </w:pPr>
            <w:r>
              <w:rPr>
                <w:rFonts w:ascii="Times New Roman" w:hAnsi="Times New Roman"/>
                <w:b/>
                <w:sz w:val="18"/>
              </w:rPr>
              <w:t>[ CONFIRMED (All 7 Appendices present) ]</w:t>
            </w:r>
          </w:p>
        </w:tc>
      </w:tr>
      <w:tr>
        <w:tc>
          <w:tcPr>
            <w:tcW w:type="dxa" w:w="4154"/>
          </w:tcPr>
          <w:p>
            <w:pPr>
              <w:spacing w:line="276" w:lineRule="auto" w:after="60"/>
            </w:pPr>
            <w:r>
              <w:rPr>
                <w:rFonts w:ascii="Times New Roman" w:hAnsi="Times New Roman"/>
                <w:sz w:val="18"/>
              </w:rPr>
              <w:t>Similarity (plagiarism / AI) check done as per University practice (&lt;10% threshold)</w:t>
            </w:r>
          </w:p>
        </w:tc>
        <w:tc>
          <w:tcPr>
            <w:tcW w:type="dxa" w:w="4154"/>
          </w:tcPr>
          <w:p>
            <w:pPr>
              <w:spacing w:line="276" w:lineRule="auto" w:after="60"/>
            </w:pPr>
            <w:r>
              <w:rPr>
                <w:rFonts w:ascii="Times New Roman" w:hAnsi="Times New Roman"/>
                <w:b/>
                <w:sz w:val="18"/>
              </w:rPr>
              <w:t>[ CONFIRMED (Original academic work) ]</w:t>
            </w:r>
          </w:p>
        </w:tc>
      </w:tr>
      <w:tr>
        <w:tc>
          <w:tcPr>
            <w:tcW w:type="dxa" w:w="4154"/>
          </w:tcPr>
          <w:p>
            <w:pPr>
              <w:spacing w:line="276" w:lineRule="auto" w:after="60"/>
            </w:pPr>
            <w:r>
              <w:rPr>
                <w:rFonts w:ascii="Times New Roman" w:hAnsi="Times New Roman"/>
                <w:sz w:val="18"/>
              </w:rPr>
              <w:t>Report verified and signed by faculty mentor before the Final Evaluation</w:t>
            </w:r>
          </w:p>
        </w:tc>
        <w:tc>
          <w:tcPr>
            <w:tcW w:type="dxa" w:w="4154"/>
          </w:tcPr>
          <w:p>
            <w:pPr>
              <w:spacing w:line="276" w:lineRule="auto" w:after="60"/>
            </w:pPr>
            <w:r>
              <w:rPr>
                <w:rFonts w:ascii="Times New Roman" w:hAnsi="Times New Roman"/>
                <w:b/>
                <w:sz w:val="18"/>
              </w:rPr>
              <w:t>[ APPROVED FOR FINAL EVALUATION ]</w:t>
            </w:r>
          </w:p>
        </w:tc>
      </w:tr>
    </w:tbl>
    <w:p>
      <w:pPr>
        <w:spacing w:before="500" w:after="120" w:line="360" w:lineRule="auto"/>
        <w:jc w:val="left"/>
      </w:pPr>
      <w:r>
        <w:rPr>
          <w:rFonts w:ascii="Times New Roman" w:hAnsi="Times New Roman"/>
          <w:b/>
          <w:i w:val="0"/>
          <w:sz w:val="22"/>
        </w:rPr>
        <w:br/>
        <w:t>Final Verification Sign-off:</w:t>
        <w:br/>
        <w:br/>
        <w:t>________________________________________</w:t>
        <w:br/>
        <w:t>Prof. Deepali A. Maste</w:t>
        <w:br/>
        <w:t>Faculty Mentor &amp; Internal Guide</w:t>
        <w:br/>
        <w:t>Department of Computer Engineering, MPSTME</w:t>
        <w:br/>
        <w:t>Date: 24th October 2026</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7"/>
      </w:rPr>
      <w:t>MPSTME, SVKM's NMIMS (Deemed-to-be University), Mumbai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AgroLoop: Circular Bio-Economy Platform        |        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