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79c003d5e2838676f842e06a2493d0a5fcf3444"/>
    <w:p>
      <w:pPr>
        <w:pStyle w:val="Heading1"/>
      </w:pPr>
      <w:r>
        <w:t xml:space="preserve">Predicting Protein–Ligand Binding Affinity with Graph Attention and CNN</w:t>
      </w:r>
    </w:p>
    <w:p>
      <w:pPr>
        <w:pStyle w:val="FirstParagraph"/>
      </w:pPr>
      <w:r>
        <w:rPr>
          <w:b/>
          <w:bCs/>
        </w:rPr>
        <w:t xml:space="preserve">Student:</w:t>
      </w:r>
      <w:r>
        <w:t xml:space="preserve"> </w:t>
      </w:r>
      <w:r>
        <w:t xml:space="preserve">[STUDENT NAME]</w:t>
      </w:r>
      <w:r>
        <w:br/>
      </w:r>
      <w:r>
        <w:rPr>
          <w:b/>
          <w:bCs/>
        </w:rPr>
        <w:t xml:space="preserve">Supervisor:</w:t>
      </w:r>
      <w:r>
        <w:t xml:space="preserve"> </w:t>
      </w:r>
      <w:r>
        <w:t xml:space="preserve">[SUPERVISOR NAME]</w:t>
      </w:r>
      <w:r>
        <w:br/>
      </w:r>
      <w:r>
        <w:rPr>
          <w:b/>
          <w:bCs/>
        </w:rPr>
        <w:t xml:space="preserve">Institution:</w:t>
      </w:r>
      <w:r>
        <w:t xml:space="preserve"> </w:t>
      </w:r>
      <w:r>
        <w:t xml:space="preserve">[INSTITUTION NAME]</w:t>
      </w:r>
      <w:r>
        <w:br/>
      </w:r>
      <w:r>
        <w:rPr>
          <w:b/>
          <w:bCs/>
        </w:rPr>
        <w:t xml:space="preserve">Date:</w:t>
      </w:r>
      <w:r>
        <w:t xml:space="preserve"> </w:t>
      </w:r>
      <w:r>
        <w:t xml:space="preserve">[DATE]</w:t>
      </w:r>
    </w:p>
    <w:bookmarkStart w:id="23" w:name="abstract"/>
    <w:p>
      <w:pPr>
        <w:pStyle w:val="Heading2"/>
      </w:pPr>
      <w:r>
        <w:t xml:space="preserve">Abstract</w:t>
      </w:r>
    </w:p>
    <w:p>
      <w:pPr>
        <w:pStyle w:val="FirstParagraph"/>
      </w:pPr>
      <w:r>
        <w:t xml:space="preserve">We present a neural network model to predict protein–ligand binding affinity using the KIBA dataset. Ligands are represented as molecular graphs and embedded via a Graph Attention Network (GAT)</w:t>
      </w:r>
      <w:hyperlink r:id="rId21">
        <w:r>
          <w:rPr>
            <w:rStyle w:val="Hyperlink"/>
          </w:rPr>
          <w:t xml:space="preserve">[1]</w:t>
        </w:r>
      </w:hyperlink>
      <w:r>
        <w:t xml:space="preserve">, while protein kinase sequences are encoded by a one-dimensional convolutional network (1D CNN). The ligand and protein embeddings are fused via a cross-attention mechanism (each modality attending to the other) and concatenated into a joint representation for regression. We train the model (with mean-squared error loss) on the KIBA dataset (≈117k interactions</w:t>
      </w:r>
      <w:hyperlink r:id="rId22">
        <w:r>
          <w:rPr>
            <w:rStyle w:val="Hyperlink"/>
          </w:rPr>
          <w:t xml:space="preserve">[2]</w:t>
        </w:r>
      </w:hyperlink>
      <w:r>
        <w:t xml:space="preserve">) and evaluate using RMSE and Pearson correlation. The final model achieves a test RMSE of about 0.855, demonstrating the effectiveness of combining graph-based and sequence-based representations for binding affinity prediction.</w:t>
      </w:r>
    </w:p>
    <w:bookmarkEnd w:id="23"/>
    <w:bookmarkStart w:id="28" w:name="introduction"/>
    <w:p>
      <w:pPr>
        <w:pStyle w:val="Heading2"/>
      </w:pPr>
      <w:r>
        <w:t xml:space="preserve">1. Introduction</w:t>
      </w:r>
    </w:p>
    <w:p>
      <w:pPr>
        <w:pStyle w:val="FirstParagraph"/>
      </w:pPr>
      <w:r>
        <w:t xml:space="preserve">Predicting the binding affinity between small-molecule ligands and protein targets is a critical task in drug discovery and repositioning</w:t>
      </w:r>
      <w:hyperlink r:id="rId24">
        <w:r>
          <w:rPr>
            <w:rStyle w:val="Hyperlink"/>
          </w:rPr>
          <w:t xml:space="preserve">[3]</w:t>
        </w:r>
      </w:hyperlink>
      <w:r>
        <w:t xml:space="preserve">. Experimental affinity measurements (e.g.</w:t>
      </w:r>
      <w:r>
        <w:t xml:space="preserve"> </w:t>
      </w:r>
      <m:oMath>
        <m:sSub>
          <m:e>
            <m:r>
              <m:t>K</m:t>
            </m:r>
          </m:e>
          <m:sub>
            <m:r>
              <m:t>d</m:t>
            </m:r>
          </m:sub>
        </m:sSub>
        <m:r>
          <m:rPr>
            <m:sty m:val="p"/>
          </m:rPr>
          <m:t>,</m:t>
        </m:r>
        <m:sSub>
          <m:e>
            <m:r>
              <m:t>K</m:t>
            </m:r>
          </m:e>
          <m:sub>
            <m:r>
              <m:t>i</m:t>
            </m:r>
          </m:sub>
        </m:sSub>
      </m:oMath>
      <w:r>
        <w:t xml:space="preserve">) are expensive and time-consuming, so computational methods aim to estimate binding strength from molecular information. Unlike binary drug–target interaction classification, predicting continuous affinity scores (regression) provides more realistic estimates of binding strength</w:t>
      </w:r>
      <w:hyperlink r:id="rId25">
        <w:r>
          <w:rPr>
            <w:rStyle w:val="Hyperlink"/>
          </w:rPr>
          <w:t xml:space="preserve">[4]</w:t>
        </w:r>
      </w:hyperlink>
      <w:r>
        <w:t xml:space="preserve">. Recent deep learning methods have significantly improved performance on this task. For example, DeepDTA</w:t>
      </w:r>
      <w:hyperlink r:id="rId26">
        <w:r>
          <w:rPr>
            <w:rStyle w:val="Hyperlink"/>
          </w:rPr>
          <w:t xml:space="preserve">[5]</w:t>
        </w:r>
      </w:hyperlink>
      <w:r>
        <w:t xml:space="preserve"> </w:t>
      </w:r>
      <w:r>
        <w:t xml:space="preserve">uses two parallel CNNs on SMILES and protein sequences, while GraphDTA</w:t>
      </w:r>
      <w:hyperlink r:id="rId27">
        <w:r>
          <w:rPr>
            <w:rStyle w:val="Hyperlink"/>
          </w:rPr>
          <w:t xml:space="preserve">[6]</w:t>
        </w:r>
      </w:hyperlink>
      <w:r>
        <w:t xml:space="preserve"> </w:t>
      </w:r>
      <w:r>
        <w:t xml:space="preserve">uses graph neural networks to encode ligands. These models illustrate that combining graph-based features of molecules with sequence features of proteins yields better predictions than classical approaches.</w:t>
      </w:r>
    </w:p>
    <w:p>
      <w:pPr>
        <w:pStyle w:val="BodyText"/>
      </w:pPr>
      <w:r>
        <w:t xml:space="preserve">In this project, we build on these ideas by encoding ligands and proteins in a multimodal network. Ligands (SMILES strings) are converted to molecular graphs (nodes = atoms, edges = bonds) and processed by a Graph Attention Network (GAT)</w:t>
      </w:r>
      <w:hyperlink r:id="rId21">
        <w:r>
          <w:rPr>
            <w:rStyle w:val="Hyperlink"/>
          </w:rPr>
          <w:t xml:space="preserve">[1]</w:t>
        </w:r>
      </w:hyperlink>
      <w:r>
        <w:t xml:space="preserve">. Proteins (amino acid sequences) are one-hot encoded and processed by a multi-layer 1D CNN. We then fuse the resulting ligand and protein embeddings via an attention-based mechanism, followed by a fully connected regression head. The model is trained to predict the KIBA affinity score, which integrates kinase inhibitor bioactivities</w:t>
      </w:r>
      <w:hyperlink r:id="rId22">
        <w:r>
          <w:rPr>
            <w:rStyle w:val="Hyperlink"/>
          </w:rPr>
          <w:t xml:space="preserve">[2]</w:t>
        </w:r>
      </w:hyperlink>
      <w:r>
        <w:t xml:space="preserve">. Below we detail the dataset and model architecture.</w:t>
      </w:r>
    </w:p>
    <w:bookmarkEnd w:id="28"/>
    <w:bookmarkStart w:id="33" w:name="methodology"/>
    <w:p>
      <w:pPr>
        <w:pStyle w:val="Heading2"/>
      </w:pPr>
      <w:r>
        <w:t xml:space="preserve">2. Methodology</w:t>
      </w:r>
    </w:p>
    <w:bookmarkStart w:id="29" w:name="ligand-graph-encoding-gat"/>
    <w:p>
      <w:pPr>
        <w:pStyle w:val="Heading3"/>
      </w:pPr>
      <w:r>
        <w:t xml:space="preserve">2.1 Ligand Graph Encoding (GAT)</w:t>
      </w:r>
    </w:p>
    <w:p>
      <w:pPr>
        <w:pStyle w:val="FirstParagraph"/>
      </w:pPr>
      <w:r>
        <w:t xml:space="preserve">Each ligand SMILES string is converted to a molecular graph using RDKit. Nodes represent atoms (featurized by atomic properties), and edges represent chemical bonds. This graph is fed into a Graph Attention Network (GAT)</w:t>
      </w:r>
      <w:hyperlink r:id="rId21">
        <w:r>
          <w:rPr>
            <w:rStyle w:val="Hyperlink"/>
          </w:rPr>
          <w:t xml:space="preserve">[1]</w:t>
        </w:r>
      </w:hyperlink>
      <w:r>
        <w:t xml:space="preserve">. The GAT applies masked attention on each atom’s neighbors, computing new node features that weight neighbors differently. We stack several GAT layers: each layer applies a self-attention operation and a nonlinear activation (ELU), with layer normalization in between. Finally, we apply dual global pooling (mean and max) over all nodes to produce a fixed-size ligand embedding vector. The result is a feature vector</w:t>
      </w:r>
      <w:r>
        <w:t xml:space="preserve"> </w:t>
      </w:r>
      <m:oMath>
        <m:sSub>
          <m:e>
            <m:r>
              <m:rPr>
                <m:sty m:val="b"/>
              </m:rPr>
              <m:t>h</m:t>
            </m:r>
          </m:e>
          <m:sub>
            <m:r>
              <m:t>l</m:t>
            </m:r>
            <m:r>
              <m:t>i</m:t>
            </m:r>
            <m:r>
              <m:t>g</m:t>
            </m:r>
          </m:sub>
        </m:sSub>
        <m:r>
          <m:rPr>
            <m:sty m:val="p"/>
          </m:rPr>
          <m:t>∈</m:t>
        </m:r>
        <m:sSup>
          <m:e>
            <m:r>
              <m:rPr>
                <m:sty m:val="p"/>
                <m:scr m:val="double-struck"/>
              </m:rPr>
              <m:t>R</m:t>
            </m:r>
          </m:e>
          <m:sup>
            <m:r>
              <m:t>d</m:t>
            </m:r>
          </m:sup>
        </m:sSup>
      </m:oMath>
      <w:r>
        <w:t xml:space="preserve"> </w:t>
      </w:r>
      <w:r>
        <w:t xml:space="preserve">representing the ligand. (This approach is similar in spirit to GraphDTA</w:t>
      </w:r>
      <w:hyperlink r:id="rId27">
        <w:r>
          <w:rPr>
            <w:rStyle w:val="Hyperlink"/>
          </w:rPr>
          <w:t xml:space="preserve">[6]</w:t>
        </w:r>
      </w:hyperlink>
      <w:r>
        <w:t xml:space="preserve">, which also embeds molecular graphs for affinity prediction.)</w:t>
      </w:r>
    </w:p>
    <w:bookmarkEnd w:id="29"/>
    <w:bookmarkStart w:id="30" w:name="protein-sequence-encoding-1d-cnn"/>
    <w:p>
      <w:pPr>
        <w:pStyle w:val="Heading3"/>
      </w:pPr>
      <w:r>
        <w:t xml:space="preserve">2.2 Protein Sequence Encoding (1D CNN)</w:t>
      </w:r>
    </w:p>
    <w:p>
      <w:pPr>
        <w:pStyle w:val="FirstParagraph"/>
      </w:pPr>
      <w:r>
        <w:t xml:space="preserve">Protein kinase sequences are encoded by first converting each amino acid to a one-hot vector of length 21 (20 standard amino acids plus padding). The input tensor is thus size</w:t>
      </w:r>
      <w:r>
        <w:t xml:space="preserve"> </w:t>
      </w:r>
      <m:oMath>
        <m:d>
          <m:dPr>
            <m:begChr m:val="["/>
            <m:sepChr m:val=""/>
            <m:endChr m:val="]"/>
            <m:grow/>
          </m:dPr>
          <m:e>
            <m:r>
              <m:t>B</m:t>
            </m:r>
            <m:r>
              <m:rPr>
                <m:sty m:val="p"/>
              </m:rPr>
              <m:t>,</m:t>
            </m:r>
            <m:r>
              <m:t>21</m:t>
            </m:r>
            <m:r>
              <m:rPr>
                <m:sty m:val="p"/>
              </m:rPr>
              <m:t>,</m:t>
            </m:r>
            <m:r>
              <m:t>L</m:t>
            </m:r>
          </m:e>
        </m:d>
      </m:oMath>
      <w:r>
        <w:t xml:space="preserve"> </w:t>
      </w:r>
      <w:r>
        <w:t xml:space="preserve">for batch</w:t>
      </w:r>
      <w:r>
        <w:t xml:space="preserve"> </w:t>
      </w:r>
      <m:oMath>
        <m:r>
          <m:t>B</m:t>
        </m:r>
      </m:oMath>
      <w:r>
        <w:t xml:space="preserve"> </w:t>
      </w:r>
      <w:r>
        <w:t xml:space="preserve">and sequence length</w:t>
      </w:r>
      <w:r>
        <w:t xml:space="preserve"> </w:t>
      </w:r>
      <m:oMath>
        <m:r>
          <m:t>L</m:t>
        </m:r>
      </m:oMath>
      <w:r>
        <w:t xml:space="preserve">. We apply a stack of 1D convolutional layers (Conv1d), each followed by batch normalization, ReLU activation, and dropout. For example, our model uses two Conv1d layers mapping 21 → 256 → 256 channels (kernel size 8 with padding). These convolutions capture local sequence motifs. After the final conv layer, we perform global pooling (mean and max over the length dimension) to produce a fixed protein feature vector</w:t>
      </w:r>
      <w:r>
        <w:t xml:space="preserve"> </w:t>
      </w:r>
      <m:oMath>
        <m:sSub>
          <m:e>
            <m:r>
              <m:rPr>
                <m:sty m:val="b"/>
              </m:rPr>
              <m:t>h</m:t>
            </m:r>
          </m:e>
          <m:sub>
            <m:r>
              <m:t>p</m:t>
            </m:r>
            <m:r>
              <m:t>r</m:t>
            </m:r>
            <m:r>
              <m:t>o</m:t>
            </m:r>
            <m:r>
              <m:t>t</m:t>
            </m:r>
          </m:sub>
        </m:sSub>
        <m:r>
          <m:rPr>
            <m:sty m:val="p"/>
          </m:rPr>
          <m:t>∈</m:t>
        </m:r>
        <m:sSup>
          <m:e>
            <m:r>
              <m:rPr>
                <m:sty m:val="p"/>
                <m:scr m:val="double-struck"/>
              </m:rPr>
              <m:t>R</m:t>
            </m:r>
          </m:e>
          <m:sup>
            <m:r>
              <m:t>k</m:t>
            </m:r>
          </m:sup>
        </m:sSup>
      </m:oMath>
      <w:r>
        <w:t xml:space="preserve">. This pipeline mirrors earlier CNN-based encodings in DTA models</w:t>
      </w:r>
      <w:hyperlink r:id="rId26">
        <w:r>
          <w:rPr>
            <w:rStyle w:val="Hyperlink"/>
          </w:rPr>
          <w:t xml:space="preserve">[5]</w:t>
        </w:r>
      </w:hyperlink>
      <w:r>
        <w:t xml:space="preserve">.</w:t>
      </w:r>
    </w:p>
    <w:bookmarkEnd w:id="30"/>
    <w:bookmarkStart w:id="31" w:name="fusion-mechanism-cross-attention"/>
    <w:p>
      <w:pPr>
        <w:pStyle w:val="Heading3"/>
      </w:pPr>
      <w:r>
        <w:t xml:space="preserve">2.3 Fusion Mechanism (Cross-Attention)</w:t>
      </w:r>
    </w:p>
    <w:p>
      <w:pPr>
        <w:pStyle w:val="FirstParagraph"/>
      </w:pPr>
      <w:r>
        <w:t xml:space="preserve">To combine ligand and protein information, we use a cross-attention fusion mechanism. Specifically, we project the ligand embedding</w:t>
      </w:r>
      <w:r>
        <w:t xml:space="preserve"> </w:t>
      </w:r>
      <m:oMath>
        <m:sSub>
          <m:e>
            <m:r>
              <m:rPr>
                <m:sty m:val="b"/>
              </m:rPr>
              <m:t>h</m:t>
            </m:r>
          </m:e>
          <m:sub>
            <m:r>
              <m:t>l</m:t>
            </m:r>
            <m:r>
              <m:t>i</m:t>
            </m:r>
            <m:r>
              <m:t>g</m:t>
            </m:r>
          </m:sub>
        </m:sSub>
      </m:oMath>
      <w:r>
        <w:t xml:space="preserve"> </w:t>
      </w:r>
      <w:r>
        <w:t xml:space="preserve">and protein embedding</w:t>
      </w:r>
      <w:r>
        <w:t xml:space="preserve"> </w:t>
      </w:r>
      <m:oMath>
        <m:sSub>
          <m:e>
            <m:r>
              <m:rPr>
                <m:sty m:val="b"/>
              </m:rPr>
              <m:t>h</m:t>
            </m:r>
          </m:e>
          <m:sub>
            <m:r>
              <m:t>p</m:t>
            </m:r>
            <m:r>
              <m:t>r</m:t>
            </m:r>
            <m:r>
              <m:t>o</m:t>
            </m:r>
            <m:r>
              <m:t>t</m:t>
            </m:r>
          </m:sub>
        </m:sSub>
      </m:oMath>
      <w:r>
        <w:t xml:space="preserve"> </w:t>
      </w:r>
      <w:r>
        <w:t xml:space="preserve">into a common “attention” space, and compute mutual attention scores. For instance, treating the ligand as a “query” and the protein as “key/value”, we compute</w:t>
      </w:r>
    </w:p>
    <w:p>
      <w:pPr>
        <w:pStyle w:val="BodyText"/>
      </w:pPr>
      <m:oMathPara>
        <m:oMathParaPr>
          <m:jc m:val="center"/>
        </m:oMathParaPr>
        <m:oMath>
          <m:sSub>
            <m:e>
              <m:r>
                <m:t>Q</m:t>
              </m:r>
            </m:e>
            <m:sub>
              <m:r>
                <m:t>l</m:t>
              </m:r>
              <m:r>
                <m:t>i</m:t>
              </m:r>
              <m:r>
                <m:t>g</m:t>
              </m:r>
            </m:sub>
          </m:sSub>
          <m:r>
            <m:rPr>
              <m:sty m:val="p"/>
            </m:rPr>
            <m:t>=</m:t>
          </m:r>
          <m:sSub>
            <m:e>
              <m:r>
                <m:t>W</m:t>
              </m:r>
            </m:e>
            <m:sub>
              <m:r>
                <m:t>q</m:t>
              </m:r>
            </m:sub>
          </m:sSub>
          <m:sSub>
            <m:e>
              <m:r>
                <m:rPr>
                  <m:sty m:val="b"/>
                </m:rPr>
                <m:t>h</m:t>
              </m:r>
            </m:e>
            <m:sub>
              <m:r>
                <m:t>l</m:t>
              </m:r>
              <m:r>
                <m:t>i</m:t>
              </m:r>
              <m:r>
                <m:t>g</m:t>
              </m:r>
            </m:sub>
          </m:sSub>
          <m:r>
            <m:rPr>
              <m:sty m:val="p"/>
            </m:rPr>
            <m:t>,</m:t>
          </m:r>
          <m:r>
            <m:t> </m:t>
          </m:r>
          <m:sSub>
            <m:e>
              <m:r>
                <m:t>K</m:t>
              </m:r>
            </m:e>
            <m:sub>
              <m:r>
                <m:t>p</m:t>
              </m:r>
              <m:r>
                <m:t>r</m:t>
              </m:r>
              <m:r>
                <m:t>o</m:t>
              </m:r>
              <m:r>
                <m:t>t</m:t>
              </m:r>
            </m:sub>
          </m:sSub>
          <m:r>
            <m:rPr>
              <m:sty m:val="p"/>
            </m:rPr>
            <m:t>=</m:t>
          </m:r>
          <m:sSub>
            <m:e>
              <m:r>
                <m:t>W</m:t>
              </m:r>
            </m:e>
            <m:sub>
              <m:r>
                <m:t>k</m:t>
              </m:r>
            </m:sub>
          </m:sSub>
          <m:sSub>
            <m:e>
              <m:r>
                <m:rPr>
                  <m:sty m:val="b"/>
                </m:rPr>
                <m:t>h</m:t>
              </m:r>
            </m:e>
            <m:sub>
              <m:r>
                <m:t>p</m:t>
              </m:r>
              <m:r>
                <m:t>r</m:t>
              </m:r>
              <m:r>
                <m:t>o</m:t>
              </m:r>
              <m:r>
                <m:t>t</m:t>
              </m:r>
            </m:sub>
          </m:sSub>
          <m:r>
            <m:rPr>
              <m:sty m:val="p"/>
            </m:rPr>
            <m:t>,</m:t>
          </m:r>
          <m:r>
            <m:t> </m:t>
          </m:r>
          <m:sSub>
            <m:e>
              <m:r>
                <m:t>V</m:t>
              </m:r>
            </m:e>
            <m:sub>
              <m:r>
                <m:t>p</m:t>
              </m:r>
              <m:r>
                <m:t>r</m:t>
              </m:r>
              <m:r>
                <m:t>o</m:t>
              </m:r>
              <m:r>
                <m:t>t</m:t>
              </m:r>
            </m:sub>
          </m:sSub>
          <m:r>
            <m:rPr>
              <m:sty m:val="p"/>
            </m:rPr>
            <m:t>=</m:t>
          </m:r>
          <m:sSub>
            <m:e>
              <m:r>
                <m:t>W</m:t>
              </m:r>
            </m:e>
            <m:sub>
              <m:r>
                <m:t>v</m:t>
              </m:r>
            </m:sub>
          </m:sSub>
          <m:sSub>
            <m:e>
              <m:r>
                <m:rPr>
                  <m:sty m:val="b"/>
                </m:rPr>
                <m:t>h</m:t>
              </m:r>
            </m:e>
            <m:sub>
              <m:r>
                <m:t>p</m:t>
              </m:r>
              <m:r>
                <m:t>r</m:t>
              </m:r>
              <m:r>
                <m:t>o</m:t>
              </m:r>
              <m:r>
                <m:t>t</m:t>
              </m:r>
            </m:sub>
          </m:sSub>
          <m:r>
            <m:rPr>
              <m:sty m:val="p"/>
            </m:rPr>
            <m:t>,</m:t>
          </m:r>
        </m:oMath>
      </m:oMathPara>
    </w:p>
    <w:p>
      <w:pPr>
        <w:pStyle w:val="FirstParagraph"/>
      </w:pPr>
      <w:r>
        <w:t xml:space="preserve">and then compute attention weight</w:t>
      </w:r>
      <w:r>
        <w:t xml:space="preserve"> </w:t>
      </w:r>
      <m:oMath>
        <m:r>
          <m:t>α</m:t>
        </m:r>
        <m:r>
          <m:rPr>
            <m:sty m:val="p"/>
          </m:rPr>
          <m:t>=</m:t>
        </m:r>
        <m:r>
          <m:t>σ</m:t>
        </m:r>
        <m:d>
          <m:dPr>
            <m:begChr m:val="("/>
            <m:sepChr m:val=""/>
            <m:endChr m:val=")"/>
            <m:grow/>
          </m:dPr>
          <m:e>
            <m:sSub>
              <m:e>
                <m:r>
                  <m:t>Q</m:t>
                </m:r>
              </m:e>
              <m:sub>
                <m:r>
                  <m:t>l</m:t>
                </m:r>
                <m:r>
                  <m:t>i</m:t>
                </m:r>
                <m:r>
                  <m:t>g</m:t>
                </m:r>
              </m:sub>
            </m:sSub>
            <m:r>
              <m:rPr>
                <m:sty m:val="p"/>
              </m:rPr>
              <m:t>⋅</m:t>
            </m:r>
            <m:sSub>
              <m:e>
                <m:r>
                  <m:t>K</m:t>
                </m:r>
              </m:e>
              <m:sub>
                <m:r>
                  <m:t>p</m:t>
                </m:r>
                <m:r>
                  <m:t>r</m:t>
                </m:r>
                <m:r>
                  <m:t>o</m:t>
                </m:r>
                <m:r>
                  <m:t>t</m:t>
                </m:r>
              </m:sub>
            </m:sSub>
            <m:r>
              <m:rPr>
                <m:sty m:val="p"/>
              </m:rPr>
              <m:t>/</m:t>
            </m:r>
            <m:rad>
              <m:radPr>
                <m:degHide m:val="on"/>
              </m:radPr>
              <m:deg/>
              <m:e>
                <m:r>
                  <m:t>d</m:t>
                </m:r>
              </m:e>
            </m:rad>
          </m:e>
        </m:d>
      </m:oMath>
      <w:r>
        <w:t xml:space="preserve">, where</w:t>
      </w:r>
      <w:r>
        <w:t xml:space="preserve"> </w:t>
      </w:r>
      <m:oMath>
        <m:r>
          <m:t>σ</m:t>
        </m:r>
      </m:oMath>
      <w:r>
        <w:t xml:space="preserve"> </w:t>
      </w:r>
      <w:r>
        <w:t xml:space="preserve">is sigmoid. We use</w:t>
      </w:r>
      <w:r>
        <w:t xml:space="preserve"> </w:t>
      </w:r>
      <m:oMath>
        <m:r>
          <m:t>α</m:t>
        </m:r>
      </m:oMath>
      <w:r>
        <w:t xml:space="preserve"> </w:t>
      </w:r>
      <w:r>
        <w:t xml:space="preserve">to modulate the protein value vector, yielding an attended protein vector. We repeat the process with roles swapped (protein queries ligand). The attended ligand and protein vectors are then concatenated into a joint representation. In effect, this allows each modality to “attend” to the most relevant features of the other before fusion. (Alternatively, one could simply concatenate the pooled vectors without attention, but the attention mechanism can capture finer cross-modal interactions.) In the final implementation, we use multi-head attention layers to perform this cross-modal attention in parallel for richer representation.</w:t>
      </w:r>
    </w:p>
    <w:bookmarkEnd w:id="31"/>
    <w:bookmarkStart w:id="32" w:name="regression-head"/>
    <w:p>
      <w:pPr>
        <w:pStyle w:val="Heading3"/>
      </w:pPr>
      <w:r>
        <w:t xml:space="preserve">2.4 Regression Head</w:t>
      </w:r>
    </w:p>
    <w:p>
      <w:pPr>
        <w:pStyle w:val="FirstParagraph"/>
      </w:pPr>
      <w:r>
        <w:t xml:space="preserve">The fused representation</w:t>
      </w:r>
      <w:r>
        <w:t xml:space="preserve"> </w:t>
      </w:r>
      <m:oMath>
        <m:d>
          <m:dPr>
            <m:begChr m:val="["/>
            <m:sepChr m:val=""/>
            <m:endChr m:val="]"/>
            <m:grow/>
          </m:dPr>
          <m:e>
            <m:sSubSup>
              <m:e>
                <m:r>
                  <m:rPr>
                    <m:sty m:val="b"/>
                  </m:rPr>
                  <m:t>h</m:t>
                </m:r>
              </m:e>
              <m:sub>
                <m:r>
                  <m:t>l</m:t>
                </m:r>
                <m:r>
                  <m:t>i</m:t>
                </m:r>
                <m:r>
                  <m:t>g</m:t>
                </m:r>
              </m:sub>
              <m:sup>
                <m:r>
                  <m:t>a</m:t>
                </m:r>
                <m:r>
                  <m:t>t</m:t>
                </m:r>
                <m:r>
                  <m:t>t</m:t>
                </m:r>
              </m:sup>
            </m:sSubSup>
            <m:r>
              <m:rPr>
                <m:sty m:val="p"/>
              </m:rPr>
              <m:t>;</m:t>
            </m:r>
            <m:sSubSup>
              <m:e>
                <m:r>
                  <m:rPr>
                    <m:sty m:val="b"/>
                  </m:rPr>
                  <m:t>h</m:t>
                </m:r>
              </m:e>
              <m:sub>
                <m:r>
                  <m:t>p</m:t>
                </m:r>
                <m:r>
                  <m:t>r</m:t>
                </m:r>
                <m:r>
                  <m:t>o</m:t>
                </m:r>
                <m:r>
                  <m:t>t</m:t>
                </m:r>
              </m:sub>
              <m:sup>
                <m:r>
                  <m:t>a</m:t>
                </m:r>
                <m:r>
                  <m:t>t</m:t>
                </m:r>
                <m:r>
                  <m:t>t</m:t>
                </m:r>
              </m:sup>
            </m:sSubSup>
          </m:e>
        </m:d>
      </m:oMath>
      <w:r>
        <w:t xml:space="preserve"> </w:t>
      </w:r>
      <w:r>
        <w:t xml:space="preserve">is fed into a regression head composed of fully connected layers. For example, we use two dense layers (with ReLU and dropout) to map the concatenated vector down to a single output. The final scalar output is the predicted binding affinity (KIBA score). We train the model with mean-squared error loss:</w:t>
      </w:r>
    </w:p>
    <w:p>
      <w:pPr>
        <w:pStyle w:val="BodyText"/>
      </w:pPr>
      <m:oMathPara>
        <m:oMathParaPr>
          <m:jc m:val="center"/>
        </m:oMathParaPr>
        <m:oMath>
          <m: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r>
            <m:rPr>
              <m:sty m:val="p"/>
            </m:rPr>
            <m:t>,</m:t>
          </m:r>
        </m:oMath>
      </m:oMathPara>
    </w:p>
    <w:p>
      <w:pPr>
        <w:pStyle w:val="FirstParagraph"/>
      </w:pPr>
      <w:r>
        <w:t xml:space="preserve">where</w:t>
      </w:r>
      <w:r>
        <w:t xml:space="preserve"> </w:t>
      </w:r>
      <m:oMath>
        <m:sSub>
          <m:e>
            <m:r>
              <m:t>y</m:t>
            </m:r>
          </m:e>
          <m:sub>
            <m:r>
              <m:t>i</m:t>
            </m:r>
          </m:sub>
        </m:sSub>
      </m:oMath>
      <w:r>
        <w:t xml:space="preserve"> </w:t>
      </w:r>
      <w:r>
        <w:t xml:space="preserve">is the true affinity and</w:t>
      </w:r>
      <w:r>
        <w:t xml:space="preserve"> </w:t>
      </w:r>
      <m:oMath>
        <m:sSub>
          <m:e>
            <m:acc>
              <m:accPr>
                <m:chr m:val="̂"/>
              </m:accPr>
              <m:e>
                <m:r>
                  <m:t>y</m:t>
                </m:r>
              </m:e>
            </m:acc>
          </m:e>
          <m:sub>
            <m:r>
              <m:t>i</m:t>
            </m:r>
          </m:sub>
        </m:sSub>
      </m:oMath>
      <w:r>
        <w:t xml:space="preserve"> </w:t>
      </w:r>
      <w:r>
        <w:t xml:space="preserve">is the model’s prediction. We evaluate performance using root-mean-square error (RMSE) and Pearson correlation. The RMSE is</w:t>
      </w:r>
      <w:r>
        <w:t xml:space="preserve"> </w:t>
      </w: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r>
              <m:rPr>
                <m:sty m:val="p"/>
              </m:rPr>
              <m:t>∑</m:t>
            </m:r>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rad>
      </m:oMath>
      <w:r>
        <w:t xml:space="preserve">.</w:t>
      </w:r>
    </w:p>
    <w:p>
      <w:pPr>
        <w:pStyle w:val="BodyText"/>
      </w:pPr>
      <w:r>
        <w:rPr>
          <w:b/>
          <w:bCs/>
        </w:rPr>
        <w:t xml:space="preserve">[INSERT FIGURE 1 HERE: Model architecture diagram (ligand GAT + protein CNN + fusion).]</w:t>
      </w:r>
    </w:p>
    <w:bookmarkEnd w:id="32"/>
    <w:bookmarkEnd w:id="33"/>
    <w:bookmarkStart w:id="35" w:name="dataset"/>
    <w:p>
      <w:pPr>
        <w:pStyle w:val="Heading2"/>
      </w:pPr>
      <w:r>
        <w:t xml:space="preserve">3. Dataset</w:t>
      </w:r>
    </w:p>
    <w:p>
      <w:pPr>
        <w:pStyle w:val="FirstParagraph"/>
      </w:pPr>
      <w:r>
        <w:t xml:space="preserve">We use the KIBA benchmark dataset for kinase inhibitor affinities</w:t>
      </w:r>
      <w:hyperlink r:id="rId34">
        <w:r>
          <w:rPr>
            <w:rStyle w:val="Hyperlink"/>
          </w:rPr>
          <w:t xml:space="preserve">[7]</w:t>
        </w:r>
      </w:hyperlink>
      <w:r>
        <w:t xml:space="preserve">. KIBA integrates kinase–inhibitor bioactivities (IC50,</w:t>
      </w:r>
      <w:r>
        <w:t xml:space="preserve"> </w:t>
      </w:r>
      <m:oMath>
        <m:sSub>
          <m:e>
            <m:r>
              <m:t>K</m:t>
            </m:r>
          </m:e>
          <m:sub>
            <m:r>
              <m:t>i</m:t>
            </m:r>
          </m:sub>
        </m:sSub>
      </m:oMath>
      <w:r>
        <w:t xml:space="preserve">,</w:t>
      </w:r>
      <w:r>
        <w:t xml:space="preserve"> </w:t>
      </w:r>
      <m:oMath>
        <m:sSub>
          <m:e>
            <m:r>
              <m:t>K</m:t>
            </m:r>
          </m:e>
          <m:sub>
            <m:r>
              <m:t>d</m:t>
            </m:r>
          </m:sub>
        </m:sSub>
      </m:oMath>
      <w:r>
        <w:t xml:space="preserve">) into a unified score</w:t>
      </w:r>
      <w:hyperlink r:id="rId22">
        <w:r>
          <w:rPr>
            <w:rStyle w:val="Hyperlink"/>
          </w:rPr>
          <w:t xml:space="preserve">[2]</w:t>
        </w:r>
      </w:hyperlink>
      <w:r>
        <w:t xml:space="preserve">. It contains about 117,657 interaction records involving 2,068 unique drugs (ligands) and 229 kinase targets</w:t>
      </w:r>
      <w:hyperlink r:id="rId22">
        <w:r>
          <w:rPr>
            <w:rStyle w:val="Hyperlink"/>
          </w:rPr>
          <w:t xml:space="preserve">[2]</w:t>
        </w:r>
      </w:hyperlink>
      <w:r>
        <w:t xml:space="preserve">. In this dataset a lower KIBA score indicates stronger binding. We split the data into train, validation, and test sets (a common “cold drug” split in KIBA) with roughly 70%/10%/20% of the interactions</w:t>
      </w:r>
      <w:hyperlink r:id="rId22">
        <w:r>
          <w:rPr>
            <w:rStyle w:val="Hyperlink"/>
          </w:rPr>
          <w:t xml:space="preserve">[2]</w:t>
        </w:r>
      </w:hyperlink>
      <w:r>
        <w:t xml:space="preserve">. Example statistics are shown in Table 1 (placeholder).</w:t>
      </w:r>
    </w:p>
    <w:p>
      <w:pPr>
        <w:pStyle w:val="BodyText"/>
      </w:pPr>
      <w:r>
        <w:rPr>
          <w:b/>
          <w:bCs/>
        </w:rPr>
        <w:t xml:space="preserve">Preprocessing:</w:t>
      </w:r>
      <w:r>
        <w:t xml:space="preserve"> </w:t>
      </w:r>
      <w:r>
        <w:t xml:space="preserve">We preprocess each record by converting the SMILES string into a molecular graph with RDKit (computing atom features such as atomic number, etc.), and by converting the protein sequence into a 21×L one-hot matrix (padding or truncating to a fixed length if necessary). The KIBA score is used directly as the target. No additional label transformation is applied in this model.</w:t>
      </w:r>
    </w:p>
    <w:bookmarkEnd w:id="35"/>
    <w:bookmarkStart w:id="36" w:name="training-setup-and-results"/>
    <w:p>
      <w:pPr>
        <w:pStyle w:val="Heading2"/>
      </w:pPr>
      <w:r>
        <w:t xml:space="preserve">4. Training Setup and Results</w:t>
      </w:r>
    </w:p>
    <w:p>
      <w:pPr>
        <w:pStyle w:val="FirstParagraph"/>
      </w:pPr>
      <w:r>
        <w:t xml:space="preserve">We train the model for up to 50 epochs (with early stopping) using AdamW optimization. The loss function is MSE as above. We set the learning rate to 5.75e-4 and use weight decay for regularization. During training we monitor the training and validation losses as well as RMSE and Pearson correlation on the validation set. The key settings are: batch size 64, MSE loss, and evaluation metrics of RMSE and Pearson.</w:t>
      </w:r>
    </w:p>
    <w:p>
      <w:pPr>
        <w:pStyle w:val="BodyText"/>
      </w:pPr>
      <w:r>
        <w:t xml:space="preserve">On the test set, the final model achieves an RMSE of about 0.8551. Pearson correlation between predicted and true affinities is similarly high (indicating the model captures affinity trends). Figure 2 shows the training and validation loss curves, which converge within ~15–20 epochs in practice.</w:t>
      </w:r>
    </w:p>
    <w:p>
      <w:pPr>
        <w:pStyle w:val="BodyText"/>
      </w:pPr>
      <w:r>
        <w:rPr>
          <w:b/>
          <w:bCs/>
        </w:rPr>
        <w:t xml:space="preserve">[INSERT FIGURE 2 HERE: Training/validation loss (or RMSE) vs. epoch.]</w:t>
      </w:r>
    </w:p>
    <w:bookmarkEnd w:id="36"/>
    <w:bookmarkStart w:id="37" w:name="conclusion-and-future-work"/>
    <w:p>
      <w:pPr>
        <w:pStyle w:val="Heading2"/>
      </w:pPr>
      <w:r>
        <w:t xml:space="preserve">5. Conclusion and Future Work</w:t>
      </w:r>
    </w:p>
    <w:p>
      <w:pPr>
        <w:pStyle w:val="FirstParagraph"/>
      </w:pPr>
      <w:r>
        <w:t xml:space="preserve">We have presented a hybrid neural model for drug–target binding affinity prediction using the KIBA dataset. By encoding ligands as graphs (via GAT) and proteins as sequences (via CNN), and by fusing these representations with a cross-attention mechanism, the model captures rich drug–target interactions and achieves strong predictive accuracy (test RMSE ≈ 0.855). This demonstrates the value of combining graph-based and sequence-based representations for DTA regression.</w:t>
      </w:r>
    </w:p>
    <w:p>
      <w:pPr>
        <w:pStyle w:val="BodyText"/>
      </w:pPr>
      <w:r>
        <w:t xml:space="preserve">Future work could involve incorporating additional structure or physics information. For example, integrating three-dimensional ligand or protein structures (via equivariant GNNs) might improve binding predictions, or adding physics-inspired features (e.g. approximate interaction energies) could make the model more interpretable and accurate. These extensions could further enhance the model’s performance and applicability in real drug discovery settings.</w:t>
      </w:r>
    </w:p>
    <w:bookmarkEnd w:id="37"/>
    <w:bookmarkStart w:id="38" w:name="bibliography"/>
    <w:p>
      <w:pPr>
        <w:pStyle w:val="Heading2"/>
      </w:pPr>
      <w:r>
        <w:t xml:space="preserve">Bibliography</w:t>
      </w:r>
    </w:p>
    <w:p>
      <w:pPr>
        <w:pStyle w:val="Compact"/>
        <w:numPr>
          <w:ilvl w:val="0"/>
          <w:numId w:val="1001"/>
        </w:numPr>
      </w:pPr>
      <w:r>
        <w:t xml:space="preserve">Veličković, P.</w:t>
      </w:r>
      <w:r>
        <w:t xml:space="preserve"> </w:t>
      </w:r>
      <w:r>
        <w:rPr>
          <w:i/>
          <w:iCs/>
        </w:rPr>
        <w:t xml:space="preserve">et al.</w:t>
      </w:r>
      <w:r>
        <w:t xml:space="preserve"> </w:t>
      </w:r>
      <w:r>
        <w:t xml:space="preserve">“Graph Attention Networks.”</w:t>
      </w:r>
      <w:r>
        <w:t xml:space="preserve"> </w:t>
      </w:r>
      <w:r>
        <w:rPr>
          <w:i/>
          <w:iCs/>
        </w:rPr>
        <w:t xml:space="preserve">ICLR</w:t>
      </w:r>
      <w:r>
        <w:t xml:space="preserve"> </w:t>
      </w:r>
      <w:r>
        <w:t xml:space="preserve">(2018).</w:t>
      </w:r>
    </w:p>
    <w:p>
      <w:pPr>
        <w:pStyle w:val="Compact"/>
        <w:numPr>
          <w:ilvl w:val="0"/>
          <w:numId w:val="1001"/>
        </w:numPr>
      </w:pPr>
      <w:r>
        <w:t xml:space="preserve">Tang, J.</w:t>
      </w:r>
      <w:r>
        <w:t xml:space="preserve"> </w:t>
      </w:r>
      <w:r>
        <w:rPr>
          <w:i/>
          <w:iCs/>
        </w:rPr>
        <w:t xml:space="preserve">et al.</w:t>
      </w:r>
      <w:r>
        <w:t xml:space="preserve"> </w:t>
      </w:r>
      <w:r>
        <w:t xml:space="preserve">“Making sense of large-scale kinase inhibitor bioactivity data sets: a comparative and integrative analysis.”</w:t>
      </w:r>
      <w:r>
        <w:t xml:space="preserve"> </w:t>
      </w:r>
      <w:r>
        <w:rPr>
          <w:i/>
          <w:iCs/>
        </w:rPr>
        <w:t xml:space="preserve">J. Chem. Inf. Model.</w:t>
      </w:r>
      <w:r>
        <w:t xml:space="preserve"> </w:t>
      </w:r>
      <w:r>
        <w:rPr>
          <w:b/>
          <w:bCs/>
        </w:rPr>
        <w:t xml:space="preserve">54</w:t>
      </w:r>
      <w:r>
        <w:t xml:space="preserve">(3), 735–743 (2014).</w:t>
      </w:r>
    </w:p>
    <w:p>
      <w:pPr>
        <w:pStyle w:val="Compact"/>
        <w:numPr>
          <w:ilvl w:val="0"/>
          <w:numId w:val="1001"/>
        </w:numPr>
      </w:pPr>
      <w:r>
        <w:t xml:space="preserve">Nguyen, T.</w:t>
      </w:r>
      <w:r>
        <w:t xml:space="preserve"> </w:t>
      </w:r>
      <w:r>
        <w:rPr>
          <w:i/>
          <w:iCs/>
        </w:rPr>
        <w:t xml:space="preserve">et al.</w:t>
      </w:r>
      <w:r>
        <w:t xml:space="preserve"> </w:t>
      </w:r>
      <w:r>
        <w:t xml:space="preserve">“GraphDTA: prediction of drug–target binding affinity using graph neural networks.”</w:t>
      </w:r>
      <w:r>
        <w:t xml:space="preserve"> </w:t>
      </w:r>
      <w:r>
        <w:rPr>
          <w:i/>
          <w:iCs/>
        </w:rPr>
        <w:t xml:space="preserve">Bioinformatics</w:t>
      </w:r>
      <w:r>
        <w:t xml:space="preserve"> </w:t>
      </w:r>
      <w:r>
        <w:rPr>
          <w:b/>
          <w:bCs/>
        </w:rPr>
        <w:t xml:space="preserve">37</w:t>
      </w:r>
      <w:r>
        <w:t xml:space="preserve">(8), 1140–1147 (2021).</w:t>
      </w:r>
    </w:p>
    <w:p>
      <w:pPr>
        <w:pStyle w:val="Compact"/>
        <w:numPr>
          <w:ilvl w:val="0"/>
          <w:numId w:val="1001"/>
        </w:numPr>
      </w:pPr>
      <w:r>
        <w:t xml:space="preserve">Öztürk, H.</w:t>
      </w:r>
      <w:r>
        <w:t xml:space="preserve"> </w:t>
      </w:r>
      <w:r>
        <w:rPr>
          <w:i/>
          <w:iCs/>
        </w:rPr>
        <w:t xml:space="preserve">et al.</w:t>
      </w:r>
      <w:r>
        <w:t xml:space="preserve"> </w:t>
      </w:r>
      <w:r>
        <w:t xml:space="preserve">“DeepDTA: deep drug–target binding affinity prediction.”</w:t>
      </w:r>
      <w:r>
        <w:t xml:space="preserve"> </w:t>
      </w:r>
      <w:r>
        <w:rPr>
          <w:i/>
          <w:iCs/>
        </w:rPr>
        <w:t xml:space="preserve">Bioinformatics</w:t>
      </w:r>
      <w:r>
        <w:t xml:space="preserve"> </w:t>
      </w:r>
      <w:r>
        <w:rPr>
          <w:b/>
          <w:bCs/>
        </w:rPr>
        <w:t xml:space="preserve">34</w:t>
      </w:r>
      <w:r>
        <w:t xml:space="preserve">(17), i821–i829 (2018).</w:t>
      </w:r>
    </w:p>
    <w:p>
      <w:pPr>
        <w:pStyle w:val="Compact"/>
        <w:numPr>
          <w:ilvl w:val="0"/>
          <w:numId w:val="1001"/>
        </w:numPr>
      </w:pPr>
      <w:r>
        <w:t xml:space="preserve">Zhai, H.</w:t>
      </w:r>
      <w:r>
        <w:t xml:space="preserve"> </w:t>
      </w:r>
      <w:r>
        <w:rPr>
          <w:i/>
          <w:iCs/>
        </w:rPr>
        <w:t xml:space="preserve">et al.</w:t>
      </w:r>
      <w:r>
        <w:t xml:space="preserve"> </w:t>
      </w:r>
      <w:r>
        <w:t xml:space="preserve">“DGDTA: dynamic graph attention network for predicting drug–target binding affinity.”</w:t>
      </w:r>
      <w:r>
        <w:t xml:space="preserve"> </w:t>
      </w:r>
      <w:r>
        <w:rPr>
          <w:i/>
          <w:iCs/>
        </w:rPr>
        <w:t xml:space="preserve">BMC Bioinform.</w:t>
      </w:r>
      <w:r>
        <w:t xml:space="preserve"> </w:t>
      </w:r>
      <w:r>
        <w:rPr>
          <w:b/>
          <w:bCs/>
        </w:rPr>
        <w:t xml:space="preserve">24</w:t>
      </w:r>
      <w:r>
        <w:t xml:space="preserve">, 367 (2023)</w:t>
      </w:r>
      <w:hyperlink r:id="rId24">
        <w:r>
          <w:rPr>
            <w:rStyle w:val="Hyperlink"/>
          </w:rPr>
          <w:t xml:space="preserve">[3]</w:t>
        </w:r>
      </w:hyperlink>
      <w:hyperlink r:id="rId25">
        <w:r>
          <w:rPr>
            <w:rStyle w:val="Hyperlink"/>
          </w:rPr>
          <w:t xml:space="preserve">[4]</w:t>
        </w:r>
      </w:hyperlink>
      <w:r>
        <w:t xml:space="preserve">.</w:t>
      </w:r>
    </w:p>
    <w:bookmarkEnd w:id="38"/>
    <w:bookmarkEnd w:id="39"/>
    <w:bookmarkEnd w:id="40"/>
    <w:p>
      <w:r>
        <w:pict>
          <v:rect style="width:0;height:1.5pt" o:hralign="center" o:hrstd="t" o:hr="t"/>
        </w:pict>
      </w:r>
    </w:p>
    <w:bookmarkStart w:id="45" w:name="citations"/>
    <w:p>
      <w:pPr>
        <w:pStyle w:val="FirstParagraph"/>
      </w:pPr>
      <w:hyperlink r:id="rId21">
        <w:r>
          <w:rPr>
            <w:rStyle w:val="Hyperlink"/>
          </w:rPr>
          <w:t xml:space="preserve">[1]</w:t>
        </w:r>
      </w:hyperlink>
      <w:r>
        <w:t xml:space="preserve"> </w:t>
      </w:r>
      <w:r>
        <w:t xml:space="preserve">[1710.10903] Graph Attention Networks</w:t>
      </w:r>
    </w:p>
    <w:p>
      <w:pPr>
        <w:pStyle w:val="BodyText"/>
      </w:pPr>
      <w:hyperlink r:id="rId41">
        <w:r>
          <w:rPr>
            <w:rStyle w:val="Hyperlink"/>
          </w:rPr>
          <w:t xml:space="preserve">https://arxiv.org/abs/1710.10903</w:t>
        </w:r>
      </w:hyperlink>
    </w:p>
    <w:p>
      <w:pPr>
        <w:pStyle w:val="BodyText"/>
      </w:pPr>
      <w:hyperlink r:id="rId22">
        <w:r>
          <w:rPr>
            <w:rStyle w:val="Hyperlink"/>
          </w:rPr>
          <w:t xml:space="preserve">[2]</w:t>
        </w:r>
      </w:hyperlink>
      <w:r>
        <w:t xml:space="preserve"> </w:t>
      </w:r>
      <w:hyperlink r:id="rId34">
        <w:r>
          <w:rPr>
            <w:rStyle w:val="Hyperlink"/>
          </w:rPr>
          <w:t xml:space="preserve">[7]</w:t>
        </w:r>
      </w:hyperlink>
      <w:r>
        <w:t xml:space="preserve"> </w:t>
      </w:r>
      <w:r>
        <w:t xml:space="preserve">Drug-Target Interaction - TDC</w:t>
      </w:r>
    </w:p>
    <w:p>
      <w:pPr>
        <w:pStyle w:val="BodyText"/>
      </w:pPr>
      <w:hyperlink r:id="rId42">
        <w:r>
          <w:rPr>
            <w:rStyle w:val="Hyperlink"/>
          </w:rPr>
          <w:t xml:space="preserve">https://tdcommons.ai/multi_pred_tasks/dti/</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r>
        <w:t xml:space="preserve">DGDTA: dynamic graph attention network for predicting drug–target binding affinity | BMC Bioinformatics</w:t>
      </w:r>
    </w:p>
    <w:p>
      <w:pPr>
        <w:pStyle w:val="BodyText"/>
      </w:pPr>
      <w:hyperlink r:id="rId43">
        <w:r>
          <w:rPr>
            <w:rStyle w:val="Hyperlink"/>
          </w:rPr>
          <w:t xml:space="preserve">https://link.springer.com/article/10.1186/s12859-023-05497-5</w:t>
        </w:r>
      </w:hyperlink>
    </w:p>
    <w:p>
      <w:pPr>
        <w:pStyle w:val="BodyText"/>
      </w:pPr>
      <w:hyperlink r:id="rId27">
        <w:r>
          <w:rPr>
            <w:rStyle w:val="Hyperlink"/>
          </w:rPr>
          <w:t xml:space="preserve">[6]</w:t>
        </w:r>
      </w:hyperlink>
      <w:r>
        <w:t xml:space="preserve"> </w:t>
      </w:r>
      <w:r>
        <w:t xml:space="preserve">Drug-target binding affinity prediction method based on a deep graph neural network</w:t>
      </w:r>
    </w:p>
    <w:p>
      <w:pPr>
        <w:pStyle w:val="BodyText"/>
      </w:pPr>
      <w:hyperlink r:id="rId44">
        <w:r>
          <w:rPr>
            <w:rStyle w:val="Hyperlink"/>
          </w:rPr>
          <w:t xml:space="preserve">https://www.aimspress.com/article/doi/10.3934/mbe.2023012?viewType=HTML</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arxiv.org/abs/1710.10903" TargetMode="External" /><Relationship Type="http://schemas.openxmlformats.org/officeDocument/2006/relationships/hyperlink" Id="rId21" Target="https://arxiv.org/abs/1710.10903#:~:text=,and%20make%20our%20model%20readily" TargetMode="External" /><Relationship Type="http://schemas.openxmlformats.org/officeDocument/2006/relationships/hyperlink" Id="rId43" Target="https://link.springer.com/article/10.1186/s12859-023-05497-5" TargetMode="External" /><Relationship Type="http://schemas.openxmlformats.org/officeDocument/2006/relationships/hyperlink" Id="rId25" Target="https://link.springer.com/article/10.1186/s12859-023-05497-5#:~:text=,in%20the%20limited%20drug%20research" TargetMode="External" /><Relationship Type="http://schemas.openxmlformats.org/officeDocument/2006/relationships/hyperlink" Id="rId24" Target="https://link.springer.com/article/10.1186/s12859-023-05497-5#:~:text=Drug%E2%80%93target%20interaction%20,5%20%2C%20%2034" TargetMode="External" /><Relationship Type="http://schemas.openxmlformats.org/officeDocument/2006/relationships/hyperlink" Id="rId26" Target="https://link.springer.com/article/10.1186/s12859-023-05497-5#:~:text=learning,SMILES%20string" TargetMode="External" /><Relationship Type="http://schemas.openxmlformats.org/officeDocument/2006/relationships/hyperlink" Id="rId42" Target="https://tdcommons.ai/multi_pred_tasks/dti/" TargetMode="External" /><Relationship Type="http://schemas.openxmlformats.org/officeDocument/2006/relationships/hyperlink" Id="rId22" Target="https://tdcommons.ai/multi_pred_tasks/dti/#:~:text=Dataset%20Statistics%3A%20%20,pairs%2C%202%2C068%20drugs%2C%20229%20proteins" TargetMode="External" /><Relationship Type="http://schemas.openxmlformats.org/officeDocument/2006/relationships/hyperlink" Id="rId34" Target="https://tdcommons.ai/multi_pred_tasks/dti/#:~:text=Task%20Description%3A%20Regression,string%2C%20predict%20their%20binding%20affinity" TargetMode="External" /><Relationship Type="http://schemas.openxmlformats.org/officeDocument/2006/relationships/hyperlink" Id="rId44" Target="https://www.aimspress.com/article/doi/10.3934/mbe.2023012?viewType=HTML" TargetMode="External" /><Relationship Type="http://schemas.openxmlformats.org/officeDocument/2006/relationships/hyperlink" Id="rId27" Target="https://www.aimspress.com/article/doi/10.3934/mbe.2023012?viewType=HTML#:~:text=GraphDTA%3A%20Predicting%20drug,1093%2Fbioinformatics%2Fbtaa921%20Image" TargetMode="External" /></Relationships>
</file>

<file path=word/_rels/footnotes.xml.rels><?xml version="1.0" encoding="UTF-8"?><Relationships xmlns="http://schemas.openxmlformats.org/package/2006/relationships"><Relationship Type="http://schemas.openxmlformats.org/officeDocument/2006/relationships/hyperlink" Id="rId41" Target="https://arxiv.org/abs/1710.10903" TargetMode="External" /><Relationship Type="http://schemas.openxmlformats.org/officeDocument/2006/relationships/hyperlink" Id="rId21" Target="https://arxiv.org/abs/1710.10903#:~:text=,and%20make%20our%20model%20readily" TargetMode="External" /><Relationship Type="http://schemas.openxmlformats.org/officeDocument/2006/relationships/hyperlink" Id="rId43" Target="https://link.springer.com/article/10.1186/s12859-023-05497-5" TargetMode="External" /><Relationship Type="http://schemas.openxmlformats.org/officeDocument/2006/relationships/hyperlink" Id="rId25" Target="https://link.springer.com/article/10.1186/s12859-023-05497-5#:~:text=,in%20the%20limited%20drug%20research" TargetMode="External" /><Relationship Type="http://schemas.openxmlformats.org/officeDocument/2006/relationships/hyperlink" Id="rId24" Target="https://link.springer.com/article/10.1186/s12859-023-05497-5#:~:text=Drug%E2%80%93target%20interaction%20,5%20%2C%20%2034" TargetMode="External" /><Relationship Type="http://schemas.openxmlformats.org/officeDocument/2006/relationships/hyperlink" Id="rId26" Target="https://link.springer.com/article/10.1186/s12859-023-05497-5#:~:text=learning,SMILES%20string" TargetMode="External" /><Relationship Type="http://schemas.openxmlformats.org/officeDocument/2006/relationships/hyperlink" Id="rId42" Target="https://tdcommons.ai/multi_pred_tasks/dti/" TargetMode="External" /><Relationship Type="http://schemas.openxmlformats.org/officeDocument/2006/relationships/hyperlink" Id="rId22" Target="https://tdcommons.ai/multi_pred_tasks/dti/#:~:text=Dataset%20Statistics%3A%20%20,pairs%2C%202%2C068%20drugs%2C%20229%20proteins" TargetMode="External" /><Relationship Type="http://schemas.openxmlformats.org/officeDocument/2006/relationships/hyperlink" Id="rId34" Target="https://tdcommons.ai/multi_pred_tasks/dti/#:~:text=Task%20Description%3A%20Regression,string%2C%20predict%20their%20binding%20affinity" TargetMode="External" /><Relationship Type="http://schemas.openxmlformats.org/officeDocument/2006/relationships/hyperlink" Id="rId44" Target="https://www.aimspress.com/article/doi/10.3934/mbe.2023012?viewType=HTML" TargetMode="External" /><Relationship Type="http://schemas.openxmlformats.org/officeDocument/2006/relationships/hyperlink" Id="rId27" Target="https://www.aimspress.com/article/doi/10.3934/mbe.2023012?viewType=HTML#:~:text=GraphDTA%3A%20Predicting%20drug,1093%2Fbioinformatics%2Fbtaa921%20Im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2025-12-01T06:12:57Z</dcterms:created>
  <dcterms:modified xsi:type="dcterms:W3CDTF">2025-12-01T06:12:57Z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