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 – Wind Turbine Energy Prediction</w:t>
      </w:r>
    </w:p>
    <w:tbl>
      <w:tblPr>
        <w:tblStyle w:val="Table2"/>
        <w:tblW w:w="9360.000000000002" w:type="dxa"/>
        <w:jc w:val="left"/>
        <w:tblLayout w:type="fixed"/>
        <w:tblLook w:val="0400"/>
      </w:tblPr>
      <w:tblGrid>
        <w:gridCol w:w="502"/>
        <w:gridCol w:w="1799"/>
        <w:gridCol w:w="4933"/>
        <w:gridCol w:w="2126"/>
        <w:tblGridChange w:id="0">
          <w:tblGrid>
            <w:gridCol w:w="502"/>
            <w:gridCol w:w="1799"/>
            <w:gridCol w:w="4933"/>
            <w:gridCol w:w="21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Model 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Random Forest Regressor (200 estimators, trained on wind turbine dataset)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Training R² Score – ~0.98</w:t>
              <w:br w:type="textWrapping"/>
              <w:t xml:space="preserve">Validation R² Score – ~0.95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Scatter plot of Actual vs Predicted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Fine-Tuning Result (if done)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Validation R² Score after tuning hyperparameters (e.g., n_estimators, max_depth) – ~0.96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