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36"/>
        </w:rPr>
        <w:t>Prompt Engineering Assessment: 6 Building Blocks Analysis</w:t>
      </w:r>
    </w:p>
    <w:p>
      <w:pPr>
        <w:spacing w:before="0" w:after="280"/>
      </w:pPr>
      <w:r>
        <w:rPr>
          <w:rFonts w:ascii="Calibri" w:hAnsi="Calibri"/>
          <w:i/>
          <w:color w:val="4B6B94"/>
          <w:sz w:val="22"/>
        </w:rPr>
        <w:t>Evaluating the Prompt using the 6 Building Blocks Framework</w:t>
      </w:r>
    </w:p>
    <w:p>
      <w:pPr>
        <w:keepNext/>
        <w:spacing w:before="200" w:after="80"/>
      </w:pPr>
      <w:r>
        <w:rPr>
          <w:rFonts w:ascii="Calibri" w:hAnsi="Calibri"/>
          <w:b/>
          <w:color w:val="1B365D"/>
          <w:sz w:val="26"/>
        </w:rPr>
        <w:t>Question</w:t>
      </w:r>
    </w:p>
    <w:p>
      <w:pPr>
        <w:spacing w:before="40" w:after="120"/>
      </w:pPr>
      <w:r>
        <w:t>Explain why the following prompt is a strong prompt based on the 6 Building Blocks framework: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9FA"/>
            <w:tcBorders>
              <w:left w:val="single" w:sz="24" w:space="0" w:color="1B365D"/>
              <w:top w:val="single" w:sz="4" w:space="0" w:color="D0D5DD"/>
              <w:right w:val="single" w:sz="4" w:space="0" w:color="D0D5DD"/>
              <w:bottom w:val="single" w:sz="4" w:space="0" w:color="D0D5DD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onsolas" w:hAnsi="Consolas"/>
                <w:color w:val="111111"/>
                <w:sz w:val="19"/>
              </w:rPr>
              <w:t>ROLE: You are my senior ABAP developer | CONTEXT: I joined last week and know nothing about SAP MM | TASK: Explain tables EKKO and EKPO | FORMAT: Table with columns: Table, Description, Key Fields | LENGTH/RULES: Under 100 words; only key fields; add ONE example: PO 4500012345 with 3 items; one line on what MANDT is | TONE: Simple English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1B365D"/>
          <w:sz w:val="26"/>
        </w:rPr>
        <w:t>Answer (Breakdown by the 6 Building Blocks)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5DD"/>
          <w:bottom w:val="single" w:sz="4" w:space="0" w:color="D0D5DD"/>
          <w:insideH w:val="single" w:sz="4" w:space="0" w:color="D0D5DD"/>
          <w:insideV w:val="none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872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Building Block</w:t>
            </w:r>
          </w:p>
        </w:tc>
        <w:tc>
          <w:tcPr>
            <w:tcW w:type="dxa" w:w="3312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Prompt Segment</w:t>
            </w:r>
          </w:p>
        </w:tc>
        <w:tc>
          <w:tcPr>
            <w:tcW w:type="dxa" w:w="4608"/>
            <w:shd w:fill="1B365D"/>
          </w:tcPr>
          <w:p>
            <w:pPr>
              <w:spacing w:before="80" w:after="80"/>
              <w:jc w:val="left"/>
            </w:pPr>
            <w:r>
              <w:rPr>
                <w:b/>
                <w:color w:val="FFFFFF"/>
                <w:sz w:val="19"/>
              </w:rPr>
              <w:t>Why It Makes the Prompt Strong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/>
            </w:pPr>
            <w:r>
              <w:rPr>
                <w:b/>
                <w:sz w:val="19"/>
              </w:rPr>
              <w:t>1. Role</w:t>
            </w:r>
          </w:p>
        </w:tc>
        <w:tc>
          <w:tcPr>
            <w:tcW w:type="dxa" w:w="3312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ROLE: You are my senior ABAP developer</w:t>
            </w:r>
          </w:p>
        </w:tc>
        <w:tc>
          <w:tcPr>
            <w:tcW w:type="dxa" w:w="460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Defines exactly who the AI should be, ensuring expert authority and appropriate domain knowledge.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2. Task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TASK: Explain tables EKKO and EKPO</w:t>
            </w:r>
          </w:p>
        </w:tc>
        <w:tc>
          <w:tcPr>
            <w:tcW w:type="dxa" w:w="4608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States one single, clear job so the AI knows exactly what action to take.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/>
            </w:pPr>
            <w:r>
              <w:rPr>
                <w:b/>
                <w:sz w:val="19"/>
              </w:rPr>
              <w:t>3. Context</w:t>
            </w:r>
          </w:p>
        </w:tc>
        <w:tc>
          <w:tcPr>
            <w:tcW w:type="dxa" w:w="3312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CONTEXT: I joined last week and know nothing about SAP MM</w:t>
            </w:r>
          </w:p>
        </w:tc>
        <w:tc>
          <w:tcPr>
            <w:tcW w:type="dxa" w:w="460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Provides background information the AI cannot guess, tailoring the technical depth for a total beginner.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4. Examples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add ONE example: PO 4500012345 with 3 items</w:t>
            </w:r>
          </w:p>
        </w:tc>
        <w:tc>
          <w:tcPr>
            <w:tcW w:type="dxa" w:w="4608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Includes a concrete real-world sample showing how header (EKKO) and item (EKPO) tables relate.</w:t>
            </w:r>
          </w:p>
        </w:tc>
      </w:tr>
      <w:tr>
        <w:tc>
          <w:tcPr>
            <w:tcW w:type="dxa" w:w="1872"/>
            <w:shd w:fill="F4F6F9"/>
          </w:tcPr>
          <w:p>
            <w:pPr>
              <w:spacing w:before="60" w:after="60"/>
            </w:pPr>
            <w:r>
              <w:rPr>
                <w:b/>
                <w:sz w:val="19"/>
              </w:rPr>
              <w:t>5. Format</w:t>
            </w:r>
          </w:p>
        </w:tc>
        <w:tc>
          <w:tcPr>
            <w:tcW w:type="dxa" w:w="3312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FORMAT: Table with columns: Table, Description, Key Fields</w:t>
            </w:r>
          </w:p>
        </w:tc>
        <w:tc>
          <w:tcPr>
            <w:tcW w:type="dxa" w:w="4608"/>
            <w:shd w:fill="F4F6F9"/>
          </w:tcPr>
          <w:p>
            <w:pPr>
              <w:spacing w:before="60" w:after="60"/>
            </w:pPr>
            <w:r>
              <w:rPr>
                <w:sz w:val="19"/>
              </w:rPr>
              <w:t>Specifies the precise output layout required for maximum readability.</w:t>
            </w:r>
          </w:p>
        </w:tc>
      </w:tr>
      <w:tr>
        <w:tc>
          <w:tcPr>
            <w:tcW w:type="dxa" w:w="1872"/>
            <w:shd w:fill="FFFFFF"/>
          </w:tcPr>
          <w:p>
            <w:pPr>
              <w:spacing w:before="60" w:after="60"/>
            </w:pPr>
            <w:r>
              <w:rPr>
                <w:b/>
                <w:sz w:val="19"/>
              </w:rPr>
              <w:t>6. Constraints</w:t>
            </w:r>
          </w:p>
        </w:tc>
        <w:tc>
          <w:tcPr>
            <w:tcW w:type="dxa" w:w="3312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Under 100 words; only key fields; one line on MANDT; TONE: Simple English</w:t>
            </w:r>
          </w:p>
        </w:tc>
        <w:tc>
          <w:tcPr>
            <w:tcW w:type="dxa" w:w="4608"/>
            <w:shd w:fill="FFFFFF"/>
          </w:tcPr>
          <w:p>
            <w:pPr>
              <w:spacing w:before="60" w:after="60"/>
            </w:pPr>
            <w:r>
              <w:rPr>
                <w:sz w:val="19"/>
              </w:rPr>
              <w:t>Sets strict boundaries and rules on word length, tone, scope, and specific mandatory details.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