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4E78"/>
          <w:sz w:val="56"/>
          <w:szCs w:val="56"/>
        </w:rPr>
        <w:t xml:space="preserve">Functional Requirements Document</w:t>
      </w:r>
    </w:p>
    <w:p>
      <w:pPr>
        <w:spacing w:after="800"/>
        <w:jc w:val="center"/>
      </w:pPr>
      <w:r>
        <w:rPr>
          <w:color w:val="595959"/>
          <w:sz w:val="28"/>
          <w:szCs w:val="28"/>
        </w:rPr>
        <w:t xml:space="preserve">Loan Default Prediction Using Machine Learning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Document Type: </w:t>
      </w:r>
      <w:r>
        <w:rPr>
          <w:sz w:val="22"/>
          <w:szCs w:val="22"/>
        </w:rPr>
        <w:t xml:space="preserve">Functional Requirements Document (FRD)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Project: </w:t>
      </w:r>
      <w:r>
        <w:rPr>
          <w:sz w:val="22"/>
          <w:szCs w:val="22"/>
        </w:rPr>
        <w:t xml:space="preserve">Loan Default Prediction Using Machine Learning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Version: </w:t>
      </w:r>
      <w:r>
        <w:rPr>
          <w:sz w:val="22"/>
          <w:szCs w:val="22"/>
        </w:rPr>
        <w:t xml:space="preserve">1.0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27 July 2026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Owner: </w:t>
      </w:r>
      <w:r>
        <w:rPr>
          <w:sz w:val="22"/>
          <w:szCs w:val="22"/>
        </w:rPr>
        <w:t xml:space="preserve">Business/Data Analyst (Project Owner)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Draft for Review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8"/>
        </w:rPr>
        <w:t xml:space="preserve">1. Purpose</w:t>
      </w:r>
    </w:p>
    <w:p>
      <w:pPr>
        <w:spacing w:after="150"/>
      </w:pPr>
      <w:r>
        <w:rPr>
          <w:sz w:val="22"/>
          <w:szCs w:val="22"/>
        </w:rPr>
        <w:t xml:space="preserve">This document translates the Business Requirements (BRD) and Product Requirements (PRD) into specific, testable functional requirements covering data ingestion, cleaning, feature engineering, modelling, evaluation, and the dashboard. Each requirement has a unique ID for traceability back to the BRD.</w:t>
      </w:r>
    </w:p>
    <w:p>
      <w:pPr>
        <w:pStyle w:val="Heading1"/>
        <w:spacing w:after="200" w:before="400"/>
      </w:pPr>
      <w:r>
        <w:rPr>
          <w:b/>
          <w:bCs/>
          <w:color w:val="1F4E78"/>
        </w:rPr>
        <w:t xml:space="preserve">2. Functional Requirements by Module</w:t>
      </w:r>
    </w:p>
    <w:p>
      <w:pPr>
        <w:pStyle w:val="Heading2"/>
        <w:spacing w:after="150" w:before="300"/>
      </w:pPr>
      <w:r>
        <w:rPr>
          <w:b/>
          <w:bCs/>
          <w:color w:val="1F4E78"/>
        </w:rPr>
        <w:t xml:space="preserve">2.1 Data Ingestion (FR-DI)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66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FR-DI-01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load the raw loan application dataset (CSV/XLSX) into a Pandas DataFrame.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File loads without error; row/column counts match the source file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FR-DI-02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validate that all 13 expected source columns (per the Data Dictionary) are present.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validation check lists any missing or unexpected columns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78"/>
        </w:rPr>
        <w:t xml:space="preserve">2.2 Data Cleaning (FR-DC)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66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FR-DC-01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identify and handle missing values in each column using an appropriate strategy (mode for categorical, median for numeric, or documented removal).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Zero missing values remain in the modelling dataset; the method used per column is documented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FR-DC-02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detect and remove exact duplicate records.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Row count before/after de-duplication is logged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FR-DC-03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correct data types (e.g., Credit_History as numeric/boolean, Dependents as category).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Each column's dtype matches the Data Dictionary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FR-DC-04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encode categorical variables (e.g., one-hot or label encoding) for model-ready data.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model input features are numeric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FR-DC-05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detect outliers in income and loan amount fields (e.g., via IQR or z-score) and document how they are treated.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 outlier summary table is produced before any treatment is applied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FR-DC-06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scale/normalise numeric features where required by the chosen algorithm.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Scaled features have documented mean/std or min/max used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78"/>
        </w:rPr>
        <w:t xml:space="preserve">2.3 Exploratory Data Analysis (FR-EDA)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66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FR-EDA-01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calculate the overall default rate.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single summary statistic and supporting chart are produced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FR-EDA-02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analyse default rate by income, credit history, property area, and loan amount.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One chart plus one written observation per dimension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FR-EDA-03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produce bar chart, pie chart, histogram, box plot, correlation heatmap, and count plot views as needed to support the above analyses.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Each chart type appears at least once in the notebook/report with a caption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78"/>
        </w:rPr>
        <w:t xml:space="preserve">2.4 Feature Engineering (FR-FE)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66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FR-FE-01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compute TotalIncome = ApplicantIncome + CoapplicantIncome.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New column present and correctly summed for all rows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FR-FE-02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compute an EMI-to-Income Ratio approximating monthly repayment burden.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New column present; formula documented in the Data Dictionary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FR-FE-03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compute a Loan-to-Income Ratio.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New column present; formula documented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FR-FE-04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bucket TotalIncome into an Income Category and LoanAmount into a Loan Amount Category.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Categories present with documented bin edges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78"/>
        </w:rPr>
        <w:t xml:space="preserve">2.5 Model Training (FR-MT)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66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FR-MT-01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split data into training and test sets (e.g., 70/30 or 80/20) with a fixed random seed.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Split proportions and seed are documented and reproducible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FR-MT-02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train a Logistic Regression, a Decision Tree, and a Random Forest classifier on the training set.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three models train without error and produce predictions on the test set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FR-MT-03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should optionally train XGBoost and/or LightGBM classifiers for comparison.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If included, results appear in the same comparison table as FR-MT-02 models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FR-MT-04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persist the best-performing model to disk (model.pkl).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loadable model artefact is produced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78"/>
        </w:rPr>
        <w:t xml:space="preserve">2.6 Model Evaluation (FR-EV)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66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FR-EV-01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report Accuracy, Precision, Recall, F1-score, and ROC-AUC for every trained model on the test set.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single comparison table with all metrics for all models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FR-EV-02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produce a confusion matrix for the selected best model.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Confusion matrix rendered and interpreted in the report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FR-EV-03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 shall select a final model based on a documented rule (e.g., highest ROC-AUC, subject to acceptable Recall).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selection rationale is written in the report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78"/>
        </w:rPr>
        <w:t xml:space="preserve">2.7 Business Insight Generation (FR-BI)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66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FR-BI-01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system/analyst shall translate at least five model or EDA findings into plain-language business statements.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Insights appear in the final report, each tied to supporting evidence (a chart, a metric, or a feature importance value)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FR-BI-02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system/analyst shall identify feature importance (or logistic regression coefficients) for the selected model.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ranked feature-importance table or chart is produced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78"/>
        </w:rPr>
        <w:t xml:space="preserve">2.8 Dashboard (FR-DB)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66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FR-DB-01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dashboard shall display total applications, overall default rate, and average loan amount as headline KPIs.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three KPIs visible on the landing view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FR-DB-02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dashboard shall show default rate by education, property area, and income group.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Three corresponding charts/visuals present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FR-DB-03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dashboard shall provide filters for gender, education, property area, and employment type.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Each filter, when applied, correctly updates all visuals on the page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78"/>
        </w:rPr>
        <w:t xml:space="preserve">2.9 Reporting and Documentation (FR-RD)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66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FR-RD-01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project shall include a written report (8-12 pages) covering problem, method, results, and recommendations.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Report delivered as a document, structured per the agreed outline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FR-RD-02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project shall include a slide presentation (10-15 slides) summarising the same narrative for a business audience.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Slide deck delivered, one core message per slide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FR-RD-03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project shall include a data dictionary documenting every field, its type, description, and valid range.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dictionary delivered and matches the final dataset column-for-column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8"/>
        </w:rPr>
        <w:t xml:space="preserve">3. Non-Functional Requirements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6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Usability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dashboard shall be understandable by a non-technical business user without training.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notebook steps shall run top-to-bottom without manual intervention, given the raw dataset.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full notebook (cleaning through evaluation) shall execute in under 10 minutes on a standard laptop, given the dataset sizes in scope.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Code shall be organised into clearly named notebook sections or scripts (cleaning, EDA, feature engineering, modelling, evaluation).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Every engineered feature, encoding choice, and modelling decision shall be documented inline or in the report.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8"/>
        </w:rPr>
        <w:t xml:space="preserve">4. Assumptions and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Assumes the source dataset schema matches the Data Dictionary; any schema drift requires re-validation of FR-DI-02.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Assumes Scikit-learn is the primary modelling library; XGBoost/LightGBM are optional and depend on package availability.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Assumes Tableau or Power BI is available for FR-DB requirements; a Python-based dashboard (e.g., Streamlit) is an acceptable substitute if neither is available.</w:t>
      </w:r>
    </w:p>
    <w:p>
      <w:pPr>
        <w:pStyle w:val="Heading1"/>
        <w:spacing w:after="200" w:before="400"/>
      </w:pPr>
      <w:r>
        <w:rPr>
          <w:b/>
          <w:bCs/>
          <w:color w:val="1F4E78"/>
        </w:rPr>
        <w:t xml:space="preserve">5. Traceability Summary</w:t>
      </w:r>
    </w:p>
    <w:p>
      <w:pPr>
        <w:spacing w:after="150"/>
      </w:pPr>
      <w:r>
        <w:rPr>
          <w:sz w:val="22"/>
          <w:szCs w:val="22"/>
        </w:rPr>
        <w:t xml:space="preserve">Every functional requirement above maps to at least one Business Requirement (BR-01 to BR-07) defined in the BRD, ensuring that no functional work is performed without a corresponding business justification. FR-DC and FR-FE support BR-01 and BR-06; FR-MT and FR-EV support BR-02, BR-03, and BR-07; FR-BI supports BR-04; FR-DB supports BR-05; FR-RD supports BR-06.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Functional Requirements Document  |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2026-07-27T05:33:49.740Z</dcterms:created>
  <dcterms:modified xsi:type="dcterms:W3CDTF">2026-07-27T05:33:49.740Z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