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8"/>
          <w:sz w:val="56"/>
          <w:szCs w:val="56"/>
        </w:rPr>
        <w:t xml:space="preserve">Product Requirements Document</w:t>
      </w:r>
    </w:p>
    <w:p>
      <w:pPr>
        <w:spacing w:after="800"/>
        <w:jc w:val="center"/>
      </w:pPr>
      <w:r>
        <w:rPr>
          <w:color w:val="595959"/>
          <w:sz w:val="28"/>
          <w:szCs w:val="28"/>
        </w:rPr>
        <w:t xml:space="preserve">Loan Default Prediction Using Machine Learning</w:t>
      </w:r>
    </w:p>
    <w:p>
      <w:pPr>
        <w:spacing w:after="80"/>
        <w:jc w:val="center"/>
      </w:pPr>
      <w:r>
        <w:rPr>
          <w:b/>
          <w:bCs/>
          <w:sz w:val="22"/>
          <w:szCs w:val="22"/>
        </w:rPr>
        <w:t xml:space="preserve">Document Type: </w:t>
      </w:r>
      <w:r>
        <w:rPr>
          <w:sz w:val="22"/>
          <w:szCs w:val="22"/>
        </w:rPr>
        <w:t xml:space="preserve">Product Requirements Document (PRD)</w:t>
      </w:r>
    </w:p>
    <w:p>
      <w:pPr>
        <w:spacing w:after="80"/>
        <w:jc w:val="center"/>
      </w:pPr>
      <w:r>
        <w:rPr>
          <w:b/>
          <w:bCs/>
          <w:sz w:val="22"/>
          <w:szCs w:val="22"/>
        </w:rPr>
        <w:t xml:space="preserve">Project: </w:t>
      </w:r>
      <w:r>
        <w:rPr>
          <w:sz w:val="22"/>
          <w:szCs w:val="22"/>
        </w:rPr>
        <w:t xml:space="preserve">Loan Default Prediction Using Machine Learning</w:t>
      </w:r>
    </w:p>
    <w:p>
      <w:pPr>
        <w:spacing w:after="80"/>
        <w:jc w:val="center"/>
      </w:pPr>
      <w:r>
        <w:rPr>
          <w:b/>
          <w:bCs/>
          <w:sz w:val="22"/>
          <w:szCs w:val="22"/>
        </w:rPr>
        <w:t xml:space="preserve">Version: </w:t>
      </w:r>
      <w:r>
        <w:rPr>
          <w:sz w:val="22"/>
          <w:szCs w:val="22"/>
        </w:rPr>
        <w:t xml:space="preserve">1.0</w:t>
      </w:r>
    </w:p>
    <w:p>
      <w:pPr>
        <w:spacing w:after="80"/>
        <w:jc w:val="center"/>
      </w:pPr>
      <w:r>
        <w:rPr>
          <w:b/>
          <w:bCs/>
          <w:sz w:val="22"/>
          <w:szCs w:val="22"/>
        </w:rPr>
        <w:t xml:space="preserve">Date: </w:t>
      </w:r>
      <w:r>
        <w:rPr>
          <w:sz w:val="22"/>
          <w:szCs w:val="22"/>
        </w:rPr>
        <w:t xml:space="preserve">27 July 2026</w:t>
      </w:r>
    </w:p>
    <w:p>
      <w:pPr>
        <w:spacing w:after="80"/>
        <w:jc w:val="center"/>
      </w:pPr>
      <w:r>
        <w:rPr>
          <w:b/>
          <w:bCs/>
          <w:sz w:val="22"/>
          <w:szCs w:val="22"/>
        </w:rPr>
        <w:t xml:space="preserve">Owner: </w:t>
      </w:r>
      <w:r>
        <w:rPr>
          <w:sz w:val="22"/>
          <w:szCs w:val="22"/>
        </w:rPr>
        <w:t xml:space="preserve">Business/Data Analyst (Project Owner)</w:t>
      </w:r>
    </w:p>
    <w:p>
      <w:pPr>
        <w:spacing w:after="80"/>
        <w:jc w:val="center"/>
      </w:pPr>
      <w:r>
        <w:rPr>
          <w:b/>
          <w:bCs/>
          <w:sz w:val="22"/>
          <w:szCs w:val="22"/>
        </w:rPr>
        <w:t xml:space="preserve">Status: </w:t>
      </w:r>
      <w:r>
        <w:rPr>
          <w:sz w:val="22"/>
          <w:szCs w:val="22"/>
        </w:rPr>
        <w:t xml:space="preserve">Draft for Review</w:t>
      </w:r>
    </w:p>
    <w:p>
      <w:r>
        <w:br w:type="page"/>
      </w:r>
    </w:p>
    <w:p>
      <w:pPr>
        <w:pStyle w:val="Heading1"/>
        <w:spacing w:after="200" w:before="400"/>
      </w:pPr>
      <w:r>
        <w:rPr>
          <w:b/>
          <w:bCs/>
          <w:color w:val="1F4E78"/>
        </w:rPr>
        <w:t xml:space="preserve">1. Product Overview</w:t>
      </w:r>
    </w:p>
    <w:p>
      <w:pPr>
        <w:spacing w:after="150"/>
      </w:pPr>
      <w:r>
        <w:rPr>
          <w:sz w:val="22"/>
          <w:szCs w:val="22"/>
        </w:rPr>
        <w:t xml:space="preserve">The product is an analytical solution — a trained machine learning model plus a companion dashboard and report — that estimates the probability that a loan applicant will default. It is designed to be used by credit/underwriting analysts as a decision-support tool at the point of loan application review, not as a fully automated approval system.</w:t>
      </w:r>
    </w:p>
    <w:p>
      <w:pPr>
        <w:pStyle w:val="Heading1"/>
        <w:spacing w:after="200" w:before="400"/>
      </w:pPr>
      <w:r>
        <w:rPr>
          <w:b/>
          <w:bCs/>
          <w:color w:val="1F4E78"/>
        </w:rPr>
        <w:t xml:space="preserve">2. Problem Statement</w:t>
      </w:r>
    </w:p>
    <w:p>
      <w:pPr>
        <w:spacing w:after="150"/>
      </w:pPr>
      <w:r>
        <w:rPr>
          <w:sz w:val="22"/>
          <w:szCs w:val="22"/>
        </w:rPr>
        <w:t xml:space="preserve">Underwriters currently rely on manual review and simple rules of thumb to judge applicant risk. This is inconsistent across reviewers, slow at scale, and does not systematically weigh the interaction between income, credit history, loan size, and other factors. The product addresses this by scoring every applicant consistently using a validated model.</w:t>
      </w:r>
    </w:p>
    <w:p>
      <w:pPr>
        <w:pStyle w:val="Heading1"/>
        <w:spacing w:after="200" w:before="400"/>
      </w:pPr>
      <w:r>
        <w:rPr>
          <w:b/>
          <w:bCs/>
          <w:color w:val="1F4E78"/>
        </w:rPr>
        <w:t xml:space="preserve">3. Goals and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shd w:fill="1F4E78" w:val="clear"/>
            <w:tcMar>
              <w:top w:type="dxa" w:w="80"/>
              <w:left w:type="dxa" w:w="100"/>
              <w:bottom w:type="dxa" w:w="80"/>
              <w:right w:type="dxa" w:w="100"/>
            </w:tcMar>
          </w:tcPr>
          <w:p>
            <w:pPr>
              <w:jc w:val="left"/>
            </w:pPr>
            <w:r>
              <w:rPr>
                <w:b/>
                <w:bCs/>
                <w:color w:val="FFFFFF"/>
                <w:sz w:val="20"/>
                <w:szCs w:val="20"/>
              </w:rPr>
              <w:t xml:space="preserve">Goal</w:t>
            </w:r>
          </w:p>
        </w:tc>
        <w:tc>
          <w:tcPr>
            <w:tcW w:type="dxa" w:w="3200"/>
            <w:shd w:fill="1F4E78" w:val="clear"/>
            <w:tcMar>
              <w:top w:type="dxa" w:w="80"/>
              <w:left w:type="dxa" w:w="100"/>
              <w:bottom w:type="dxa" w:w="80"/>
              <w:right w:type="dxa" w:w="100"/>
            </w:tcMar>
          </w:tcPr>
          <w:p>
            <w:pPr>
              <w:jc w:val="left"/>
            </w:pPr>
            <w:r>
              <w:rPr>
                <w:b/>
                <w:bCs/>
                <w:color w:val="FFFFFF"/>
                <w:sz w:val="20"/>
                <w:szCs w:val="20"/>
              </w:rPr>
              <w:t xml:space="preserve">Metric</w:t>
            </w:r>
          </w:p>
        </w:tc>
        <w:tc>
          <w:tcPr>
            <w:tcW w:type="dxa" w:w="2760"/>
            <w:shd w:fill="1F4E78" w:val="clear"/>
            <w:tcMar>
              <w:top w:type="dxa" w:w="80"/>
              <w:left w:type="dxa" w:w="100"/>
              <w:bottom w:type="dxa" w:w="80"/>
              <w:right w:type="dxa" w:w="100"/>
            </w:tcMar>
          </w:tcPr>
          <w:p>
            <w:pPr>
              <w:jc w:val="left"/>
            </w:pPr>
            <w:r>
              <w:rPr>
                <w:b/>
                <w:bCs/>
                <w:color w:val="FFFFFF"/>
                <w:sz w:val="20"/>
                <w:szCs w:val="20"/>
              </w:rPr>
              <w:t xml:space="preserve">Target</w:t>
            </w:r>
          </w:p>
        </w:tc>
      </w:tr>
      <w:tr>
        <w:tc>
          <w:tcPr>
            <w:tcW w:type="dxa" w:w="3400"/>
            <w:tcMar>
              <w:top w:type="dxa" w:w="80"/>
              <w:left w:type="dxa" w:w="100"/>
              <w:bottom w:type="dxa" w:w="80"/>
              <w:right w:type="dxa" w:w="100"/>
            </w:tcMar>
          </w:tcPr>
          <w:p>
            <w:pPr>
              <w:jc w:val="left"/>
            </w:pPr>
            <w:r>
              <w:rPr>
                <w:b w:val="false"/>
                <w:bCs w:val="false"/>
                <w:color w:val="1A1A1A"/>
                <w:sz w:val="20"/>
                <w:szCs w:val="20"/>
              </w:rPr>
              <w:t xml:space="preserve">Predict default risk accurately</w:t>
            </w:r>
          </w:p>
        </w:tc>
        <w:tc>
          <w:tcPr>
            <w:tcW w:type="dxa" w:w="3200"/>
            <w:tcMar>
              <w:top w:type="dxa" w:w="80"/>
              <w:left w:type="dxa" w:w="100"/>
              <w:bottom w:type="dxa" w:w="80"/>
              <w:right w:type="dxa" w:w="100"/>
            </w:tcMar>
          </w:tcPr>
          <w:p>
            <w:pPr>
              <w:jc w:val="left"/>
            </w:pPr>
            <w:r>
              <w:rPr>
                <w:b w:val="false"/>
                <w:bCs w:val="false"/>
                <w:color w:val="1A1A1A"/>
                <w:sz w:val="20"/>
                <w:szCs w:val="20"/>
              </w:rPr>
              <w:t xml:space="preserve">ROC-AUC on held-out test data</w:t>
            </w:r>
          </w:p>
        </w:tc>
        <w:tc>
          <w:tcPr>
            <w:tcW w:type="dxa" w:w="2760"/>
            <w:tcMar>
              <w:top w:type="dxa" w:w="80"/>
              <w:left w:type="dxa" w:w="100"/>
              <w:bottom w:type="dxa" w:w="80"/>
              <w:right w:type="dxa" w:w="100"/>
            </w:tcMar>
          </w:tcPr>
          <w:p>
            <w:pPr>
              <w:jc w:val="left"/>
            </w:pPr>
            <w:r>
              <w:rPr>
                <w:b w:val="false"/>
                <w:bCs w:val="false"/>
                <w:color w:val="1A1A1A"/>
                <w:sz w:val="20"/>
                <w:szCs w:val="20"/>
              </w:rPr>
              <w:t xml:space="preserve">≥ 0.80</w:t>
            </w:r>
          </w:p>
        </w:tc>
      </w:tr>
      <w:tr>
        <w:tc>
          <w:tcPr>
            <w:tcW w:type="dxa" w:w="3400"/>
            <w:tcMar>
              <w:top w:type="dxa" w:w="80"/>
              <w:left w:type="dxa" w:w="100"/>
              <w:bottom w:type="dxa" w:w="80"/>
              <w:right w:type="dxa" w:w="100"/>
            </w:tcMar>
          </w:tcPr>
          <w:p>
            <w:pPr>
              <w:jc w:val="left"/>
            </w:pPr>
            <w:r>
              <w:rPr>
                <w:b w:val="false"/>
                <w:bCs w:val="false"/>
                <w:color w:val="1A1A1A"/>
                <w:sz w:val="20"/>
                <w:szCs w:val="20"/>
              </w:rPr>
              <w:t xml:space="preserve">Catch actual defaulters</w:t>
            </w:r>
          </w:p>
        </w:tc>
        <w:tc>
          <w:tcPr>
            <w:tcW w:type="dxa" w:w="3200"/>
            <w:tcMar>
              <w:top w:type="dxa" w:w="80"/>
              <w:left w:type="dxa" w:w="100"/>
              <w:bottom w:type="dxa" w:w="80"/>
              <w:right w:type="dxa" w:w="100"/>
            </w:tcMar>
          </w:tcPr>
          <w:p>
            <w:pPr>
              <w:jc w:val="left"/>
            </w:pPr>
            <w:r>
              <w:rPr>
                <w:b w:val="false"/>
                <w:bCs w:val="false"/>
                <w:color w:val="1A1A1A"/>
                <w:sz w:val="20"/>
                <w:szCs w:val="20"/>
              </w:rPr>
              <w:t xml:space="preserve">Recall on the Default class</w:t>
            </w:r>
          </w:p>
        </w:tc>
        <w:tc>
          <w:tcPr>
            <w:tcW w:type="dxa" w:w="2760"/>
            <w:tcMar>
              <w:top w:type="dxa" w:w="80"/>
              <w:left w:type="dxa" w:w="100"/>
              <w:bottom w:type="dxa" w:w="80"/>
              <w:right w:type="dxa" w:w="100"/>
            </w:tcMar>
          </w:tcPr>
          <w:p>
            <w:pPr>
              <w:jc w:val="left"/>
            </w:pPr>
            <w:r>
              <w:rPr>
                <w:b w:val="false"/>
                <w:bCs w:val="false"/>
                <w:color w:val="1A1A1A"/>
                <w:sz w:val="20"/>
                <w:szCs w:val="20"/>
              </w:rPr>
              <w:t xml:space="preserve">≥ 0.70</w:t>
            </w:r>
          </w:p>
        </w:tc>
      </w:tr>
      <w:tr>
        <w:tc>
          <w:tcPr>
            <w:tcW w:type="dxa" w:w="3400"/>
            <w:tcMar>
              <w:top w:type="dxa" w:w="80"/>
              <w:left w:type="dxa" w:w="100"/>
              <w:bottom w:type="dxa" w:w="80"/>
              <w:right w:type="dxa" w:w="100"/>
            </w:tcMar>
          </w:tcPr>
          <w:p>
            <w:pPr>
              <w:jc w:val="left"/>
            </w:pPr>
            <w:r>
              <w:rPr>
                <w:b w:val="false"/>
                <w:bCs w:val="false"/>
                <w:color w:val="1A1A1A"/>
                <w:sz w:val="20"/>
                <w:szCs w:val="20"/>
              </w:rPr>
              <w:t xml:space="preserve">Avoid excessive false alarms</w:t>
            </w:r>
          </w:p>
        </w:tc>
        <w:tc>
          <w:tcPr>
            <w:tcW w:type="dxa" w:w="3200"/>
            <w:tcMar>
              <w:top w:type="dxa" w:w="80"/>
              <w:left w:type="dxa" w:w="100"/>
              <w:bottom w:type="dxa" w:w="80"/>
              <w:right w:type="dxa" w:w="100"/>
            </w:tcMar>
          </w:tcPr>
          <w:p>
            <w:pPr>
              <w:jc w:val="left"/>
            </w:pPr>
            <w:r>
              <w:rPr>
                <w:b w:val="false"/>
                <w:bCs w:val="false"/>
                <w:color w:val="1A1A1A"/>
                <w:sz w:val="20"/>
                <w:szCs w:val="20"/>
              </w:rPr>
              <w:t xml:space="preserve">Precision on the Default class</w:t>
            </w:r>
          </w:p>
        </w:tc>
        <w:tc>
          <w:tcPr>
            <w:tcW w:type="dxa" w:w="2760"/>
            <w:tcMar>
              <w:top w:type="dxa" w:w="80"/>
              <w:left w:type="dxa" w:w="100"/>
              <w:bottom w:type="dxa" w:w="80"/>
              <w:right w:type="dxa" w:w="100"/>
            </w:tcMar>
          </w:tcPr>
          <w:p>
            <w:pPr>
              <w:jc w:val="left"/>
            </w:pPr>
            <w:r>
              <w:rPr>
                <w:b w:val="false"/>
                <w:bCs w:val="false"/>
                <w:color w:val="1A1A1A"/>
                <w:sz w:val="20"/>
                <w:szCs w:val="20"/>
              </w:rPr>
              <w:t xml:space="preserve">≥ 0.60</w:t>
            </w:r>
          </w:p>
        </w:tc>
      </w:tr>
      <w:tr>
        <w:tc>
          <w:tcPr>
            <w:tcW w:type="dxa" w:w="3400"/>
            <w:tcMar>
              <w:top w:type="dxa" w:w="80"/>
              <w:left w:type="dxa" w:w="100"/>
              <w:bottom w:type="dxa" w:w="80"/>
              <w:right w:type="dxa" w:w="100"/>
            </w:tcMar>
          </w:tcPr>
          <w:p>
            <w:pPr>
              <w:jc w:val="left"/>
            </w:pPr>
            <w:r>
              <w:rPr>
                <w:b w:val="false"/>
                <w:bCs w:val="false"/>
                <w:color w:val="1A1A1A"/>
                <w:sz w:val="20"/>
                <w:szCs w:val="20"/>
              </w:rPr>
              <w:t xml:space="preserve">Explain decisions to the business</w:t>
            </w:r>
          </w:p>
        </w:tc>
        <w:tc>
          <w:tcPr>
            <w:tcW w:type="dxa" w:w="3200"/>
            <w:tcMar>
              <w:top w:type="dxa" w:w="80"/>
              <w:left w:type="dxa" w:w="100"/>
              <w:bottom w:type="dxa" w:w="80"/>
              <w:right w:type="dxa" w:w="100"/>
            </w:tcMar>
          </w:tcPr>
          <w:p>
            <w:pPr>
              <w:jc w:val="left"/>
            </w:pPr>
            <w:r>
              <w:rPr>
                <w:b w:val="false"/>
                <w:bCs w:val="false"/>
                <w:color w:val="1A1A1A"/>
                <w:sz w:val="20"/>
                <w:szCs w:val="20"/>
              </w:rPr>
              <w:t xml:space="preserve"># of documented, evidence-based insights</w:t>
            </w:r>
          </w:p>
        </w:tc>
        <w:tc>
          <w:tcPr>
            <w:tcW w:type="dxa" w:w="2760"/>
            <w:tcMar>
              <w:top w:type="dxa" w:w="80"/>
              <w:left w:type="dxa" w:w="100"/>
              <w:bottom w:type="dxa" w:w="80"/>
              <w:right w:type="dxa" w:w="100"/>
            </w:tcMar>
          </w:tcPr>
          <w:p>
            <w:pPr>
              <w:jc w:val="left"/>
            </w:pPr>
            <w:r>
              <w:rPr>
                <w:b w:val="false"/>
                <w:bCs w:val="false"/>
                <w:color w:val="1A1A1A"/>
                <w:sz w:val="20"/>
                <w:szCs w:val="20"/>
              </w:rPr>
              <w:t xml:space="preserve">≥ 5</w:t>
            </w:r>
          </w:p>
        </w:tc>
      </w:tr>
      <w:tr>
        <w:tc>
          <w:tcPr>
            <w:tcW w:type="dxa" w:w="3400"/>
            <w:tcMar>
              <w:top w:type="dxa" w:w="80"/>
              <w:left w:type="dxa" w:w="100"/>
              <w:bottom w:type="dxa" w:w="80"/>
              <w:right w:type="dxa" w:w="100"/>
            </w:tcMar>
          </w:tcPr>
          <w:p>
            <w:pPr>
              <w:jc w:val="left"/>
            </w:pPr>
            <w:r>
              <w:rPr>
                <w:b w:val="false"/>
                <w:bCs w:val="false"/>
                <w:color w:val="1A1A1A"/>
                <w:sz w:val="20"/>
                <w:szCs w:val="20"/>
              </w:rPr>
              <w:t xml:space="preserve">Give business self-serve visibility</w:t>
            </w:r>
          </w:p>
        </w:tc>
        <w:tc>
          <w:tcPr>
            <w:tcW w:type="dxa" w:w="3200"/>
            <w:tcMar>
              <w:top w:type="dxa" w:w="80"/>
              <w:left w:type="dxa" w:w="100"/>
              <w:bottom w:type="dxa" w:w="80"/>
              <w:right w:type="dxa" w:w="100"/>
            </w:tcMar>
          </w:tcPr>
          <w:p>
            <w:pPr>
              <w:jc w:val="left"/>
            </w:pPr>
            <w:r>
              <w:rPr>
                <w:b w:val="false"/>
                <w:bCs w:val="false"/>
                <w:color w:val="1A1A1A"/>
                <w:sz w:val="20"/>
                <w:szCs w:val="20"/>
              </w:rPr>
              <w:t xml:space="preserve">Working dashboard with required filters</w:t>
            </w:r>
          </w:p>
        </w:tc>
        <w:tc>
          <w:tcPr>
            <w:tcW w:type="dxa" w:w="2760"/>
            <w:tcMar>
              <w:top w:type="dxa" w:w="80"/>
              <w:left w:type="dxa" w:w="100"/>
              <w:bottom w:type="dxa" w:w="80"/>
              <w:right w:type="dxa" w:w="100"/>
            </w:tcMar>
          </w:tcPr>
          <w:p>
            <w:pPr>
              <w:jc w:val="left"/>
            </w:pPr>
            <w:r>
              <w:rPr>
                <w:b w:val="false"/>
                <w:bCs w:val="false"/>
                <w:color w:val="1A1A1A"/>
                <w:sz w:val="20"/>
                <w:szCs w:val="20"/>
              </w:rPr>
              <w:t xml:space="preserve">100% of filters in scope delivered</w:t>
            </w:r>
          </w:p>
        </w:tc>
      </w:tr>
    </w:tbl>
    <w:p>
      <w:pPr>
        <w:pStyle w:val="Heading1"/>
        <w:spacing w:after="200" w:before="400"/>
      </w:pPr>
      <w:r>
        <w:rPr>
          <w:b/>
          <w:bCs/>
          <w:color w:val="1F4E78"/>
        </w:rPr>
        <w:t xml:space="preserve">4. Target Users /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78" w:val="clear"/>
            <w:tcMar>
              <w:top w:type="dxa" w:w="80"/>
              <w:left w:type="dxa" w:w="100"/>
              <w:bottom w:type="dxa" w:w="80"/>
              <w:right w:type="dxa" w:w="100"/>
            </w:tcMar>
          </w:tcPr>
          <w:p>
            <w:pPr>
              <w:jc w:val="left"/>
            </w:pPr>
            <w:r>
              <w:rPr>
                <w:b/>
                <w:bCs/>
                <w:color w:val="FFFFFF"/>
                <w:sz w:val="20"/>
                <w:szCs w:val="20"/>
              </w:rPr>
              <w:t xml:space="preserve">Persona</w:t>
            </w:r>
          </w:p>
        </w:tc>
        <w:tc>
          <w:tcPr>
            <w:tcW w:type="dxa" w:w="3400"/>
            <w:shd w:fill="1F4E78" w:val="clear"/>
            <w:tcMar>
              <w:top w:type="dxa" w:w="80"/>
              <w:left w:type="dxa" w:w="100"/>
              <w:bottom w:type="dxa" w:w="80"/>
              <w:right w:type="dxa" w:w="100"/>
            </w:tcMar>
          </w:tcPr>
          <w:p>
            <w:pPr>
              <w:jc w:val="left"/>
            </w:pPr>
            <w:r>
              <w:rPr>
                <w:b/>
                <w:bCs/>
                <w:color w:val="FFFFFF"/>
                <w:sz w:val="20"/>
                <w:szCs w:val="20"/>
              </w:rPr>
              <w:t xml:space="preserve">Description</w:t>
            </w:r>
          </w:p>
        </w:tc>
        <w:tc>
          <w:tcPr>
            <w:tcW w:type="dxa" w:w="3360"/>
            <w:shd w:fill="1F4E78" w:val="clear"/>
            <w:tcMar>
              <w:top w:type="dxa" w:w="80"/>
              <w:left w:type="dxa" w:w="100"/>
              <w:bottom w:type="dxa" w:w="80"/>
              <w:right w:type="dxa" w:w="100"/>
            </w:tcMar>
          </w:tcPr>
          <w:p>
            <w:pPr>
              <w:jc w:val="left"/>
            </w:pPr>
            <w:r>
              <w:rPr>
                <w:b/>
                <w:bCs/>
                <w:color w:val="FFFFFF"/>
                <w:sz w:val="20"/>
                <w:szCs w:val="20"/>
              </w:rPr>
              <w:t xml:space="preserve">Needs from the Product</w:t>
            </w:r>
          </w:p>
        </w:tc>
      </w:tr>
      <w:tr>
        <w:tc>
          <w:tcPr>
            <w:tcW w:type="dxa" w:w="2600"/>
            <w:tcMar>
              <w:top w:type="dxa" w:w="80"/>
              <w:left w:type="dxa" w:w="100"/>
              <w:bottom w:type="dxa" w:w="80"/>
              <w:right w:type="dxa" w:w="100"/>
            </w:tcMar>
          </w:tcPr>
          <w:p>
            <w:pPr>
              <w:jc w:val="left"/>
            </w:pPr>
            <w:r>
              <w:rPr>
                <w:b w:val="false"/>
                <w:bCs w:val="false"/>
                <w:color w:val="1A1A1A"/>
                <w:sz w:val="20"/>
                <w:szCs w:val="20"/>
              </w:rPr>
              <w:t xml:space="preserve">Credit Risk Analyst</w:t>
            </w:r>
          </w:p>
        </w:tc>
        <w:tc>
          <w:tcPr>
            <w:tcW w:type="dxa" w:w="3400"/>
            <w:tcMar>
              <w:top w:type="dxa" w:w="80"/>
              <w:left w:type="dxa" w:w="100"/>
              <w:bottom w:type="dxa" w:w="80"/>
              <w:right w:type="dxa" w:w="100"/>
            </w:tcMar>
          </w:tcPr>
          <w:p>
            <w:pPr>
              <w:jc w:val="left"/>
            </w:pPr>
            <w:r>
              <w:rPr>
                <w:b w:val="false"/>
                <w:bCs w:val="false"/>
                <w:color w:val="1A1A1A"/>
                <w:sz w:val="20"/>
                <w:szCs w:val="20"/>
              </w:rPr>
              <w:t xml:space="preserve">Reviews individual loan applications daily</w:t>
            </w:r>
          </w:p>
        </w:tc>
        <w:tc>
          <w:tcPr>
            <w:tcW w:type="dxa" w:w="3360"/>
            <w:tcMar>
              <w:top w:type="dxa" w:w="80"/>
              <w:left w:type="dxa" w:w="100"/>
              <w:bottom w:type="dxa" w:w="80"/>
              <w:right w:type="dxa" w:w="100"/>
            </w:tcMar>
          </w:tcPr>
          <w:p>
            <w:pPr>
              <w:jc w:val="left"/>
            </w:pPr>
            <w:r>
              <w:rPr>
                <w:b w:val="false"/>
                <w:bCs w:val="false"/>
                <w:color w:val="1A1A1A"/>
                <w:sz w:val="20"/>
                <w:szCs w:val="20"/>
              </w:rPr>
              <w:t xml:space="preserve">A clear risk indicator per applicant and the key reasons behind it</w:t>
            </w:r>
          </w:p>
        </w:tc>
      </w:tr>
      <w:tr>
        <w:tc>
          <w:tcPr>
            <w:tcW w:type="dxa" w:w="2600"/>
            <w:tcMar>
              <w:top w:type="dxa" w:w="80"/>
              <w:left w:type="dxa" w:w="100"/>
              <w:bottom w:type="dxa" w:w="80"/>
              <w:right w:type="dxa" w:w="100"/>
            </w:tcMar>
          </w:tcPr>
          <w:p>
            <w:pPr>
              <w:jc w:val="left"/>
            </w:pPr>
            <w:r>
              <w:rPr>
                <w:b w:val="false"/>
                <w:bCs w:val="false"/>
                <w:color w:val="1A1A1A"/>
                <w:sz w:val="20"/>
                <w:szCs w:val="20"/>
              </w:rPr>
              <w:t xml:space="preserve">Credit Risk Manager</w:t>
            </w:r>
          </w:p>
        </w:tc>
        <w:tc>
          <w:tcPr>
            <w:tcW w:type="dxa" w:w="3400"/>
            <w:tcMar>
              <w:top w:type="dxa" w:w="80"/>
              <w:left w:type="dxa" w:w="100"/>
              <w:bottom w:type="dxa" w:w="80"/>
              <w:right w:type="dxa" w:w="100"/>
            </w:tcMar>
          </w:tcPr>
          <w:p>
            <w:pPr>
              <w:jc w:val="left"/>
            </w:pPr>
            <w:r>
              <w:rPr>
                <w:b w:val="false"/>
                <w:bCs w:val="false"/>
                <w:color w:val="1A1A1A"/>
                <w:sz w:val="20"/>
                <w:szCs w:val="20"/>
              </w:rPr>
              <w:t xml:space="preserve">Owns portfolio-level default performance</w:t>
            </w:r>
          </w:p>
        </w:tc>
        <w:tc>
          <w:tcPr>
            <w:tcW w:type="dxa" w:w="3360"/>
            <w:tcMar>
              <w:top w:type="dxa" w:w="80"/>
              <w:left w:type="dxa" w:w="100"/>
              <w:bottom w:type="dxa" w:w="80"/>
              <w:right w:type="dxa" w:w="100"/>
            </w:tcMar>
          </w:tcPr>
          <w:p>
            <w:pPr>
              <w:jc w:val="left"/>
            </w:pPr>
            <w:r>
              <w:rPr>
                <w:b w:val="false"/>
                <w:bCs w:val="false"/>
                <w:color w:val="1A1A1A"/>
                <w:sz w:val="20"/>
                <w:szCs w:val="20"/>
              </w:rPr>
              <w:t xml:space="preserve">Dashboard views of default rate by segment to guide policy</w:t>
            </w:r>
          </w:p>
        </w:tc>
      </w:tr>
      <w:tr>
        <w:tc>
          <w:tcPr>
            <w:tcW w:type="dxa" w:w="2600"/>
            <w:tcMar>
              <w:top w:type="dxa" w:w="80"/>
              <w:left w:type="dxa" w:w="100"/>
              <w:bottom w:type="dxa" w:w="80"/>
              <w:right w:type="dxa" w:w="100"/>
            </w:tcMar>
          </w:tcPr>
          <w:p>
            <w:pPr>
              <w:jc w:val="left"/>
            </w:pPr>
            <w:r>
              <w:rPr>
                <w:b w:val="false"/>
                <w:bCs w:val="false"/>
                <w:color w:val="1A1A1A"/>
                <w:sz w:val="20"/>
                <w:szCs w:val="20"/>
              </w:rPr>
              <w:t xml:space="preserve">Data/Business Analyst (builder)</w:t>
            </w:r>
          </w:p>
        </w:tc>
        <w:tc>
          <w:tcPr>
            <w:tcW w:type="dxa" w:w="3400"/>
            <w:tcMar>
              <w:top w:type="dxa" w:w="80"/>
              <w:left w:type="dxa" w:w="100"/>
              <w:bottom w:type="dxa" w:w="80"/>
              <w:right w:type="dxa" w:w="100"/>
            </w:tcMar>
          </w:tcPr>
          <w:p>
            <w:pPr>
              <w:jc w:val="left"/>
            </w:pPr>
            <w:r>
              <w:rPr>
                <w:b w:val="false"/>
                <w:bCs w:val="false"/>
                <w:color w:val="1A1A1A"/>
                <w:sz w:val="20"/>
                <w:szCs w:val="20"/>
              </w:rPr>
              <w:t xml:space="preserve">Builds and maintains the model</w:t>
            </w:r>
          </w:p>
        </w:tc>
        <w:tc>
          <w:tcPr>
            <w:tcW w:type="dxa" w:w="3360"/>
            <w:tcMar>
              <w:top w:type="dxa" w:w="80"/>
              <w:left w:type="dxa" w:w="100"/>
              <w:bottom w:type="dxa" w:w="80"/>
              <w:right w:type="dxa" w:w="100"/>
            </w:tcMar>
          </w:tcPr>
          <w:p>
            <w:pPr>
              <w:jc w:val="left"/>
            </w:pPr>
            <w:r>
              <w:rPr>
                <w:b w:val="false"/>
                <w:bCs w:val="false"/>
                <w:color w:val="1A1A1A"/>
                <w:sz w:val="20"/>
                <w:szCs w:val="20"/>
              </w:rPr>
              <w:t xml:space="preserve">Clean data pipeline, reproducible notebook, documented metrics</w:t>
            </w:r>
          </w:p>
        </w:tc>
      </w:tr>
    </w:tbl>
    <w:p>
      <w:pPr>
        <w:pStyle w:val="Heading1"/>
        <w:spacing w:after="200" w:before="400"/>
      </w:pPr>
      <w:r>
        <w:rPr>
          <w:b/>
          <w:bCs/>
          <w:color w:val="1F4E78"/>
        </w:rPr>
        <w:t xml:space="preserve">5. User Stories</w:t>
      </w:r>
    </w:p>
    <w:p>
      <w:pPr>
        <w:pStyle w:val="ListParagraph"/>
        <w:numPr>
          <w:ilvl w:val="0"/>
          <w:numId w:val="2"/>
        </w:numPr>
        <w:spacing w:after="80"/>
      </w:pPr>
      <w:r>
        <w:rPr>
          <w:sz w:val="22"/>
          <w:szCs w:val="22"/>
        </w:rPr>
        <w:t xml:space="preserve">As a Credit Risk Analyst, I want to see a predicted default risk for a loan applicant so that I can make a faster, more consistent approval decision.</w:t>
      </w:r>
    </w:p>
    <w:p>
      <w:pPr>
        <w:pStyle w:val="ListParagraph"/>
        <w:numPr>
          <w:ilvl w:val="0"/>
          <w:numId w:val="2"/>
        </w:numPr>
        <w:spacing w:after="80"/>
      </w:pPr>
      <w:r>
        <w:rPr>
          <w:sz w:val="22"/>
          <w:szCs w:val="22"/>
        </w:rPr>
        <w:t xml:space="preserve">As a Credit Risk Manager, I want to see default rate broken down by property area, education, and income group so that I can identify where underwriting policy needs tightening.</w:t>
      </w:r>
    </w:p>
    <w:p>
      <w:pPr>
        <w:pStyle w:val="ListParagraph"/>
        <w:numPr>
          <w:ilvl w:val="0"/>
          <w:numId w:val="2"/>
        </w:numPr>
        <w:spacing w:after="80"/>
      </w:pPr>
      <w:r>
        <w:rPr>
          <w:sz w:val="22"/>
          <w:szCs w:val="22"/>
        </w:rPr>
        <w:t xml:space="preserve">As a Credit Risk Manager, I want to filter the dashboard by gender, education, property area, and employment type so that I can investigate specific segments.</w:t>
      </w:r>
    </w:p>
    <w:p>
      <w:pPr>
        <w:pStyle w:val="ListParagraph"/>
        <w:numPr>
          <w:ilvl w:val="0"/>
          <w:numId w:val="2"/>
        </w:numPr>
        <w:spacing w:after="80"/>
      </w:pPr>
      <w:r>
        <w:rPr>
          <w:sz w:val="22"/>
          <w:szCs w:val="22"/>
        </w:rPr>
        <w:t xml:space="preserve">As a Data Analyst, I want engineered features (e.g., EMI-to-income ratio) available in the dataset so that the model can capture repayment burden, not just raw income.</w:t>
      </w:r>
    </w:p>
    <w:p>
      <w:pPr>
        <w:pStyle w:val="ListParagraph"/>
        <w:numPr>
          <w:ilvl w:val="0"/>
          <w:numId w:val="2"/>
        </w:numPr>
        <w:spacing w:after="80"/>
      </w:pPr>
      <w:r>
        <w:rPr>
          <w:sz w:val="22"/>
          <w:szCs w:val="22"/>
        </w:rPr>
        <w:t xml:space="preserve">As a project reviewer, I want a written report translating model metrics into plain-language business recommendations so that I can evaluate the analyst's business acumen, not just technical skill.</w:t>
      </w:r>
    </w:p>
    <w:p>
      <w:pPr>
        <w:pStyle w:val="Heading1"/>
        <w:spacing w:after="200" w:before="400"/>
      </w:pPr>
      <w:r>
        <w:rPr>
          <w:b/>
          <w:bCs/>
          <w:color w:val="1F4E78"/>
        </w:rPr>
        <w:t xml:space="preserve">6. Product Scope (MoSCoW)</w:t>
      </w:r>
    </w:p>
    <w:p>
      <w:pPr>
        <w:pStyle w:val="Heading2"/>
        <w:spacing w:after="150" w:before="300"/>
      </w:pPr>
      <w:r>
        <w:rPr>
          <w:b/>
          <w:bCs/>
          <w:color w:val="1F4E78"/>
        </w:rPr>
        <w:t xml:space="preserve">6.1 Must Have</w:t>
      </w:r>
    </w:p>
    <w:p>
      <w:pPr>
        <w:pStyle w:val="ListParagraph"/>
        <w:numPr>
          <w:ilvl w:val="0"/>
          <w:numId w:val="3"/>
        </w:numPr>
        <w:spacing w:after="80"/>
      </w:pPr>
      <w:r>
        <w:rPr>
          <w:sz w:val="22"/>
          <w:szCs w:val="22"/>
        </w:rPr>
        <w:t xml:space="preserve">Cleaned, analysis-ready dataset with a documented data dictionary.</w:t>
      </w:r>
    </w:p>
    <w:p>
      <w:pPr>
        <w:pStyle w:val="ListParagraph"/>
        <w:numPr>
          <w:ilvl w:val="0"/>
          <w:numId w:val="3"/>
        </w:numPr>
        <w:spacing w:after="80"/>
      </w:pPr>
      <w:r>
        <w:rPr>
          <w:sz w:val="22"/>
          <w:szCs w:val="22"/>
        </w:rPr>
        <w:t xml:space="preserve">At least three trained classification models compared on a common test set.</w:t>
      </w:r>
    </w:p>
    <w:p>
      <w:pPr>
        <w:pStyle w:val="ListParagraph"/>
        <w:numPr>
          <w:ilvl w:val="0"/>
          <w:numId w:val="3"/>
        </w:numPr>
        <w:spacing w:after="80"/>
      </w:pPr>
      <w:r>
        <w:rPr>
          <w:sz w:val="22"/>
          <w:szCs w:val="22"/>
        </w:rPr>
        <w:t xml:space="preserve">Confusion matrix, ROC-AUC, precision, recall, and F1-score reported for each model.</w:t>
      </w:r>
    </w:p>
    <w:p>
      <w:pPr>
        <w:pStyle w:val="ListParagraph"/>
        <w:numPr>
          <w:ilvl w:val="0"/>
          <w:numId w:val="3"/>
        </w:numPr>
        <w:spacing w:after="80"/>
      </w:pPr>
      <w:r>
        <w:rPr>
          <w:sz w:val="22"/>
          <w:szCs w:val="22"/>
        </w:rPr>
        <w:t xml:space="preserve">A short list of plain-language business insights and recommendations.</w:t>
      </w:r>
    </w:p>
    <w:p>
      <w:pPr>
        <w:pStyle w:val="ListParagraph"/>
        <w:numPr>
          <w:ilvl w:val="0"/>
          <w:numId w:val="3"/>
        </w:numPr>
        <w:spacing w:after="80"/>
      </w:pPr>
      <w:r>
        <w:rPr>
          <w:sz w:val="22"/>
          <w:szCs w:val="22"/>
        </w:rPr>
        <w:t xml:space="preserve">An interactive dashboard with the filters and breakdowns listed in the BRD (BR-05).</w:t>
      </w:r>
    </w:p>
    <w:p>
      <w:pPr>
        <w:pStyle w:val="Heading2"/>
        <w:spacing w:after="150" w:before="300"/>
      </w:pPr>
      <w:r>
        <w:rPr>
          <w:b/>
          <w:bCs/>
          <w:color w:val="1F4E78"/>
        </w:rPr>
        <w:t xml:space="preserve">6.2 Should Have</w:t>
      </w:r>
    </w:p>
    <w:p>
      <w:pPr>
        <w:pStyle w:val="ListParagraph"/>
        <w:numPr>
          <w:ilvl w:val="0"/>
          <w:numId w:val="3"/>
        </w:numPr>
        <w:spacing w:after="80"/>
      </w:pPr>
      <w:r>
        <w:rPr>
          <w:sz w:val="22"/>
          <w:szCs w:val="22"/>
        </w:rPr>
        <w:t xml:space="preserve">Feature engineering: TotalIncome, EMI-to-Income Ratio, Loan-to-Income Ratio, Income and Loan Amount categories.</w:t>
      </w:r>
    </w:p>
    <w:p>
      <w:pPr>
        <w:pStyle w:val="ListParagraph"/>
        <w:numPr>
          <w:ilvl w:val="0"/>
          <w:numId w:val="3"/>
        </w:numPr>
        <w:spacing w:after="80"/>
      </w:pPr>
      <w:r>
        <w:rPr>
          <w:sz w:val="22"/>
          <w:szCs w:val="22"/>
        </w:rPr>
        <w:t xml:space="preserve">Comparison against boosted-tree models (XGBoost / LightGBM) if time permits.</w:t>
      </w:r>
    </w:p>
    <w:p>
      <w:pPr>
        <w:pStyle w:val="ListParagraph"/>
        <w:numPr>
          <w:ilvl w:val="0"/>
          <w:numId w:val="3"/>
        </w:numPr>
        <w:spacing w:after="80"/>
      </w:pPr>
      <w:r>
        <w:rPr>
          <w:sz w:val="22"/>
          <w:szCs w:val="22"/>
        </w:rPr>
        <w:t xml:space="preserve">A written project report (8-12 pages) and a slide presentation (10-15 slides).</w:t>
      </w:r>
    </w:p>
    <w:p>
      <w:pPr>
        <w:pStyle w:val="Heading2"/>
        <w:spacing w:after="150" w:before="300"/>
      </w:pPr>
      <w:r>
        <w:rPr>
          <w:b/>
          <w:bCs/>
          <w:color w:val="1F4E78"/>
        </w:rPr>
        <w:t xml:space="preserve">6.3 Could Have</w:t>
      </w:r>
    </w:p>
    <w:p>
      <w:pPr>
        <w:pStyle w:val="ListParagraph"/>
        <w:numPr>
          <w:ilvl w:val="0"/>
          <w:numId w:val="3"/>
        </w:numPr>
        <w:spacing w:after="80"/>
      </w:pPr>
      <w:r>
        <w:rPr>
          <w:sz w:val="22"/>
          <w:szCs w:val="22"/>
        </w:rPr>
        <w:t xml:space="preserve">SQL queries replicating key EDA aggregations, for teams that store data in a warehouse.</w:t>
      </w:r>
    </w:p>
    <w:p>
      <w:pPr>
        <w:pStyle w:val="ListParagraph"/>
        <w:numPr>
          <w:ilvl w:val="0"/>
          <w:numId w:val="3"/>
        </w:numPr>
        <w:spacing w:after="80"/>
      </w:pPr>
      <w:r>
        <w:rPr>
          <w:sz w:val="22"/>
          <w:szCs w:val="22"/>
        </w:rPr>
        <w:t xml:space="preserve">A simple what-if calculator showing how changing loan amount or term changes predicted risk.</w:t>
      </w:r>
    </w:p>
    <w:p>
      <w:pPr>
        <w:pStyle w:val="Heading2"/>
        <w:spacing w:after="150" w:before="300"/>
      </w:pPr>
      <w:r>
        <w:rPr>
          <w:b/>
          <w:bCs/>
          <w:color w:val="1F4E78"/>
        </w:rPr>
        <w:t xml:space="preserve">6.4 Won't Have (this release)</w:t>
      </w:r>
    </w:p>
    <w:p>
      <w:pPr>
        <w:pStyle w:val="ListParagraph"/>
        <w:numPr>
          <w:ilvl w:val="0"/>
          <w:numId w:val="3"/>
        </w:numPr>
        <w:spacing w:after="80"/>
      </w:pPr>
      <w:r>
        <w:rPr>
          <w:sz w:val="22"/>
          <w:szCs w:val="22"/>
        </w:rPr>
        <w:t xml:space="preserve">Live integration with a loan origination system.</w:t>
      </w:r>
    </w:p>
    <w:p>
      <w:pPr>
        <w:pStyle w:val="ListParagraph"/>
        <w:numPr>
          <w:ilvl w:val="0"/>
          <w:numId w:val="3"/>
        </w:numPr>
        <w:spacing w:after="80"/>
      </w:pPr>
      <w:r>
        <w:rPr>
          <w:sz w:val="22"/>
          <w:szCs w:val="22"/>
        </w:rPr>
        <w:t xml:space="preserve">Automated retraining or drift monitoring.</w:t>
      </w:r>
    </w:p>
    <w:p>
      <w:pPr>
        <w:pStyle w:val="ListParagraph"/>
        <w:numPr>
          <w:ilvl w:val="0"/>
          <w:numId w:val="3"/>
        </w:numPr>
        <w:spacing w:after="80"/>
      </w:pPr>
      <w:r>
        <w:rPr>
          <w:sz w:val="22"/>
          <w:szCs w:val="22"/>
        </w:rPr>
        <w:t xml:space="preserve">Regulatory/compliance model documentation packages.</w:t>
      </w:r>
    </w:p>
    <w:p>
      <w:pPr>
        <w:pStyle w:val="Heading1"/>
        <w:spacing w:after="200" w:before="400"/>
      </w:pPr>
      <w:r>
        <w:rPr>
          <w:b/>
          <w:bCs/>
          <w:color w:val="1F4E78"/>
        </w:rPr>
        <w:t xml:space="preserve">7. Data Requirements</w:t>
      </w:r>
    </w:p>
    <w:p>
      <w:pPr>
        <w:spacing w:after="150"/>
      </w:pPr>
      <w:r>
        <w:rPr>
          <w:sz w:val="22"/>
          <w:szCs w:val="22"/>
        </w:rPr>
        <w:t xml:space="preserve">The product requires applicant and loan-level data as summarised below; full field-level detail is provided in the separate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8" w:val="clear"/>
            <w:tcMar>
              <w:top w:type="dxa" w:w="80"/>
              <w:left w:type="dxa" w:w="100"/>
              <w:bottom w:type="dxa" w:w="80"/>
              <w:right w:type="dxa" w:w="100"/>
            </w:tcMar>
          </w:tcPr>
          <w:p>
            <w:pPr>
              <w:jc w:val="left"/>
            </w:pPr>
            <w:r>
              <w:rPr>
                <w:b/>
                <w:bCs/>
                <w:color w:val="FFFFFF"/>
                <w:sz w:val="20"/>
                <w:szCs w:val="20"/>
              </w:rPr>
              <w:t xml:space="preserve">Data Domain</w:t>
            </w:r>
          </w:p>
        </w:tc>
        <w:tc>
          <w:tcPr>
            <w:tcW w:type="dxa" w:w="6160"/>
            <w:shd w:fill="1F4E78" w:val="clear"/>
            <w:tcMar>
              <w:top w:type="dxa" w:w="80"/>
              <w:left w:type="dxa" w:w="100"/>
              <w:bottom w:type="dxa" w:w="80"/>
              <w:right w:type="dxa" w:w="100"/>
            </w:tcMar>
          </w:tcPr>
          <w:p>
            <w:pPr>
              <w:jc w:val="left"/>
            </w:pPr>
            <w:r>
              <w:rPr>
                <w:b/>
                <w:bCs/>
                <w:color w:val="FFFFFF"/>
                <w:sz w:val="20"/>
                <w:szCs w:val="20"/>
              </w:rPr>
              <w:t xml:space="preserve">Examples</w:t>
            </w:r>
          </w:p>
        </w:tc>
      </w:tr>
      <w:tr>
        <w:tc>
          <w:tcPr>
            <w:tcW w:type="dxa" w:w="3200"/>
            <w:tcMar>
              <w:top w:type="dxa" w:w="80"/>
              <w:left w:type="dxa" w:w="100"/>
              <w:bottom w:type="dxa" w:w="80"/>
              <w:right w:type="dxa" w:w="100"/>
            </w:tcMar>
          </w:tcPr>
          <w:p>
            <w:pPr>
              <w:jc w:val="left"/>
            </w:pPr>
            <w:r>
              <w:rPr>
                <w:b w:val="false"/>
                <w:bCs w:val="false"/>
                <w:color w:val="1A1A1A"/>
                <w:sz w:val="20"/>
                <w:szCs w:val="20"/>
              </w:rPr>
              <w:t xml:space="preserve">Applicant demographics</w:t>
            </w:r>
          </w:p>
        </w:tc>
        <w:tc>
          <w:tcPr>
            <w:tcW w:type="dxa" w:w="6160"/>
            <w:tcMar>
              <w:top w:type="dxa" w:w="80"/>
              <w:left w:type="dxa" w:w="100"/>
              <w:bottom w:type="dxa" w:w="80"/>
              <w:right w:type="dxa" w:w="100"/>
            </w:tcMar>
          </w:tcPr>
          <w:p>
            <w:pPr>
              <w:jc w:val="left"/>
            </w:pPr>
            <w:r>
              <w:rPr>
                <w:b w:val="false"/>
                <w:bCs w:val="false"/>
                <w:color w:val="1A1A1A"/>
                <w:sz w:val="20"/>
                <w:szCs w:val="20"/>
              </w:rPr>
              <w:t xml:space="preserve">Gender, Married, Dependents, Education, Self_Employed</w:t>
            </w:r>
          </w:p>
        </w:tc>
      </w:tr>
      <w:tr>
        <w:tc>
          <w:tcPr>
            <w:tcW w:type="dxa" w:w="3200"/>
            <w:tcMar>
              <w:top w:type="dxa" w:w="80"/>
              <w:left w:type="dxa" w:w="100"/>
              <w:bottom w:type="dxa" w:w="80"/>
              <w:right w:type="dxa" w:w="100"/>
            </w:tcMar>
          </w:tcPr>
          <w:p>
            <w:pPr>
              <w:jc w:val="left"/>
            </w:pPr>
            <w:r>
              <w:rPr>
                <w:b w:val="false"/>
                <w:bCs w:val="false"/>
                <w:color w:val="1A1A1A"/>
                <w:sz w:val="20"/>
                <w:szCs w:val="20"/>
              </w:rPr>
              <w:t xml:space="preserve">Income</w:t>
            </w:r>
          </w:p>
        </w:tc>
        <w:tc>
          <w:tcPr>
            <w:tcW w:type="dxa" w:w="6160"/>
            <w:tcMar>
              <w:top w:type="dxa" w:w="80"/>
              <w:left w:type="dxa" w:w="100"/>
              <w:bottom w:type="dxa" w:w="80"/>
              <w:right w:type="dxa" w:w="100"/>
            </w:tcMar>
          </w:tcPr>
          <w:p>
            <w:pPr>
              <w:jc w:val="left"/>
            </w:pPr>
            <w:r>
              <w:rPr>
                <w:b w:val="false"/>
                <w:bCs w:val="false"/>
                <w:color w:val="1A1A1A"/>
                <w:sz w:val="20"/>
                <w:szCs w:val="20"/>
              </w:rPr>
              <w:t xml:space="preserve">ApplicantIncome, CoapplicantIncome, TotalIncome (engineered)</w:t>
            </w:r>
          </w:p>
        </w:tc>
      </w:tr>
      <w:tr>
        <w:tc>
          <w:tcPr>
            <w:tcW w:type="dxa" w:w="3200"/>
            <w:tcMar>
              <w:top w:type="dxa" w:w="80"/>
              <w:left w:type="dxa" w:w="100"/>
              <w:bottom w:type="dxa" w:w="80"/>
              <w:right w:type="dxa" w:w="100"/>
            </w:tcMar>
          </w:tcPr>
          <w:p>
            <w:pPr>
              <w:jc w:val="left"/>
            </w:pPr>
            <w:r>
              <w:rPr>
                <w:b w:val="false"/>
                <w:bCs w:val="false"/>
                <w:color w:val="1A1A1A"/>
                <w:sz w:val="20"/>
                <w:szCs w:val="20"/>
              </w:rPr>
              <w:t xml:space="preserve">Loan terms</w:t>
            </w:r>
          </w:p>
        </w:tc>
        <w:tc>
          <w:tcPr>
            <w:tcW w:type="dxa" w:w="6160"/>
            <w:tcMar>
              <w:top w:type="dxa" w:w="80"/>
              <w:left w:type="dxa" w:w="100"/>
              <w:bottom w:type="dxa" w:w="80"/>
              <w:right w:type="dxa" w:w="100"/>
            </w:tcMar>
          </w:tcPr>
          <w:p>
            <w:pPr>
              <w:jc w:val="left"/>
            </w:pPr>
            <w:r>
              <w:rPr>
                <w:b w:val="false"/>
                <w:bCs w:val="false"/>
                <w:color w:val="1A1A1A"/>
                <w:sz w:val="20"/>
                <w:szCs w:val="20"/>
              </w:rPr>
              <w:t xml:space="preserve">LoanAmount, Loan_Amount_Term</w:t>
            </w:r>
          </w:p>
        </w:tc>
      </w:tr>
      <w:tr>
        <w:tc>
          <w:tcPr>
            <w:tcW w:type="dxa" w:w="3200"/>
            <w:tcMar>
              <w:top w:type="dxa" w:w="80"/>
              <w:left w:type="dxa" w:w="100"/>
              <w:bottom w:type="dxa" w:w="80"/>
              <w:right w:type="dxa" w:w="100"/>
            </w:tcMar>
          </w:tcPr>
          <w:p>
            <w:pPr>
              <w:jc w:val="left"/>
            </w:pPr>
            <w:r>
              <w:rPr>
                <w:b w:val="false"/>
                <w:bCs w:val="false"/>
                <w:color w:val="1A1A1A"/>
                <w:sz w:val="20"/>
                <w:szCs w:val="20"/>
              </w:rPr>
              <w:t xml:space="preserve">Credit behaviour</w:t>
            </w:r>
          </w:p>
        </w:tc>
        <w:tc>
          <w:tcPr>
            <w:tcW w:type="dxa" w:w="6160"/>
            <w:tcMar>
              <w:top w:type="dxa" w:w="80"/>
              <w:left w:type="dxa" w:w="100"/>
              <w:bottom w:type="dxa" w:w="80"/>
              <w:right w:type="dxa" w:w="100"/>
            </w:tcMar>
          </w:tcPr>
          <w:p>
            <w:pPr>
              <w:jc w:val="left"/>
            </w:pPr>
            <w:r>
              <w:rPr>
                <w:b w:val="false"/>
                <w:bCs w:val="false"/>
                <w:color w:val="1A1A1A"/>
                <w:sz w:val="20"/>
                <w:szCs w:val="20"/>
              </w:rPr>
              <w:t xml:space="preserve">Credit_History</w:t>
            </w:r>
          </w:p>
        </w:tc>
      </w:tr>
      <w:tr>
        <w:tc>
          <w:tcPr>
            <w:tcW w:type="dxa" w:w="3200"/>
            <w:tcMar>
              <w:top w:type="dxa" w:w="80"/>
              <w:left w:type="dxa" w:w="100"/>
              <w:bottom w:type="dxa" w:w="80"/>
              <w:right w:type="dxa" w:w="100"/>
            </w:tcMar>
          </w:tcPr>
          <w:p>
            <w:pPr>
              <w:jc w:val="left"/>
            </w:pPr>
            <w:r>
              <w:rPr>
                <w:b w:val="false"/>
                <w:bCs w:val="false"/>
                <w:color w:val="1A1A1A"/>
                <w:sz w:val="20"/>
                <w:szCs w:val="20"/>
              </w:rPr>
              <w:t xml:space="preserve">Location</w:t>
            </w:r>
          </w:p>
        </w:tc>
        <w:tc>
          <w:tcPr>
            <w:tcW w:type="dxa" w:w="6160"/>
            <w:tcMar>
              <w:top w:type="dxa" w:w="80"/>
              <w:left w:type="dxa" w:w="100"/>
              <w:bottom w:type="dxa" w:w="80"/>
              <w:right w:type="dxa" w:w="100"/>
            </w:tcMar>
          </w:tcPr>
          <w:p>
            <w:pPr>
              <w:jc w:val="left"/>
            </w:pPr>
            <w:r>
              <w:rPr>
                <w:b w:val="false"/>
                <w:bCs w:val="false"/>
                <w:color w:val="1A1A1A"/>
                <w:sz w:val="20"/>
                <w:szCs w:val="20"/>
              </w:rPr>
              <w:t xml:space="preserve">Property_Area</w:t>
            </w:r>
          </w:p>
        </w:tc>
      </w:tr>
      <w:tr>
        <w:tc>
          <w:tcPr>
            <w:tcW w:type="dxa" w:w="3200"/>
            <w:tcMar>
              <w:top w:type="dxa" w:w="80"/>
              <w:left w:type="dxa" w:w="100"/>
              <w:bottom w:type="dxa" w:w="80"/>
              <w:right w:type="dxa" w:w="100"/>
            </w:tcMar>
          </w:tcPr>
          <w:p>
            <w:pPr>
              <w:jc w:val="left"/>
            </w:pPr>
            <w:r>
              <w:rPr>
                <w:b w:val="false"/>
                <w:bCs w:val="false"/>
                <w:color w:val="1A1A1A"/>
                <w:sz w:val="20"/>
                <w:szCs w:val="20"/>
              </w:rPr>
              <w:t xml:space="preserve">Target</w:t>
            </w:r>
          </w:p>
        </w:tc>
        <w:tc>
          <w:tcPr>
            <w:tcW w:type="dxa" w:w="6160"/>
            <w:tcMar>
              <w:top w:type="dxa" w:w="80"/>
              <w:left w:type="dxa" w:w="100"/>
              <w:bottom w:type="dxa" w:w="80"/>
              <w:right w:type="dxa" w:w="100"/>
            </w:tcMar>
          </w:tcPr>
          <w:p>
            <w:pPr>
              <w:jc w:val="left"/>
            </w:pPr>
            <w:r>
              <w:rPr>
                <w:b w:val="false"/>
                <w:bCs w:val="false"/>
                <w:color w:val="1A1A1A"/>
                <w:sz w:val="20"/>
                <w:szCs w:val="20"/>
              </w:rPr>
              <w:t xml:space="preserve">Loan_Status / Default_Flag</w:t>
            </w:r>
          </w:p>
        </w:tc>
      </w:tr>
    </w:tbl>
    <w:p>
      <w:pPr>
        <w:pStyle w:val="Heading1"/>
        <w:spacing w:after="200" w:before="400"/>
      </w:pPr>
      <w:r>
        <w:rPr>
          <w:b/>
          <w:bCs/>
          <w:color w:val="1F4E78"/>
        </w:rPr>
        <w:t xml:space="preserve">8. Assumptions and Dependencies</w:t>
      </w:r>
    </w:p>
    <w:p>
      <w:pPr>
        <w:pStyle w:val="ListParagraph"/>
        <w:numPr>
          <w:ilvl w:val="0"/>
          <w:numId w:val="3"/>
        </w:numPr>
        <w:spacing w:after="80"/>
      </w:pPr>
      <w:r>
        <w:rPr>
          <w:sz w:val="22"/>
          <w:szCs w:val="22"/>
        </w:rPr>
        <w:t xml:space="preserve">Depends on availability of the Kaggle Loan Prediction Dataset (or equivalent) with the fields described in the BRD/Data Dictionary.</w:t>
      </w:r>
    </w:p>
    <w:p>
      <w:pPr>
        <w:pStyle w:val="ListParagraph"/>
        <w:numPr>
          <w:ilvl w:val="0"/>
          <w:numId w:val="3"/>
        </w:numPr>
        <w:spacing w:after="80"/>
      </w:pPr>
      <w:r>
        <w:rPr>
          <w:sz w:val="22"/>
          <w:szCs w:val="22"/>
        </w:rPr>
        <w:t xml:space="preserve">Assumes Python (Pandas, NumPy, Scikit-learn), Jupyter Notebook, and Tableau or Power BI are available.</w:t>
      </w:r>
    </w:p>
    <w:p>
      <w:pPr>
        <w:pStyle w:val="ListParagraph"/>
        <w:numPr>
          <w:ilvl w:val="0"/>
          <w:numId w:val="3"/>
        </w:numPr>
        <w:spacing w:after="80"/>
      </w:pPr>
      <w:r>
        <w:rPr>
          <w:sz w:val="22"/>
          <w:szCs w:val="22"/>
        </w:rPr>
        <w:t xml:space="preserve">Assumes model outputs are advisory and reviewed by a human underwriter, not auto-executed.</w:t>
      </w:r>
    </w:p>
    <w:p>
      <w:pPr>
        <w:pStyle w:val="Heading1"/>
        <w:spacing w:after="200" w:before="400"/>
      </w:pPr>
      <w:r>
        <w:rPr>
          <w:b/>
          <w:bCs/>
          <w:color w:val="1F4E78"/>
        </w:rPr>
        <w:t xml:space="preserve">9.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8" w:val="clear"/>
            <w:tcMar>
              <w:top w:type="dxa" w:w="80"/>
              <w:left w:type="dxa" w:w="100"/>
              <w:bottom w:type="dxa" w:w="80"/>
              <w:right w:type="dxa" w:w="100"/>
            </w:tcMar>
          </w:tcPr>
          <w:p>
            <w:pPr>
              <w:jc w:val="left"/>
            </w:pPr>
            <w:r>
              <w:rPr>
                <w:b/>
                <w:bCs/>
                <w:color w:val="FFFFFF"/>
                <w:sz w:val="20"/>
                <w:szCs w:val="20"/>
              </w:rPr>
              <w:t xml:space="preserve">Week</w:t>
            </w:r>
          </w:p>
        </w:tc>
        <w:tc>
          <w:tcPr>
            <w:tcW w:type="dxa" w:w="7160"/>
            <w:shd w:fill="1F4E78" w:val="clear"/>
            <w:tcMar>
              <w:top w:type="dxa" w:w="80"/>
              <w:left w:type="dxa" w:w="100"/>
              <w:bottom w:type="dxa" w:w="80"/>
              <w:right w:type="dxa" w:w="100"/>
            </w:tcMar>
          </w:tcPr>
          <w:p>
            <w:pPr>
              <w:jc w:val="left"/>
            </w:pPr>
            <w:r>
              <w:rPr>
                <w:b/>
                <w:bCs/>
                <w:color w:val="FFFFFF"/>
                <w:sz w:val="20"/>
                <w:szCs w:val="20"/>
              </w:rPr>
              <w:t xml:space="preserve">Milestone</w:t>
            </w:r>
          </w:p>
        </w:tc>
      </w:tr>
      <w:tr>
        <w:tc>
          <w:tcPr>
            <w:tcW w:type="dxa" w:w="2200"/>
            <w:tcMar>
              <w:top w:type="dxa" w:w="80"/>
              <w:left w:type="dxa" w:w="100"/>
              <w:bottom w:type="dxa" w:w="80"/>
              <w:right w:type="dxa" w:w="100"/>
            </w:tcMar>
          </w:tcPr>
          <w:p>
            <w:pPr>
              <w:jc w:val="left"/>
            </w:pPr>
            <w:r>
              <w:rPr>
                <w:b w:val="false"/>
                <w:bCs w:val="false"/>
                <w:color w:val="1A1A1A"/>
                <w:sz w:val="20"/>
                <w:szCs w:val="20"/>
              </w:rPr>
              <w:t xml:space="preserve">Week 1</w:t>
            </w:r>
          </w:p>
        </w:tc>
        <w:tc>
          <w:tcPr>
            <w:tcW w:type="dxa" w:w="7160"/>
            <w:tcMar>
              <w:top w:type="dxa" w:w="80"/>
              <w:left w:type="dxa" w:w="100"/>
              <w:bottom w:type="dxa" w:w="80"/>
              <w:right w:type="dxa" w:w="100"/>
            </w:tcMar>
          </w:tcPr>
          <w:p>
            <w:pPr>
              <w:jc w:val="left"/>
            </w:pPr>
            <w:r>
              <w:rPr>
                <w:b w:val="false"/>
                <w:bCs w:val="false"/>
                <w:color w:val="1A1A1A"/>
                <w:sz w:val="20"/>
                <w:szCs w:val="20"/>
              </w:rPr>
              <w:t xml:space="preserve">Business problem defined; dataset acquired; data cleaned</w:t>
            </w:r>
          </w:p>
        </w:tc>
      </w:tr>
      <w:tr>
        <w:tc>
          <w:tcPr>
            <w:tcW w:type="dxa" w:w="2200"/>
            <w:tcMar>
              <w:top w:type="dxa" w:w="80"/>
              <w:left w:type="dxa" w:w="100"/>
              <w:bottom w:type="dxa" w:w="80"/>
              <w:right w:type="dxa" w:w="100"/>
            </w:tcMar>
          </w:tcPr>
          <w:p>
            <w:pPr>
              <w:jc w:val="left"/>
            </w:pPr>
            <w:r>
              <w:rPr>
                <w:b w:val="false"/>
                <w:bCs w:val="false"/>
                <w:color w:val="1A1A1A"/>
                <w:sz w:val="20"/>
                <w:szCs w:val="20"/>
              </w:rPr>
              <w:t xml:space="preserve">Week 2</w:t>
            </w:r>
          </w:p>
        </w:tc>
        <w:tc>
          <w:tcPr>
            <w:tcW w:type="dxa" w:w="7160"/>
            <w:tcMar>
              <w:top w:type="dxa" w:w="80"/>
              <w:left w:type="dxa" w:w="100"/>
              <w:bottom w:type="dxa" w:w="80"/>
              <w:right w:type="dxa" w:w="100"/>
            </w:tcMar>
          </w:tcPr>
          <w:p>
            <w:pPr>
              <w:jc w:val="left"/>
            </w:pPr>
            <w:r>
              <w:rPr>
                <w:b w:val="false"/>
                <w:bCs w:val="false"/>
                <w:color w:val="1A1A1A"/>
                <w:sz w:val="20"/>
                <w:szCs w:val="20"/>
              </w:rPr>
              <w:t xml:space="preserve">EDA complete; charts and initial insights drafted</w:t>
            </w:r>
          </w:p>
        </w:tc>
      </w:tr>
      <w:tr>
        <w:tc>
          <w:tcPr>
            <w:tcW w:type="dxa" w:w="2200"/>
            <w:tcMar>
              <w:top w:type="dxa" w:w="80"/>
              <w:left w:type="dxa" w:w="100"/>
              <w:bottom w:type="dxa" w:w="80"/>
              <w:right w:type="dxa" w:w="100"/>
            </w:tcMar>
          </w:tcPr>
          <w:p>
            <w:pPr>
              <w:jc w:val="left"/>
            </w:pPr>
            <w:r>
              <w:rPr>
                <w:b w:val="false"/>
                <w:bCs w:val="false"/>
                <w:color w:val="1A1A1A"/>
                <w:sz w:val="20"/>
                <w:szCs w:val="20"/>
              </w:rPr>
              <w:t xml:space="preserve">Week 3</w:t>
            </w:r>
          </w:p>
        </w:tc>
        <w:tc>
          <w:tcPr>
            <w:tcW w:type="dxa" w:w="7160"/>
            <w:tcMar>
              <w:top w:type="dxa" w:w="80"/>
              <w:left w:type="dxa" w:w="100"/>
              <w:bottom w:type="dxa" w:w="80"/>
              <w:right w:type="dxa" w:w="100"/>
            </w:tcMar>
          </w:tcPr>
          <w:p>
            <w:pPr>
              <w:jc w:val="left"/>
            </w:pPr>
            <w:r>
              <w:rPr>
                <w:b w:val="false"/>
                <w:bCs w:val="false"/>
                <w:color w:val="1A1A1A"/>
                <w:sz w:val="20"/>
                <w:szCs w:val="20"/>
              </w:rPr>
              <w:t xml:space="preserve">Models built, tuned, and compared; evaluation metrics finalised</w:t>
            </w:r>
          </w:p>
        </w:tc>
      </w:tr>
      <w:tr>
        <w:tc>
          <w:tcPr>
            <w:tcW w:type="dxa" w:w="2200"/>
            <w:tcMar>
              <w:top w:type="dxa" w:w="80"/>
              <w:left w:type="dxa" w:w="100"/>
              <w:bottom w:type="dxa" w:w="80"/>
              <w:right w:type="dxa" w:w="100"/>
            </w:tcMar>
          </w:tcPr>
          <w:p>
            <w:pPr>
              <w:jc w:val="left"/>
            </w:pPr>
            <w:r>
              <w:rPr>
                <w:b w:val="false"/>
                <w:bCs w:val="false"/>
                <w:color w:val="1A1A1A"/>
                <w:sz w:val="20"/>
                <w:szCs w:val="20"/>
              </w:rPr>
              <w:t xml:space="preserve">Week 4</w:t>
            </w:r>
          </w:p>
        </w:tc>
        <w:tc>
          <w:tcPr>
            <w:tcW w:type="dxa" w:w="7160"/>
            <w:tcMar>
              <w:top w:type="dxa" w:w="80"/>
              <w:left w:type="dxa" w:w="100"/>
              <w:bottom w:type="dxa" w:w="80"/>
              <w:right w:type="dxa" w:w="100"/>
            </w:tcMar>
          </w:tcPr>
          <w:p>
            <w:pPr>
              <w:jc w:val="left"/>
            </w:pPr>
            <w:r>
              <w:rPr>
                <w:b w:val="false"/>
                <w:bCs w:val="false"/>
                <w:color w:val="1A1A1A"/>
                <w:sz w:val="20"/>
                <w:szCs w:val="20"/>
              </w:rPr>
              <w:t xml:space="preserve">Dashboard built; report and presentation completed; project packaged for GitHub</w:t>
            </w:r>
          </w:p>
        </w:tc>
      </w:tr>
    </w:tbl>
    <w:p>
      <w:pPr>
        <w:pStyle w:val="Heading1"/>
        <w:spacing w:after="200" w:before="400"/>
      </w:pPr>
      <w:r>
        <w:rPr>
          <w:b/>
          <w:bCs/>
          <w:color w:val="1F4E78"/>
        </w:rPr>
        <w:t xml:space="preserve">10. Risks and Dependencies</w:t>
      </w:r>
    </w:p>
    <w:p>
      <w:pPr>
        <w:pStyle w:val="ListParagraph"/>
        <w:numPr>
          <w:ilvl w:val="0"/>
          <w:numId w:val="3"/>
        </w:numPr>
        <w:spacing w:after="80"/>
      </w:pPr>
      <w:r>
        <w:rPr>
          <w:sz w:val="22"/>
          <w:szCs w:val="22"/>
        </w:rPr>
        <w:t xml:space="preserve">Data quality issues (missing values, outliers) could delay modelling if not caught early in Week 1.</w:t>
      </w:r>
    </w:p>
    <w:p>
      <w:pPr>
        <w:pStyle w:val="ListParagraph"/>
        <w:numPr>
          <w:ilvl w:val="0"/>
          <w:numId w:val="3"/>
        </w:numPr>
        <w:spacing w:after="80"/>
      </w:pPr>
      <w:r>
        <w:rPr>
          <w:sz w:val="22"/>
          <w:szCs w:val="22"/>
        </w:rPr>
        <w:t xml:space="preserve">Class imbalance may require additional evaluation care beyond plain accuracy.</w:t>
      </w:r>
    </w:p>
    <w:p>
      <w:pPr>
        <w:pStyle w:val="ListParagraph"/>
        <w:numPr>
          <w:ilvl w:val="0"/>
          <w:numId w:val="3"/>
        </w:numPr>
        <w:spacing w:after="80"/>
      </w:pPr>
      <w:r>
        <w:rPr>
          <w:sz w:val="22"/>
          <w:szCs w:val="22"/>
        </w:rPr>
        <w:t xml:space="preserve">Dashboard tool availability (Tableau/Power BI licence) is a dependency for BR-05 / Section 6.1.</w:t>
      </w:r>
    </w:p>
    <w:p>
      <w:pPr>
        <w:pStyle w:val="Heading1"/>
        <w:spacing w:after="200" w:before="400"/>
      </w:pPr>
      <w:r>
        <w:rPr>
          <w:b/>
          <w:bCs/>
          <w:color w:val="1F4E78"/>
        </w:rPr>
        <w:t xml:space="preserve">11. Out of Scope (Restated)</w:t>
      </w:r>
    </w:p>
    <w:p>
      <w:pPr>
        <w:spacing w:after="150"/>
      </w:pPr>
      <w:r>
        <w:rPr>
          <w:sz w:val="22"/>
          <w:szCs w:val="22"/>
        </w:rPr>
        <w:t xml:space="preserve">Consistent with the BRD, this product is a decision-support analytics deliverable for a portfolio project, not a production credit-decisioning system, and carries no regulatory model-governance sign-off.</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Product Requirements Document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2026-07-27T05:33:49.558Z</dcterms:created>
  <dcterms:modified xsi:type="dcterms:W3CDTF">2026-07-27T05:33:49.558Z</dcterms:modified>
</cp:coreProperties>
</file>

<file path=docProps/custom.xml><?xml version="1.0" encoding="utf-8"?>
<Properties xmlns="http://schemas.openxmlformats.org/officeDocument/2006/custom-properties" xmlns:vt="http://schemas.openxmlformats.org/officeDocument/2006/docPropsVTypes"/>
</file>