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officeDocument/2006/relationships/extended-properties" Target="docProps/app.xml" Id="rId4" /><Relationship Type="http://schemas.openxmlformats.org/officeDocument/2006/relationships/officeDocument" Target="word/document.xml" Id="rId1" /><Relationship Type="http://schemas.openxmlformats.org/package/2006/relationships/metadata/thumbnail" Target="docProps/thumbnail.jpeg" Id="rId2" /><Relationship Type="http://schemas.openxmlformats.org/officeDocument/2006/relationships/custom-properties" Target="/docProps/custom.xml" Id="Rcb6a0c8c776c444c" /></Relationships>
</file>

<file path=word/document.xml><?xml version="1.0" encoding="utf-8"?>
<w:document xmlns:a="http://schemas.openxmlformats.org/drawingml/2006/main" xmlns:pic="http://schemas.openxmlformats.org/drawingml/2006/pictur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100000" w14:textId="00100001">
      <w:pPr>
        <w:spacing w:before="1600" w:after="120"/>
        <w:jc w:val="center"/>
      </w:pPr>
      <w:r>
        <w:rPr>
          <w:b/>
          <w:color w:val="1F4E79"/>
          <w:sz w:val="44"/>
        </w:rPr>
        <w:t>JanMitra: AI-Powered Government Scheme Assistant</w:t>
      </w:r>
    </w:p>
    <w:p w14:paraId="00100002" w14:textId="00100003">
      <w:pPr>
        <w:spacing w:after="80"/>
        <w:jc w:val="center"/>
      </w:pPr>
      <w:r>
        <w:rPr>
          <w:color w:val="444444"/>
          <w:sz w:val="28"/>
        </w:rPr>
        <w:t>A Data Analytics with Artificial Intelligence Project</w:t>
      </w:r>
    </w:p>
    <w:p w14:paraId="00100004" w14:textId="00100005">
      <w:pPr>
        <w:spacing w:after="1000"/>
        <w:jc w:val="center"/>
      </w:pPr>
      <w:r>
        <w:t xml:space="preserve"> </w:t>
      </w:r>
    </w:p>
    <w:p w14:paraId="00100006" w14:textId="00100007">
      <w:pPr>
        <w:spacing w:after="120"/>
        <w:jc w:val="center"/>
      </w:pPr>
      <w:r>
        <w:rPr>
          <w:b/>
          <w:sz w:val="24"/>
        </w:rPr>
        <w:t xml:space="preserve">Submitted by: </w:t>
      </w:r>
      <w:r>
        <w:rPr>
          <w:sz w:val="24"/>
        </w:rPr>
        <w:t>VeereshMath</w:t>
      </w:r>
    </w:p>
    <w:p w14:paraId="00100008" w14:textId="00100009">
      <w:pPr>
        <w:spacing w:after="120"/>
        <w:jc w:val="center"/>
      </w:pPr>
      <w:r>
        <w:rPr>
          <w:b/>
          <w:sz w:val="24"/>
        </w:rPr>
        <w:t xml:space="preserve">Programme: </w:t>
      </w:r>
      <w:r>
        <w:rPr>
          <w:sz w:val="24"/>
        </w:rPr>
        <w:t>AICTE | IBM SkillsBuild — Data Analytics with AI Internship</w:t>
      </w:r>
    </w:p>
    <w:p w14:paraId="0010000A" w14:textId="0010000B">
      <w:pPr>
        <w:spacing w:after="120"/>
        <w:jc w:val="center"/>
      </w:pPr>
      <w:r>
        <w:rPr>
          <w:b/>
          <w:sz w:val="24"/>
        </w:rPr>
        <w:t xml:space="preserve">Project: </w:t>
      </w:r>
      <w:r>
        <w:rPr>
          <w:sz w:val="24"/>
        </w:rPr>
        <w:t>BharatCares</w:t>
      </w:r>
    </w:p>
    <w:p w14:paraId="0010000C" w14:textId="0010049E">
      <w:pPr>
        <w:spacing w:after="120"/>
        <w:jc w:val="center"/>
      </w:pPr>
      <w:r>
        <w:rPr>
          <w:b/>
          <w:sz w:val="24"/>
        </w:rPr>
        <w:t xml:space="preserve">Year: 2026</w:t>
      </w:r>
    </w:p>
    <w:p w14:paraId="0010000E" w14:textId="0010000F">
      <w:pPr>
        <w:spacing w:after="120"/>
        <w:jc w:val="center"/>
      </w:pPr>
      <w:r>
        <w:rPr>
          <w:b/>
          <w:sz w:val="24"/>
        </w:rPr>
        <w:t xml:space="preserve">Confidentiality: </w:t>
      </w:r>
      <w:r>
        <w:rPr>
          <w:sz w:val="24"/>
        </w:rPr>
        <w:t>For academic evaluation only</w:t>
      </w:r>
    </w:p>
    <w:p w14:paraId="00100010" w14:textId="00100011">
      <w:r>
        <w:br w:type="page"/>
      </w:r>
    </w:p>
    <w:p w14:paraId="00100012" w14:textId="00100013">
      <w:pPr>
        <w:spacing w:before="360" w:after="160"/>
      </w:pPr>
      <w:r>
        <w:rPr>
          <w:b/>
          <w:color w:val="1F4E79"/>
          <w:sz w:val="32"/>
        </w:rPr>
        <w:t>Executive Summary</w:t>
      </w:r>
    </w:p>
    <w:p w14:paraId="00100014" w14:textId="00100015">
      <w:pPr>
        <w:spacing w:before="40" w:after="160"/>
      </w:pPr>
      <w:r>
        <w:rPr>
          <w:b w:val="0"/>
          <w:i w:val="0"/>
          <w:color w:val="000000"/>
          <w:sz w:val="22"/>
        </w:rPr>
        <w:t>India administers more than 4,700 central and state government welfare schemes covering agriculture, health, housing, education, and livelihood. Despite this breadth, a persistent gap exists between entitlement and uptake: the average eligible citizen qualifies for approximately 3.2 schemes simultaneously but applies for fewer than 0.8. This translates to an estimated Rs. 1.2 trillion in unclaimed benefits each year, disproportionately affecting the households these schemes were designed to serve — small and marginal farmers, Scheduled Caste and Scheduled Tribe communities, women-headed households, and urban informal workers.</w:t>
      </w:r>
    </w:p>
    <w:p w14:paraId="00100016" w14:textId="00100017">
      <w:pPr>
        <w:spacing w:before="40" w:after="160"/>
      </w:pPr>
      <w:r>
        <w:rPr>
          <w:b w:val="0"/>
          <w:i w:val="0"/>
          <w:color w:val="000000"/>
          <w:sz w:val="22"/>
        </w:rPr>
        <w:t>The root cause of this gap is navigability, not awareness. Eligibility criteria are scattered across 29 portals in 22 official languages; the qualifying conditions are multi-dimensional; and first-generation beneficiaries lack social networks to decode bureaucratic language. For a daily-wage worker in rural Bihar or a tribal farmer in Odisha, correctly determining eligibility across dozens of schemes is cognitively expensive and practically inaccessible without assistance.</w:t>
      </w:r>
    </w:p>
    <w:p w14:paraId="00100018" w14:textId="00100019">
      <w:pPr>
        <w:spacing w:before="40" w:after="160"/>
      </w:pPr>
      <w:r>
        <w:rPr>
          <w:b w:val="0"/>
          <w:i w:val="0"/>
          <w:color w:val="000000"/>
          <w:sz w:val="22"/>
        </w:rPr>
        <w:t>JanMitra — meaning 'People's Friend' in Hindi — is an AI-powered assistant built to close this navigability gap. The project comprises two machine-learning models: a multi-label scheme recommendation engine that maps a citizen's demographic profile to their eligible schemes, and a multilingual intent classifier that understands natural-language queries in Hindi, English, Tamil, Telugu, Kannada, Bengali, and other Indian languages. Both models were developed on a dataset of 4,702 government schemes and a synthetic citizen eligibility dataset of 50,200 labelled profiles, supplemented by a multilingual question-answer corpus from the HuggingFace Hub.</w:t>
      </w:r>
    </w:p>
    <w:p w14:paraId="0010001A" w14:textId="0010001B">
      <w:pPr>
        <w:spacing w:before="40" w:after="160"/>
      </w:pPr>
      <w:r>
        <w:rPr>
          <w:b w:val="0"/>
          <w:i w:val="0"/>
          <w:color w:val="000000"/>
          <w:sz w:val="22"/>
        </w:rPr>
        <w:t>The recommendation model — a RandomForest classifier with balanced class weights in a One-vs-Rest framework — achieved a Micro-F1 of 0.74 and a Hamming Loss of 0.18. An XGBoost variant marginally improved Micro-F1 to 0.77. The multilingual intent classifier, using a TF-IDF character n-gram pipeline with LinearSVC, achieved a Macro-F1 of 0.71 across five intent classes. These results, while measured on synthetic data, demonstrate that a compact set of demographic features is sufficient to shortlist eligible schemes with practical accuracy. The vulnerability score — a composite of income, age, and social category — emerged as the single strongest predictor, explaining more variance than any individual feature.</w:t>
      </w:r>
    </w:p>
    <w:p w14:paraId="0010001C" w14:textId="0010001D">
      <w:pPr>
        <w:spacing w:before="40" w:after="160"/>
      </w:pPr>
      <w:r>
        <w:rPr>
          <w:b w:val="0"/>
          <w:i w:val="0"/>
          <w:color w:val="000000"/>
          <w:sz w:val="22"/>
        </w:rPr>
        <w:t>The report concludes with three measurable recommendations: integrating the vulnerability score into the Unified Beneficiary Database, targeting JanMitra outreach specifically at the Rs. 1–3 LPA income band (identified as the most under-served demographic), and conducting a 90-day pilot with one state's Direct Benefit Transfer portal to measure real-world application-rate uplift. A fully functional Streamlit dashboard prototype accompanies this report, demonstrating all capabilities in a browser-accessible format that requires no technical knowledge from end users.</w:t>
      </w:r>
    </w:p>
    <w:p w14:paraId="0010001E" w14:textId="0010001F">
      <w:r>
        <w:br w:type="page"/>
      </w:r>
    </w:p>
    <w:p w14:paraId="00100020" w14:textId="00100021">
      <w:pPr>
        <w:spacing w:before="360" w:after="160"/>
      </w:pPr>
      <w:r>
        <w:rPr>
          <w:b/>
          <w:color w:val="1F4E79"/>
          <w:sz w:val="32"/>
        </w:rPr>
        <w:t>Section 1: Introduction</w:t>
      </w:r>
    </w:p>
    <w:p w14:paraId="00100022" w14:textId="00100023">
      <w:pPr>
        <w:spacing w:before="240" w:after="120"/>
      </w:pPr>
      <w:r>
        <w:rPr>
          <w:b/>
          <w:color w:val="1F4E79"/>
          <w:sz w:val="26"/>
        </w:rPr>
        <w:t>1.1 Background</w:t>
      </w:r>
    </w:p>
    <w:p w14:paraId="00100024" w14:textId="00100025">
      <w:pPr>
        <w:spacing w:before="40" w:after="160"/>
      </w:pPr>
      <w:r>
        <w:rPr>
          <w:b w:val="0"/>
          <w:i w:val="0"/>
          <w:color w:val="000000"/>
          <w:sz w:val="22"/>
        </w:rPr>
        <w:t>India's welfare architecture is among the most expansive in the world. The Ministry of Rural Development alone administers over 200 programmes; the Ministry of Health and Family Welfare runs flagship schemes such as Ayushman Bharat – Pradhan Mantri Jan Arogya Yojana (PM-JAY), which extends health cover of up to Rs. 5 lakh per family per year; and the Department for Promotion of Industry and Internal Trade (DPIIT) manages the Startup India and Mudra loan ecosystems. When state governments' own schemes — such as Amma Vodi in Andhra Pradesh and Kalia in Odisha — are added to the national catalogue, the total scheme universe exceeds 10,000 programmes.</w:t>
      </w:r>
    </w:p>
    <w:p w14:paraId="00100026" w14:textId="00100027">
      <w:pPr>
        <w:spacing w:before="40" w:after="160"/>
      </w:pPr>
      <w:r>
        <w:rPr>
          <w:b w:val="0"/>
          <w:i w:val="0"/>
          <w:color w:val="000000"/>
          <w:sz w:val="22"/>
        </w:rPr>
        <w:t>The Direct Benefit Transfer (DBT) mission, launched in 2013, has transferred over Rs. 28 lakh crore to beneficiaries through digital payments, eliminating intermediaries and leakage (DBT Bharat, 2023). Yet DBT's success in delivery efficiency has not resolved the prior problem: citizens must first identify themselves as eligible, register correctly, and submit the right documents. For the 65% of India's workforce employed in the informal sector (NITI Aayog, 2022), this remains a substantial barrier.</w:t>
      </w:r>
    </w:p>
    <w:p w14:paraId="00100028" w14:textId="00100029">
      <w:pPr>
        <w:spacing w:before="40" w:after="160"/>
      </w:pPr>
      <w:r>
        <w:rPr>
          <w:b w:val="0"/>
          <w:i w:val="0"/>
          <w:color w:val="000000"/>
          <w:sz w:val="22"/>
        </w:rPr>
        <w:t>The NITI Aayog's Social Audit framework and the Ministry of Rural Development's field surveys have consistently documented a 'last-mile' accessibility problem. The MoRD Annual Report (2022–23) acknowledges that awareness of programme entitlements drops significantly for households in the lowest two income quintiles — precisely the intended beneficiaries of most schemes. The National Family Health Survey (NFHS-5) corroborates this, noting that knowledge of programme eligibility does not translate to application, especially among women, elderly citizens, and those in remote geographies.</w:t>
      </w:r>
    </w:p>
    <w:p w14:paraId="0010002A" w14:textId="0010002B">
      <w:pPr>
        <w:spacing w:before="40" w:after="160"/>
      </w:pPr>
      <w:r>
        <w:rPr>
          <w:b w:val="0"/>
          <w:i w:val="0"/>
          <w:color w:val="000000"/>
          <w:sz w:val="22"/>
        </w:rPr>
        <w:t>This project takes the position that data analytics and artificial intelligence, applied thoughtfully to existing government data, can close this gap without requiring changes to scheme design, eligibility criteria, or administrative structure.</w:t>
      </w:r>
    </w:p>
    <w:p w14:paraId="0010002C" w14:textId="0010002D">
      <w:pPr>
        <w:spacing w:before="240" w:after="120"/>
      </w:pPr>
      <w:r>
        <w:rPr>
          <w:b/>
          <w:color w:val="1F4E79"/>
          <w:sz w:val="26"/>
        </w:rPr>
        <w:t>1.2 Problem Statement</w:t>
      </w:r>
    </w:p>
    <w:p w14:paraId="0010002E" w14:textId="0010002F">
      <w:pPr>
        <w:spacing w:before="40" w:after="160"/>
      </w:pPr>
      <w:r>
        <w:rPr>
          <w:b w:val="0"/>
          <w:i w:val="0"/>
          <w:color w:val="000000"/>
          <w:sz w:val="22"/>
        </w:rPr>
        <w:t>Given a citizen's demographic profile — age, gender, annual household income, occupation, state of residence, social category, and disability status — determine the complete set of government schemes for which that citizen is eligible and present this information in the citizen's preferred language, in plain language, with clear next steps.</w:t>
      </w:r>
    </w:p>
    <w:p w14:paraId="00100030" w14:textId="00100031">
      <w:pPr>
        <w:spacing w:before="40" w:after="160"/>
      </w:pPr>
      <w:r>
        <w:rPr>
          <w:b w:val="0"/>
          <w:i w:val="0"/>
          <w:color w:val="000000"/>
          <w:sz w:val="22"/>
        </w:rPr>
        <w:t>The secondary problem is conversational: when a citizen asks a natural-language question about schemes ('Am I eligible for PM Kisan?', 'PM Kisan ke liye kya document chahiye?'), the system must understand the intent, irrespective of language, and route the citizen to the appropriate information.</w:t>
      </w:r>
    </w:p>
    <w:p w14:paraId="00100032" w14:textId="00100033">
      <w:pPr>
        <w:spacing w:before="240" w:after="120"/>
      </w:pPr>
      <w:r>
        <w:rPr>
          <w:b/>
          <w:color w:val="1F4E79"/>
          <w:sz w:val="26"/>
        </w:rPr>
        <w:t>1.3 Objectives</w:t>
      </w:r>
    </w:p>
    <w:p w14:paraId="00100034" w14:textId="00100035">
      <w:pPr>
        <w:spacing w:before="40" w:after="160"/>
      </w:pPr>
      <w:r>
        <w:rPr>
          <w:b w:val="0"/>
          <w:i w:val="0"/>
          <w:color w:val="000000"/>
          <w:sz w:val="22"/>
        </w:rPr>
        <w:t>The four measurable objectives of this project are:</w:t>
      </w:r>
    </w:p>
    <w:p w14:paraId="00100036" w14:textId="00100037">
      <w:pPr>
        <w:pStyle w:val="ListBullet"/>
        <w:spacing w:after="100"/>
      </w:pPr>
      <w:r>
        <w:rPr>
          <w:sz w:val="22"/>
        </w:rPr>
        <w:t>1. Build a multi-label scheme recommendation model with Micro-F1 ≥ 0.70 on a held-out test set of citizen profiles.</w:t>
      </w:r>
    </w:p>
    <w:p w14:paraId="00100038" w14:textId="00100039">
      <w:pPr>
        <w:pStyle w:val="ListBullet"/>
        <w:spacing w:after="100"/>
      </w:pPr>
      <w:r>
        <w:rPr>
          <w:sz w:val="22"/>
        </w:rPr>
        <w:t>2. Build a multilingual intent classifier covering at least five intent classes across at least two Indian languages, achieving Macro-F1 ≥ 0.65.</w:t>
      </w:r>
    </w:p>
    <w:p w14:paraId="0010003A" w14:textId="0010003B">
      <w:pPr>
        <w:pStyle w:val="ListBullet"/>
        <w:spacing w:after="100"/>
      </w:pPr>
      <w:r>
        <w:rPr>
          <w:sz w:val="22"/>
        </w:rPr>
        <w:t>3. Generate six data-driven visualisations that quantify the demographic dimensions of the scheme-eligibility gap.</w:t>
      </w:r>
    </w:p>
    <w:p w14:paraId="0010003C" w14:textId="0010003D">
      <w:pPr>
        <w:pStyle w:val="ListBullet"/>
        <w:spacing w:after="100"/>
      </w:pPr>
      <w:r>
        <w:rPr>
          <w:sz w:val="22"/>
        </w:rPr>
        <w:t>4. Deliver a functional three-page Streamlit prototype demonstrating real-time recommendation and intent classification.</w:t>
      </w:r>
    </w:p>
    <w:p w14:paraId="0010003E" w14:textId="0010003F">
      <w:pPr>
        <w:spacing w:before="240" w:after="120"/>
      </w:pPr>
      <w:r>
        <w:rPr>
          <w:b/>
          <w:color w:val="1F4E79"/>
          <w:sz w:val="26"/>
        </w:rPr>
        <w:t>1.4 Scope and Limitations</w:t>
      </w:r>
    </w:p>
    <w:p w14:paraId="00100040" w14:textId="00100041">
      <w:pPr>
        <w:spacing w:before="40" w:after="160"/>
      </w:pPr>
      <w:r>
        <w:rPr>
          <w:b w:val="0"/>
          <w:i w:val="0"/>
          <w:color w:val="000000"/>
          <w:sz w:val="22"/>
        </w:rPr>
        <w:t>This project covers central government schemes catalogued in the public dataset (4,702 schemes) and uses a synthetically generated citizen eligibility dataset. It does not cover state-level schemes beyond those present in the source data, does not access any live government database or citizen records, and does not implement authentication or data-persistence features required for production deployment. The synthetic nature of the citizen data is disclosed explicitly throughout this report; findings are directional and require validation against real administrative data before any policy action. The intent classifier's multilingual performance is primarily measured on synthetic and limited HuggingFace Hub data; performance on naturally occurring code-switched queries in regional languages is estimated rather than measured.</w:t>
      </w:r>
    </w:p>
    <w:p w14:paraId="00100042" w14:textId="00100043">
      <w:r>
        <w:br w:type="page"/>
      </w:r>
    </w:p>
    <w:p w14:paraId="00100044" w14:textId="00100045">
      <w:pPr>
        <w:spacing w:before="360" w:after="160"/>
      </w:pPr>
      <w:r>
        <w:rPr>
          <w:b/>
          <w:color w:val="1F4E79"/>
          <w:sz w:val="32"/>
        </w:rPr>
        <w:t>Section 2: Literature Review</w:t>
      </w:r>
    </w:p>
    <w:p w14:paraId="00100046" w14:textId="00100047">
      <w:pPr>
        <w:spacing w:before="240" w:after="120"/>
      </w:pPr>
      <w:r>
        <w:rPr>
          <w:b/>
          <w:color w:val="1F4E79"/>
          <w:sz w:val="26"/>
        </w:rPr>
        <w:t>2.1 Existing Approaches to Scheme Discovery</w:t>
      </w:r>
    </w:p>
    <w:p w14:paraId="00100048" w14:textId="00100049">
      <w:pPr>
        <w:spacing w:before="40" w:after="160"/>
      </w:pPr>
      <w:r>
        <w:rPr>
          <w:b w:val="0"/>
          <w:i w:val="0"/>
          <w:color w:val="000000"/>
          <w:sz w:val="22"/>
        </w:rPr>
        <w:t>The primary existing mechanism for scheme discovery is the myScheme portal (myscheme.gov.in), launched by the Ministry of Electronics and Information Technology (MeitY) in 2022. myScheme aggregates over 13,000 central and state schemes and offers a simple eligibility filter based on demographic inputs. However, the portal requires English literacy and assumes the user can correctly interpret eligibility criteria stated in administrative language. A citizen who does not know the English term for their social category, or who does not know their income in annual rupees (as opposed to daily wages), cannot use it effectively.</w:t>
      </w:r>
    </w:p>
    <w:p w14:paraId="0010004A" w14:textId="0010004B">
      <w:pPr>
        <w:spacing w:before="40" w:after="160"/>
      </w:pPr>
      <w:r>
        <w:rPr>
          <w:b w:val="0"/>
          <w:i w:val="0"/>
          <w:color w:val="000000"/>
          <w:sz w:val="22"/>
        </w:rPr>
        <w:t>State-level portals such as Jharkhand's e-District, Kerala's KSSM, and Rajasthan's Rajasthan Sampark provide richer state-specific services but are not interoperable. A citizen who moves across states — a common occurrence among migrant workers — loses their entitlement history and must re-register from scratch. The DBT Bharat portal (dbtbharat.gov.in) provides programme-level information but does not offer personalised eligibility guidance.</w:t>
      </w:r>
    </w:p>
    <w:p w14:paraId="0010004C" w14:textId="0010004D">
      <w:pPr>
        <w:spacing w:before="40" w:after="160"/>
      </w:pPr>
      <w:r>
        <w:rPr>
          <w:b w:val="0"/>
          <w:i w:val="0"/>
          <w:color w:val="000000"/>
          <w:sz w:val="22"/>
        </w:rPr>
        <w:t>Academic work on welfare scheme recommendation is sparse in the Indian context. Globally, social services navigation has attracted research attention: Pandey et al. (2021) built a rule-based eligibility checker for US federal benefits using structured eligibility tables, but rule-based systems do not scale to India's heterogeneous, frequently updated scheme landscape. Recommendation system approaches (collaborative filtering, content-based filtering) have been applied to e-government services in Singapore and Estonia, but these assume rich behavioural data — application histories, click-through rates — that India's government portals do not yet expose through open APIs.</w:t>
      </w:r>
    </w:p>
    <w:p w14:paraId="0010004E" w14:textId="0010004F">
      <w:pPr>
        <w:spacing w:before="40" w:after="160"/>
      </w:pPr>
      <w:r>
        <w:rPr>
          <w:b w:val="0"/>
          <w:i w:val="0"/>
          <w:color w:val="000000"/>
          <w:sz w:val="22"/>
        </w:rPr>
        <w:t>In the NLP space, multilingual models for government Q&amp;A have received attention through the IndicNLP initiative and the AI4Bharat project at IIT Madras, which has released IndicBERT and MuRIL — transformer models pre-trained on 12 Indian languages. However, no published work as of 2024 applies these models specifically to the scheme-navigation task with an explicit intent-classification framing.</w:t>
      </w:r>
    </w:p>
    <w:p w14:paraId="00100050" w14:textId="00100051">
      <w:pPr>
        <w:spacing w:before="240" w:after="120"/>
      </w:pPr>
      <w:r>
        <w:rPr>
          <w:b/>
          <w:color w:val="1F4E79"/>
          <w:sz w:val="26"/>
        </w:rPr>
        <w:t>2.2 The Gap</w:t>
      </w:r>
    </w:p>
    <w:p w14:paraId="00100052" w14:textId="00100053">
      <w:pPr>
        <w:spacing w:before="40" w:after="160"/>
      </w:pPr>
      <w:r>
        <w:rPr>
          <w:b w:val="0"/>
          <w:i w:val="0"/>
          <w:color w:val="000000"/>
          <w:sz w:val="22"/>
        </w:rPr>
        <w:t>The review establishes three specific gaps that the existing landscape fails to address:</w:t>
      </w:r>
    </w:p>
    <w:p w14:paraId="00100054" w14:textId="00100055">
      <w:pPr>
        <w:pStyle w:val="ListBullet"/>
        <w:spacing w:after="100"/>
      </w:pPr>
      <w:r>
        <w:rPr>
          <w:sz w:val="22"/>
        </w:rPr>
        <w:t>Profile-driven multi-label recommendation: No existing public tool takes a citizen's full demographic profile and returns a ranked list of all eligible schemes across central and state governments simultaneously.</w:t>
      </w:r>
    </w:p>
    <w:p w14:paraId="00100056" w14:textId="00100057">
      <w:pPr>
        <w:pStyle w:val="ListBullet"/>
        <w:spacing w:after="100"/>
      </w:pPr>
      <w:r>
        <w:rPr>
          <w:sz w:val="22"/>
        </w:rPr>
        <w:t>Multilingual conversational access: Existing portals require English literacy and do not support natural-language queries in Hindi or regional languages. Chatbot implementations (such as the Aarogya Setu bot) are narrow in scope and do not cover the breadth of welfare schemes.</w:t>
      </w:r>
    </w:p>
    <w:p w14:paraId="00100058" w14:textId="00100059">
      <w:pPr>
        <w:pStyle w:val="ListBullet"/>
        <w:spacing w:after="100"/>
      </w:pPr>
      <w:r>
        <w:rPr>
          <w:sz w:val="22"/>
        </w:rPr>
        <w:t>Explainability for non-technical users: Even where eligibility information is available, it is presented in administrative language without translation into plain-language summaries of benefits, required documents, and application steps.</w:t>
      </w:r>
    </w:p>
    <w:p w14:paraId="0010005A" w14:textId="0010005B">
      <w:pPr>
        <w:spacing w:before="240" w:after="120"/>
      </w:pPr>
      <w:r>
        <w:rPr>
          <w:b/>
          <w:color w:val="1F4E79"/>
          <w:sz w:val="26"/>
        </w:rPr>
        <w:t>2.3 How JanMitra Addresses the Gap</w:t>
      </w:r>
    </w:p>
    <w:p w14:paraId="0010005C" w14:textId="0010005D">
      <w:pPr>
        <w:spacing w:before="40" w:after="160"/>
      </w:pPr>
      <w:r>
        <w:rPr>
          <w:b w:val="0"/>
          <w:i w:val="0"/>
          <w:color w:val="000000"/>
          <w:sz w:val="22"/>
        </w:rPr>
        <w:t>JanMitra addresses all three gaps within the scope of an internship project. The recommendation model is profile-driven and multi-label, returning all schemes for which a citizen's demographic profile meets the eligibility criteria — not just the most popular scheme. The multilingual intent classifier handles queries in at least six language tabs, using either an XLM-RoBERTa embedding layer (when computational resources permit) or a TF-IDF character n-gram model with LinearSVC as a lightweight fallback. The Streamlit prototype presents recommendations as plain-language cards with benefit summaries, document checklists, and direct links to official application portals. The project is honest about its limitations — synthetic data, incomplete scheme coverage — and frames its outputs as a proof of concept for a production system that would require real administrative data.</w:t>
      </w:r>
    </w:p>
    <w:p w14:paraId="0010005E" w14:textId="0010005F">
      <w:r>
        <w:br w:type="page"/>
      </w:r>
    </w:p>
    <w:p w14:paraId="00100060" w14:textId="00100061">
      <w:pPr>
        <w:spacing w:before="360" w:after="160"/>
      </w:pPr>
      <w:r>
        <w:rPr>
          <w:b/>
          <w:color w:val="1F4E79"/>
          <w:sz w:val="32"/>
        </w:rPr>
        <w:t>Section 3: Data Description</w:t>
      </w:r>
    </w:p>
    <w:p w14:paraId="00100062" w14:textId="00100063">
      <w:pPr>
        <w:spacing w:before="240" w:after="120"/>
      </w:pPr>
      <w:r>
        <w:rPr>
          <w:b/>
          <w:color w:val="1F4E79"/>
          <w:sz w:val="26"/>
        </w:rPr>
        <w:t>3.1 Data Sources</w:t>
      </w:r>
    </w:p>
    <w:p w14:paraId="00100064" w14:textId="00100065">
      <w:pPr>
        <w:spacing w:before="40" w:after="160"/>
      </w:pPr>
      <w:r>
        <w:rPr>
          <w:b w:val="0"/>
          <w:i w:val="0"/>
          <w:color w:val="000000"/>
          <w:sz w:val="22"/>
        </w:rPr>
        <w:t>Three datasets were used in this project:</w:t>
      </w:r>
    </w:p>
    <w:tbl>
      <w:tblPr>
        <w:tblStyle w:val="TableGrid"/>
        <w:tblW w:w="0" w:type="auto"/>
        <w:tblLook w:val="04A0" w:firstRow="1" w:lastRow="0" w:firstColumn="1" w:lastColumn="0" w:noHBand="0" w:noVBand="1"/>
      </w:tblPr>
      <w:tblGrid>
        <w:gridCol w:w="1728"/>
        <w:gridCol w:w="1728"/>
        <w:gridCol w:w="1728"/>
        <w:gridCol w:w="1728"/>
        <w:gridCol w:w="1728"/>
      </w:tblGrid>
      <w:tr>
        <w:tc>
          <w:tcPr>
            <w:tcW w:w="432" w:type="dxa"/>
          </w:tcPr>
          <w:p w14:paraId="00100066" w14:textId="00100067">
            <w:pPr>
              <w:shd w:val="clear" w:color="auto" w:fill="1F4E79"/>
            </w:pPr>
            <w:r>
              <w:rPr>
                <w:b/>
                <w:color w:val="FFFFFF"/>
                <w:sz w:val="20"/>
              </w:rPr>
              <w:t>#</w:t>
            </w:r>
          </w:p>
        </w:tc>
        <w:tc>
          <w:tcPr>
            <w:tcW w:w="2592" w:type="dxa"/>
          </w:tcPr>
          <w:p w14:paraId="00100068" w14:textId="00100069">
            <w:pPr>
              <w:shd w:val="clear" w:color="auto" w:fill="1F4E79"/>
            </w:pPr>
            <w:r>
              <w:rPr>
                <w:b/>
                <w:color w:val="FFFFFF"/>
                <w:sz w:val="20"/>
              </w:rPr>
              <w:t>Dataset</w:t>
            </w:r>
          </w:p>
        </w:tc>
        <w:tc>
          <w:tcPr>
            <w:tcW w:w="3168" w:type="dxa"/>
          </w:tcPr>
          <w:p w14:paraId="0010006A" w14:textId="0010006B">
            <w:pPr>
              <w:shd w:val="clear" w:color="auto" w:fill="1F4E79"/>
            </w:pPr>
            <w:r>
              <w:rPr>
                <w:b/>
                <w:color w:val="FFFFFF"/>
                <w:sz w:val="20"/>
              </w:rPr>
              <w:t>Source / URL</w:t>
            </w:r>
          </w:p>
        </w:tc>
        <w:tc>
          <w:tcPr>
            <w:tcW w:w="1440" w:type="dxa"/>
          </w:tcPr>
          <w:p w14:paraId="0010006C" w14:textId="0010006D">
            <w:pPr>
              <w:shd w:val="clear" w:color="auto" w:fill="1F4E79"/>
            </w:pPr>
            <w:r>
              <w:rPr>
                <w:b/>
                <w:color w:val="FFFFFF"/>
                <w:sz w:val="20"/>
              </w:rPr>
              <w:t>Records</w:t>
            </w:r>
          </w:p>
        </w:tc>
        <w:tc>
          <w:tcPr>
            <w:tcW w:w="1584" w:type="dxa"/>
          </w:tcPr>
          <w:p w14:paraId="0010006E" w14:textId="0010006F">
            <w:pPr>
              <w:shd w:val="clear" w:color="auto" w:fill="1F4E79"/>
            </w:pPr>
            <w:r>
              <w:rPr>
                <w:b/>
                <w:color w:val="FFFFFF"/>
                <w:sz w:val="20"/>
              </w:rPr>
              <w:t>License</w:t>
            </w:r>
          </w:p>
        </w:tc>
      </w:tr>
      <w:tr>
        <w:tc>
          <w:tcPr>
            <w:tcW w:w="432" w:type="dxa"/>
          </w:tcPr>
          <w:p w14:paraId="00100070" w14:textId="00100071">
            <w:r>
              <w:rPr>
                <w:sz w:val="20"/>
              </w:rPr>
              <w:t>1</w:t>
            </w:r>
          </w:p>
        </w:tc>
        <w:tc>
          <w:tcPr>
            <w:tcW w:w="2592" w:type="dxa"/>
          </w:tcPr>
          <w:p w14:paraId="00100072" w14:textId="00100073">
            <w:r>
              <w:rPr>
                <w:sz w:val="20"/>
              </w:rPr>
              <w:t>Indian Government Schemes</w:t>
              <w:br/>
              <w:t>(indian_government_schemes.csv)</w:t>
            </w:r>
          </w:p>
        </w:tc>
        <w:tc>
          <w:tcPr>
            <w:tcW w:w="3168" w:type="dxa"/>
          </w:tcPr>
          <w:p w14:paraId="00100074" w14:textId="00100075">
            <w:r>
              <w:rPr>
                <w:sz w:val="20"/>
              </w:rPr>
              <w:t>Kaggle / scraped from MyScheme portal</w:t>
              <w:br/>
              <w:t>https://www.kaggle.com/datasets</w:t>
            </w:r>
          </w:p>
        </w:tc>
        <w:tc>
          <w:tcPr>
            <w:tcW w:w="1440" w:type="dxa"/>
          </w:tcPr>
          <w:p w14:paraId="00100076" w14:textId="00100077">
            <w:r>
              <w:rPr>
                <w:sz w:val="20"/>
              </w:rPr>
              <w:t>4,702 schemes</w:t>
            </w:r>
          </w:p>
        </w:tc>
        <w:tc>
          <w:tcPr>
            <w:tcW w:w="1584" w:type="dxa"/>
          </w:tcPr>
          <w:p w14:paraId="00100078" w14:textId="00100079">
            <w:r>
              <w:rPr>
                <w:sz w:val="20"/>
              </w:rPr>
              <w:t>CC BY 4.0 (Public)</w:t>
            </w:r>
          </w:p>
        </w:tc>
      </w:tr>
      <w:tr>
        <w:tc>
          <w:tcPr>
            <w:tcW w:w="432" w:type="dxa"/>
          </w:tcPr>
          <w:p w14:paraId="0010007A" w14:textId="0010007B">
            <w:r>
              <w:rPr>
                <w:sz w:val="20"/>
              </w:rPr>
              <w:t>2</w:t>
            </w:r>
          </w:p>
        </w:tc>
        <w:tc>
          <w:tcPr>
            <w:tcW w:w="2592" w:type="dxa"/>
          </w:tcPr>
          <w:p w14:paraId="0010007C" w14:textId="0010007D">
            <w:r>
              <w:rPr>
                <w:sz w:val="20"/>
              </w:rPr>
              <w:t>Indian Government Scheme Eligibility Dataset</w:t>
              <w:br/>
              <w:t>(Indian_Government_Scheme_Eligibility_Dataset.csv)</w:t>
            </w:r>
          </w:p>
        </w:tc>
        <w:tc>
          <w:tcPr>
            <w:tcW w:w="3168" w:type="dxa"/>
          </w:tcPr>
          <w:p w14:paraId="0010007E" w14:textId="0010007F">
            <w:r>
              <w:rPr>
                <w:sz w:val="20"/>
              </w:rPr>
              <w:t>Kaggle — Synthetic</w:t>
              <w:br/>
              <w:t>https://www.kaggle.com/datasets</w:t>
            </w:r>
          </w:p>
        </w:tc>
        <w:tc>
          <w:tcPr>
            <w:tcW w:w="1440" w:type="dxa"/>
          </w:tcPr>
          <w:p w14:paraId="00100080" w14:textId="00100081">
            <w:r>
              <w:rPr>
                <w:sz w:val="20"/>
              </w:rPr>
              <w:t>50,200 rows</w:t>
            </w:r>
          </w:p>
        </w:tc>
        <w:tc>
          <w:tcPr>
            <w:tcW w:w="1584" w:type="dxa"/>
          </w:tcPr>
          <w:p w14:paraId="00100082" w14:textId="00100083">
            <w:r>
              <w:rPr>
                <w:sz w:val="20"/>
              </w:rPr>
              <w:t>CC BY-SA 4.0 (Synthetic)</w:t>
            </w:r>
          </w:p>
        </w:tc>
      </w:tr>
      <w:tr>
        <w:tc>
          <w:tcPr>
            <w:tcW w:w="432" w:type="dxa"/>
          </w:tcPr>
          <w:p w14:paraId="00100084" w14:textId="00100085">
            <w:r>
              <w:rPr>
                <w:sz w:val="20"/>
              </w:rPr>
              <w:t>3</w:t>
            </w:r>
          </w:p>
        </w:tc>
        <w:tc>
          <w:tcPr>
            <w:tcW w:w="2592" w:type="dxa"/>
          </w:tcPr>
          <w:p w14:paraId="00100086" w14:textId="00100087">
            <w:r>
              <w:rPr>
                <w:sz w:val="20"/>
              </w:rPr>
              <w:t>India Govt Schemes QA</w:t>
              <w:br/>
              <w:t>(adaption-india-govt-schemes-qa)</w:t>
            </w:r>
          </w:p>
        </w:tc>
        <w:tc>
          <w:tcPr>
            <w:tcW w:w="3168" w:type="dxa"/>
          </w:tcPr>
          <w:p w14:paraId="00100088" w14:textId="00100089">
            <w:r>
              <w:rPr>
                <w:sz w:val="20"/>
              </w:rPr>
              <w:t>HuggingFace Hub</w:t>
              <w:br/>
              <w:t>https://huggingface.co/datasets/Aditipatil56/adaption-india-govt-schemes-qa</w:t>
            </w:r>
          </w:p>
        </w:tc>
        <w:tc>
          <w:tcPr>
            <w:tcW w:w="1440" w:type="dxa"/>
          </w:tcPr>
          <w:p w14:paraId="0010008A" w14:textId="0010008B">
            <w:r>
              <w:rPr>
                <w:sz w:val="20"/>
              </w:rPr>
              <w:t>~1,200 Q&amp;A pairs</w:t>
            </w:r>
          </w:p>
        </w:tc>
        <w:tc>
          <w:tcPr>
            <w:tcW w:w="1584" w:type="dxa"/>
          </w:tcPr>
          <w:p w14:paraId="0010008C" w14:textId="0010008D">
            <w:r>
              <w:rPr>
                <w:sz w:val="20"/>
              </w:rPr>
              <w:t>Open (HuggingFace Hub)</w:t>
            </w:r>
          </w:p>
        </w:tc>
      </w:tr>
    </w:tbl>
    <w:p w14:paraId="0010008E" w14:textId="0010008F">
      <w:pPr>
        <w:spacing w:after="160"/>
      </w:pPr>
    </w:p>
    <w:p w14:paraId="00100090" w14:textId="00100091">
      <w:pPr>
        <w:spacing w:before="240" w:after="120"/>
      </w:pPr>
      <w:r>
        <w:rPr>
          <w:b/>
          <w:color w:val="1F4E79"/>
          <w:sz w:val="26"/>
        </w:rPr>
        <w:t>3.2 Data Dictionary</w:t>
      </w:r>
    </w:p>
    <w:p w14:paraId="00100092" w14:textId="00100093">
      <w:pPr>
        <w:spacing w:before="40" w:after="160"/>
      </w:pPr>
      <w:r>
        <w:rPr>
          <w:b w:val="0"/>
          <w:i w:val="0"/>
          <w:color w:val="000000"/>
          <w:sz w:val="22"/>
        </w:rPr>
        <w:t>The table below summarises the key variables used in model development. Missing percentages are approximate and based on the datasets as loaded without imputation.</w:t>
      </w:r>
    </w:p>
    <w:tbl>
      <w:tblPr>
        <w:tblStyle w:val="TableGrid"/>
        <w:tblW w:w="0" w:type="auto"/>
        <w:tblLook w:val="04A0" w:firstRow="1" w:lastRow="0" w:firstColumn="1" w:lastColumn="0" w:noHBand="0" w:noVBand="1"/>
      </w:tblPr>
      <w:tblGrid>
        <w:gridCol w:w="1728"/>
        <w:gridCol w:w="1728"/>
        <w:gridCol w:w="1728"/>
        <w:gridCol w:w="1728"/>
        <w:gridCol w:w="1728"/>
      </w:tblGrid>
      <w:tr>
        <w:tc>
          <w:tcPr>
            <w:tcW w:w="2016" w:type="dxa"/>
          </w:tcPr>
          <w:p w14:paraId="00100094" w14:textId="00100095">
            <w:pPr>
              <w:shd w:val="clear" w:color="auto" w:fill="1F4E79"/>
            </w:pPr>
            <w:r>
              <w:rPr>
                <w:b/>
                <w:color w:val="FFFFFF"/>
                <w:sz w:val="20"/>
              </w:rPr>
              <w:t>Variable</w:t>
            </w:r>
          </w:p>
        </w:tc>
        <w:tc>
          <w:tcPr>
            <w:tcW w:w="1296" w:type="dxa"/>
          </w:tcPr>
          <w:p w14:paraId="00100096" w14:textId="00100097">
            <w:pPr>
              <w:shd w:val="clear" w:color="auto" w:fill="1F4E79"/>
            </w:pPr>
            <w:r>
              <w:rPr>
                <w:b/>
                <w:color w:val="FFFFFF"/>
                <w:sz w:val="20"/>
              </w:rPr>
              <w:t>Type</w:t>
            </w:r>
          </w:p>
        </w:tc>
        <w:tc>
          <w:tcPr>
            <w:tcW w:w="1008" w:type="dxa"/>
          </w:tcPr>
          <w:p w14:paraId="00100098" w14:textId="00100099">
            <w:pPr>
              <w:shd w:val="clear" w:color="auto" w:fill="1F4E79"/>
            </w:pPr>
            <w:r>
              <w:rPr>
                <w:b/>
                <w:color w:val="FFFFFF"/>
                <w:sz w:val="20"/>
              </w:rPr>
              <w:t>Dataset</w:t>
            </w:r>
          </w:p>
        </w:tc>
        <w:tc>
          <w:tcPr>
            <w:tcW w:w="3168" w:type="dxa"/>
          </w:tcPr>
          <w:p w14:paraId="0010009A" w14:textId="0010009B">
            <w:pPr>
              <w:shd w:val="clear" w:color="auto" w:fill="1F4E79"/>
            </w:pPr>
            <w:r>
              <w:rPr>
                <w:b/>
                <w:color w:val="FFFFFF"/>
                <w:sz w:val="20"/>
              </w:rPr>
              <w:t>Description</w:t>
            </w:r>
          </w:p>
        </w:tc>
        <w:tc>
          <w:tcPr>
            <w:tcW w:w="1296" w:type="dxa"/>
          </w:tcPr>
          <w:p w14:paraId="0010009C" w14:textId="0010009D">
            <w:pPr>
              <w:shd w:val="clear" w:color="auto" w:fill="1F4E79"/>
            </w:pPr>
            <w:r>
              <w:rPr>
                <w:b/>
                <w:color w:val="FFFFFF"/>
                <w:sz w:val="20"/>
              </w:rPr>
              <w:t>Missing %</w:t>
            </w:r>
          </w:p>
        </w:tc>
      </w:tr>
      <w:tr>
        <w:tc>
          <w:tcPr>
            <w:tcW w:w="2016" w:type="dxa"/>
          </w:tcPr>
          <w:p w14:paraId="0010009E" w14:textId="0010009F">
            <w:r>
              <w:rPr>
                <w:sz w:val="20"/>
              </w:rPr>
              <w:t>scheme_name</w:t>
            </w:r>
          </w:p>
        </w:tc>
        <w:tc>
          <w:tcPr>
            <w:tcW w:w="1296" w:type="dxa"/>
          </w:tcPr>
          <w:p w14:paraId="001000A0" w14:textId="001000A1">
            <w:r>
              <w:rPr>
                <w:sz w:val="20"/>
              </w:rPr>
              <w:t>String</w:t>
            </w:r>
          </w:p>
        </w:tc>
        <w:tc>
          <w:tcPr>
            <w:tcW w:w="1008" w:type="dxa"/>
          </w:tcPr>
          <w:p w14:paraId="001000A2" w14:textId="001000A3">
            <w:r>
              <w:rPr>
                <w:sz w:val="20"/>
              </w:rPr>
              <w:t>1</w:t>
            </w:r>
          </w:p>
        </w:tc>
        <w:tc>
          <w:tcPr>
            <w:tcW w:w="3168" w:type="dxa"/>
          </w:tcPr>
          <w:p w14:paraId="001000A4" w14:textId="001000A5">
            <w:r>
              <w:rPr>
                <w:sz w:val="20"/>
              </w:rPr>
              <w:t>Official name of the government scheme</w:t>
            </w:r>
          </w:p>
        </w:tc>
        <w:tc>
          <w:tcPr>
            <w:tcW w:w="1296" w:type="dxa"/>
          </w:tcPr>
          <w:p w14:paraId="001000A6" w14:textId="001000A7">
            <w:r>
              <w:rPr>
                <w:sz w:val="20"/>
              </w:rPr>
              <w:t>0%</w:t>
            </w:r>
          </w:p>
        </w:tc>
      </w:tr>
      <w:tr>
        <w:tc>
          <w:tcPr>
            <w:tcW w:w="2016" w:type="dxa"/>
          </w:tcPr>
          <w:p w14:paraId="001000A8" w14:textId="001000A9">
            <w:r>
              <w:rPr>
                <w:sz w:val="20"/>
              </w:rPr>
              <w:t>ministry</w:t>
            </w:r>
          </w:p>
        </w:tc>
        <w:tc>
          <w:tcPr>
            <w:tcW w:w="1296" w:type="dxa"/>
          </w:tcPr>
          <w:p w14:paraId="001000AA" w14:textId="001000AB">
            <w:r>
              <w:rPr>
                <w:sz w:val="20"/>
              </w:rPr>
              <w:t>Categorical</w:t>
            </w:r>
          </w:p>
        </w:tc>
        <w:tc>
          <w:tcPr>
            <w:tcW w:w="1008" w:type="dxa"/>
          </w:tcPr>
          <w:p w14:paraId="001000AC" w14:textId="001000AD">
            <w:r>
              <w:rPr>
                <w:sz w:val="20"/>
              </w:rPr>
              <w:t>1</w:t>
            </w:r>
          </w:p>
        </w:tc>
        <w:tc>
          <w:tcPr>
            <w:tcW w:w="3168" w:type="dxa"/>
          </w:tcPr>
          <w:p w14:paraId="001000AE" w14:textId="001000AF">
            <w:r>
              <w:rPr>
                <w:sz w:val="20"/>
              </w:rPr>
              <w:t>Administering central ministry or department</w:t>
            </w:r>
          </w:p>
        </w:tc>
        <w:tc>
          <w:tcPr>
            <w:tcW w:w="1296" w:type="dxa"/>
          </w:tcPr>
          <w:p w14:paraId="001000B0" w14:textId="001000B1">
            <w:r>
              <w:rPr>
                <w:sz w:val="20"/>
              </w:rPr>
              <w:t>4.2%</w:t>
            </w:r>
          </w:p>
        </w:tc>
      </w:tr>
      <w:tr>
        <w:tc>
          <w:tcPr>
            <w:tcW w:w="2016" w:type="dxa"/>
          </w:tcPr>
          <w:p w14:paraId="001000B2" w14:textId="001000B3">
            <w:r>
              <w:rPr>
                <w:sz w:val="20"/>
              </w:rPr>
              <w:t>category</w:t>
            </w:r>
          </w:p>
        </w:tc>
        <w:tc>
          <w:tcPr>
            <w:tcW w:w="1296" w:type="dxa"/>
          </w:tcPr>
          <w:p w14:paraId="001000B4" w14:textId="001000B5">
            <w:r>
              <w:rPr>
                <w:sz w:val="20"/>
              </w:rPr>
              <w:t>Categorical</w:t>
            </w:r>
          </w:p>
        </w:tc>
        <w:tc>
          <w:tcPr>
            <w:tcW w:w="1008" w:type="dxa"/>
          </w:tcPr>
          <w:p w14:paraId="001000B6" w14:textId="001000B7">
            <w:r>
              <w:rPr>
                <w:sz w:val="20"/>
              </w:rPr>
              <w:t>1</w:t>
            </w:r>
          </w:p>
        </w:tc>
        <w:tc>
          <w:tcPr>
            <w:tcW w:w="3168" w:type="dxa"/>
          </w:tcPr>
          <w:p w14:paraId="001000B8" w14:textId="001000B9">
            <w:r>
              <w:rPr>
                <w:sz w:val="20"/>
              </w:rPr>
              <w:t>Sector / thematic category (e.g. Agriculture, Health)</w:t>
            </w:r>
          </w:p>
        </w:tc>
        <w:tc>
          <w:tcPr>
            <w:tcW w:w="1296" w:type="dxa"/>
          </w:tcPr>
          <w:p w14:paraId="001000BA" w14:textId="001000BB">
            <w:r>
              <w:rPr>
                <w:sz w:val="20"/>
              </w:rPr>
              <w:t>6.1%</w:t>
            </w:r>
          </w:p>
        </w:tc>
      </w:tr>
      <w:tr>
        <w:tc>
          <w:tcPr>
            <w:tcW w:w="2016" w:type="dxa"/>
          </w:tcPr>
          <w:p w14:paraId="001000BC" w14:textId="001000BD">
            <w:r>
              <w:rPr>
                <w:sz w:val="20"/>
              </w:rPr>
              <w:t>eligibility_criteria</w:t>
            </w:r>
          </w:p>
        </w:tc>
        <w:tc>
          <w:tcPr>
            <w:tcW w:w="1296" w:type="dxa"/>
          </w:tcPr>
          <w:p w14:paraId="001000BE" w14:textId="001000BF">
            <w:r>
              <w:rPr>
                <w:sz w:val="20"/>
              </w:rPr>
              <w:t>String</w:t>
            </w:r>
          </w:p>
        </w:tc>
        <w:tc>
          <w:tcPr>
            <w:tcW w:w="1008" w:type="dxa"/>
          </w:tcPr>
          <w:p w14:paraId="001000C0" w14:textId="001000C1">
            <w:r>
              <w:rPr>
                <w:sz w:val="20"/>
              </w:rPr>
              <w:t>1</w:t>
            </w:r>
          </w:p>
        </w:tc>
        <w:tc>
          <w:tcPr>
            <w:tcW w:w="3168" w:type="dxa"/>
          </w:tcPr>
          <w:p w14:paraId="001000C2" w14:textId="001000C3">
            <w:r>
              <w:rPr>
                <w:sz w:val="20"/>
              </w:rPr>
              <w:t>Free-text description of eligibility conditions</w:t>
            </w:r>
          </w:p>
        </w:tc>
        <w:tc>
          <w:tcPr>
            <w:tcW w:w="1296" w:type="dxa"/>
          </w:tcPr>
          <w:p w14:paraId="001000C4" w14:textId="001000C5">
            <w:r>
              <w:rPr>
                <w:sz w:val="20"/>
              </w:rPr>
              <w:t>11.3%</w:t>
            </w:r>
          </w:p>
        </w:tc>
      </w:tr>
      <w:tr>
        <w:tc>
          <w:tcPr>
            <w:tcW w:w="2016" w:type="dxa"/>
          </w:tcPr>
          <w:p w14:paraId="001000C6" w14:textId="001000C7">
            <w:r>
              <w:rPr>
                <w:sz w:val="20"/>
              </w:rPr>
              <w:t>benefits</w:t>
            </w:r>
          </w:p>
        </w:tc>
        <w:tc>
          <w:tcPr>
            <w:tcW w:w="1296" w:type="dxa"/>
          </w:tcPr>
          <w:p w14:paraId="001000C8" w14:textId="001000C9">
            <w:r>
              <w:rPr>
                <w:sz w:val="20"/>
              </w:rPr>
              <w:t>String</w:t>
            </w:r>
          </w:p>
        </w:tc>
        <w:tc>
          <w:tcPr>
            <w:tcW w:w="1008" w:type="dxa"/>
          </w:tcPr>
          <w:p w14:paraId="001000CA" w14:textId="001000CB">
            <w:r>
              <w:rPr>
                <w:sz w:val="20"/>
              </w:rPr>
              <w:t>1</w:t>
            </w:r>
          </w:p>
        </w:tc>
        <w:tc>
          <w:tcPr>
            <w:tcW w:w="3168" w:type="dxa"/>
          </w:tcPr>
          <w:p w14:paraId="001000CC" w14:textId="001000CD">
            <w:r>
              <w:rPr>
                <w:sz w:val="20"/>
              </w:rPr>
              <w:t>Description of scheme benefits and quantum</w:t>
            </w:r>
          </w:p>
        </w:tc>
        <w:tc>
          <w:tcPr>
            <w:tcW w:w="1296" w:type="dxa"/>
          </w:tcPr>
          <w:p w14:paraId="001000CE" w14:textId="001000CF">
            <w:r>
              <w:rPr>
                <w:sz w:val="20"/>
              </w:rPr>
              <w:t>9.8%</w:t>
            </w:r>
          </w:p>
        </w:tc>
      </w:tr>
      <w:tr>
        <w:tc>
          <w:tcPr>
            <w:tcW w:w="2016" w:type="dxa"/>
          </w:tcPr>
          <w:p w14:paraId="001000D0" w14:textId="001000D1">
            <w:r>
              <w:rPr>
                <w:sz w:val="20"/>
              </w:rPr>
              <w:t>apply_link</w:t>
            </w:r>
          </w:p>
        </w:tc>
        <w:tc>
          <w:tcPr>
            <w:tcW w:w="1296" w:type="dxa"/>
          </w:tcPr>
          <w:p w14:paraId="001000D2" w14:textId="001000D3">
            <w:r>
              <w:rPr>
                <w:sz w:val="20"/>
              </w:rPr>
              <w:t>String</w:t>
            </w:r>
          </w:p>
        </w:tc>
        <w:tc>
          <w:tcPr>
            <w:tcW w:w="1008" w:type="dxa"/>
          </w:tcPr>
          <w:p w14:paraId="001000D4" w14:textId="001000D5">
            <w:r>
              <w:rPr>
                <w:sz w:val="20"/>
              </w:rPr>
              <w:t>1</w:t>
            </w:r>
          </w:p>
        </w:tc>
        <w:tc>
          <w:tcPr>
            <w:tcW w:w="3168" w:type="dxa"/>
          </w:tcPr>
          <w:p w14:paraId="001000D6" w14:textId="001000D7">
            <w:r>
              <w:rPr>
                <w:sz w:val="20"/>
              </w:rPr>
              <w:t>URL to official application portal</w:t>
            </w:r>
          </w:p>
        </w:tc>
        <w:tc>
          <w:tcPr>
            <w:tcW w:w="1296" w:type="dxa"/>
          </w:tcPr>
          <w:p w14:paraId="001000D8" w14:textId="001000D9">
            <w:r>
              <w:rPr>
                <w:sz w:val="20"/>
              </w:rPr>
              <w:t>14.7%</w:t>
            </w:r>
          </w:p>
        </w:tc>
      </w:tr>
      <w:tr>
        <w:tc>
          <w:tcPr>
            <w:tcW w:w="2016" w:type="dxa"/>
          </w:tcPr>
          <w:p w14:paraId="001000DA" w14:textId="001000DB">
            <w:r>
              <w:rPr>
                <w:sz w:val="20"/>
              </w:rPr>
              <w:t>age</w:t>
            </w:r>
          </w:p>
        </w:tc>
        <w:tc>
          <w:tcPr>
            <w:tcW w:w="1296" w:type="dxa"/>
          </w:tcPr>
          <w:p w14:paraId="001000DC" w14:textId="001000DD">
            <w:r>
              <w:rPr>
                <w:sz w:val="20"/>
              </w:rPr>
              <w:t>Integer</w:t>
            </w:r>
          </w:p>
        </w:tc>
        <w:tc>
          <w:tcPr>
            <w:tcW w:w="1008" w:type="dxa"/>
          </w:tcPr>
          <w:p w14:paraId="001000DE" w14:textId="001000DF">
            <w:r>
              <w:rPr>
                <w:sz w:val="20"/>
              </w:rPr>
              <w:t>2</w:t>
            </w:r>
          </w:p>
        </w:tc>
        <w:tc>
          <w:tcPr>
            <w:tcW w:w="3168" w:type="dxa"/>
          </w:tcPr>
          <w:p w14:paraId="001000E0" w14:textId="001000E1">
            <w:r>
              <w:rPr>
                <w:sz w:val="20"/>
              </w:rPr>
              <w:t>Age of the citizen in years</w:t>
            </w:r>
          </w:p>
        </w:tc>
        <w:tc>
          <w:tcPr>
            <w:tcW w:w="1296" w:type="dxa"/>
          </w:tcPr>
          <w:p w14:paraId="001000E2" w14:textId="001000E3">
            <w:r>
              <w:rPr>
                <w:sz w:val="20"/>
              </w:rPr>
              <w:t>0.3%</w:t>
            </w:r>
          </w:p>
        </w:tc>
      </w:tr>
      <w:tr>
        <w:tc>
          <w:tcPr>
            <w:tcW w:w="2016" w:type="dxa"/>
          </w:tcPr>
          <w:p w14:paraId="001000E4" w14:textId="001000E5">
            <w:r>
              <w:rPr>
                <w:sz w:val="20"/>
              </w:rPr>
              <w:t>gender</w:t>
            </w:r>
          </w:p>
        </w:tc>
        <w:tc>
          <w:tcPr>
            <w:tcW w:w="1296" w:type="dxa"/>
          </w:tcPr>
          <w:p w14:paraId="001000E6" w14:textId="001000E7">
            <w:r>
              <w:rPr>
                <w:sz w:val="20"/>
              </w:rPr>
              <w:t>Categorical</w:t>
            </w:r>
          </w:p>
        </w:tc>
        <w:tc>
          <w:tcPr>
            <w:tcW w:w="1008" w:type="dxa"/>
          </w:tcPr>
          <w:p w14:paraId="001000E8" w14:textId="001000E9">
            <w:r>
              <w:rPr>
                <w:sz w:val="20"/>
              </w:rPr>
              <w:t>2</w:t>
            </w:r>
          </w:p>
        </w:tc>
        <w:tc>
          <w:tcPr>
            <w:tcW w:w="3168" w:type="dxa"/>
          </w:tcPr>
          <w:p w14:paraId="001000EA" w14:textId="001000EB">
            <w:r>
              <w:rPr>
                <w:sz w:val="20"/>
              </w:rPr>
              <w:t>Gender (Male / Female / Other)</w:t>
            </w:r>
          </w:p>
        </w:tc>
        <w:tc>
          <w:tcPr>
            <w:tcW w:w="1296" w:type="dxa"/>
          </w:tcPr>
          <w:p w14:paraId="001000EC" w14:textId="001000ED">
            <w:r>
              <w:rPr>
                <w:sz w:val="20"/>
              </w:rPr>
              <w:t>0.1%</w:t>
            </w:r>
          </w:p>
        </w:tc>
      </w:tr>
      <w:tr>
        <w:tc>
          <w:tcPr>
            <w:tcW w:w="2016" w:type="dxa"/>
          </w:tcPr>
          <w:p w14:paraId="001000EE" w14:textId="001000EF">
            <w:r>
              <w:rPr>
                <w:sz w:val="20"/>
              </w:rPr>
              <w:t>annual_income</w:t>
            </w:r>
          </w:p>
        </w:tc>
        <w:tc>
          <w:tcPr>
            <w:tcW w:w="1296" w:type="dxa"/>
          </w:tcPr>
          <w:p w14:paraId="001000F0" w14:textId="001000F1">
            <w:r>
              <w:rPr>
                <w:sz w:val="20"/>
              </w:rPr>
              <w:t>Float</w:t>
            </w:r>
          </w:p>
        </w:tc>
        <w:tc>
          <w:tcPr>
            <w:tcW w:w="1008" w:type="dxa"/>
          </w:tcPr>
          <w:p w14:paraId="001000F2" w14:textId="001000F3">
            <w:r>
              <w:rPr>
                <w:sz w:val="20"/>
              </w:rPr>
              <w:t>2</w:t>
            </w:r>
          </w:p>
        </w:tc>
        <w:tc>
          <w:tcPr>
            <w:tcW w:w="3168" w:type="dxa"/>
          </w:tcPr>
          <w:p w14:paraId="001000F4" w14:textId="001000F5">
            <w:r>
              <w:rPr>
                <w:sz w:val="20"/>
              </w:rPr>
              <w:t>Annual household income in INR</w:t>
            </w:r>
          </w:p>
        </w:tc>
        <w:tc>
          <w:tcPr>
            <w:tcW w:w="1296" w:type="dxa"/>
          </w:tcPr>
          <w:p w14:paraId="001000F6" w14:textId="001000F7">
            <w:r>
              <w:rPr>
                <w:sz w:val="20"/>
              </w:rPr>
              <w:t>0.8%</w:t>
            </w:r>
          </w:p>
        </w:tc>
      </w:tr>
      <w:tr>
        <w:tc>
          <w:tcPr>
            <w:tcW w:w="2016" w:type="dxa"/>
          </w:tcPr>
          <w:p w14:paraId="001000F8" w14:textId="001000F9">
            <w:r>
              <w:rPr>
                <w:sz w:val="20"/>
              </w:rPr>
              <w:t>occupation</w:t>
            </w:r>
          </w:p>
        </w:tc>
        <w:tc>
          <w:tcPr>
            <w:tcW w:w="1296" w:type="dxa"/>
          </w:tcPr>
          <w:p w14:paraId="001000FA" w14:textId="001000FB">
            <w:r>
              <w:rPr>
                <w:sz w:val="20"/>
              </w:rPr>
              <w:t>Categorical</w:t>
            </w:r>
          </w:p>
        </w:tc>
        <w:tc>
          <w:tcPr>
            <w:tcW w:w="1008" w:type="dxa"/>
          </w:tcPr>
          <w:p w14:paraId="001000FC" w14:textId="001000FD">
            <w:r>
              <w:rPr>
                <w:sz w:val="20"/>
              </w:rPr>
              <w:t>2</w:t>
            </w:r>
          </w:p>
        </w:tc>
        <w:tc>
          <w:tcPr>
            <w:tcW w:w="3168" w:type="dxa"/>
          </w:tcPr>
          <w:p w14:paraId="001000FE" w14:textId="001000FF">
            <w:r>
              <w:rPr>
                <w:sz w:val="20"/>
              </w:rPr>
              <w:t>Citizen's primary occupation</w:t>
            </w:r>
          </w:p>
        </w:tc>
        <w:tc>
          <w:tcPr>
            <w:tcW w:w="1296" w:type="dxa"/>
          </w:tcPr>
          <w:p w14:paraId="00100100" w14:textId="00100101">
            <w:r>
              <w:rPr>
                <w:sz w:val="20"/>
              </w:rPr>
              <w:t>1.2%</w:t>
            </w:r>
          </w:p>
        </w:tc>
      </w:tr>
      <w:tr>
        <w:tc>
          <w:tcPr>
            <w:tcW w:w="2016" w:type="dxa"/>
          </w:tcPr>
          <w:p w14:paraId="00100102" w14:textId="00100103">
            <w:r>
              <w:rPr>
                <w:sz w:val="20"/>
              </w:rPr>
              <w:t>state</w:t>
            </w:r>
          </w:p>
        </w:tc>
        <w:tc>
          <w:tcPr>
            <w:tcW w:w="1296" w:type="dxa"/>
          </w:tcPr>
          <w:p w14:paraId="00100104" w14:textId="00100105">
            <w:r>
              <w:rPr>
                <w:sz w:val="20"/>
              </w:rPr>
              <w:t>Categorical</w:t>
            </w:r>
          </w:p>
        </w:tc>
        <w:tc>
          <w:tcPr>
            <w:tcW w:w="1008" w:type="dxa"/>
          </w:tcPr>
          <w:p w14:paraId="00100106" w14:textId="00100107">
            <w:r>
              <w:rPr>
                <w:sz w:val="20"/>
              </w:rPr>
              <w:t>2</w:t>
            </w:r>
          </w:p>
        </w:tc>
        <w:tc>
          <w:tcPr>
            <w:tcW w:w="3168" w:type="dxa"/>
          </w:tcPr>
          <w:p w14:paraId="00100108" w14:textId="00100109">
            <w:r>
              <w:rPr>
                <w:sz w:val="20"/>
              </w:rPr>
              <w:t>State or Union Territory of residence</w:t>
            </w:r>
          </w:p>
        </w:tc>
        <w:tc>
          <w:tcPr>
            <w:tcW w:w="1296" w:type="dxa"/>
          </w:tcPr>
          <w:p w14:paraId="0010010A" w14:textId="0010010B">
            <w:r>
              <w:rPr>
                <w:sz w:val="20"/>
              </w:rPr>
              <w:t>0.2%</w:t>
            </w:r>
          </w:p>
        </w:tc>
      </w:tr>
      <w:tr>
        <w:tc>
          <w:tcPr>
            <w:tcW w:w="2016" w:type="dxa"/>
          </w:tcPr>
          <w:p w14:paraId="0010010C" w14:textId="0010010D">
            <w:r>
              <w:rPr>
                <w:sz w:val="20"/>
              </w:rPr>
              <w:t>social_category</w:t>
            </w:r>
          </w:p>
        </w:tc>
        <w:tc>
          <w:tcPr>
            <w:tcW w:w="1296" w:type="dxa"/>
          </w:tcPr>
          <w:p w14:paraId="0010010E" w14:textId="0010010F">
            <w:r>
              <w:rPr>
                <w:sz w:val="20"/>
              </w:rPr>
              <w:t>Categorical</w:t>
            </w:r>
          </w:p>
        </w:tc>
        <w:tc>
          <w:tcPr>
            <w:tcW w:w="1008" w:type="dxa"/>
          </w:tcPr>
          <w:p w14:paraId="00100110" w14:textId="00100111">
            <w:r>
              <w:rPr>
                <w:sz w:val="20"/>
              </w:rPr>
              <w:t>2</w:t>
            </w:r>
          </w:p>
        </w:tc>
        <w:tc>
          <w:tcPr>
            <w:tcW w:w="3168" w:type="dxa"/>
          </w:tcPr>
          <w:p w14:paraId="00100112" w14:textId="00100113">
            <w:r>
              <w:rPr>
                <w:sz w:val="20"/>
              </w:rPr>
              <w:t>Social category: General / OBC / SC / ST / EWS</w:t>
            </w:r>
          </w:p>
        </w:tc>
        <w:tc>
          <w:tcPr>
            <w:tcW w:w="1296" w:type="dxa"/>
          </w:tcPr>
          <w:p w14:paraId="00100114" w14:textId="00100115">
            <w:r>
              <w:rPr>
                <w:sz w:val="20"/>
              </w:rPr>
              <w:t>0.4%</w:t>
            </w:r>
          </w:p>
        </w:tc>
      </w:tr>
      <w:tr>
        <w:tc>
          <w:tcPr>
            <w:tcW w:w="2016" w:type="dxa"/>
          </w:tcPr>
          <w:p w14:paraId="00100116" w14:textId="00100117">
            <w:r>
              <w:rPr>
                <w:sz w:val="20"/>
              </w:rPr>
              <w:t>disability_status</w:t>
            </w:r>
          </w:p>
        </w:tc>
        <w:tc>
          <w:tcPr>
            <w:tcW w:w="1296" w:type="dxa"/>
          </w:tcPr>
          <w:p w14:paraId="00100118" w14:textId="00100119">
            <w:r>
              <w:rPr>
                <w:sz w:val="20"/>
              </w:rPr>
              <w:t>Boolean</w:t>
            </w:r>
          </w:p>
        </w:tc>
        <w:tc>
          <w:tcPr>
            <w:tcW w:w="1008" w:type="dxa"/>
          </w:tcPr>
          <w:p w14:paraId="0010011A" w14:textId="0010011B">
            <w:r>
              <w:rPr>
                <w:sz w:val="20"/>
              </w:rPr>
              <w:t>2</w:t>
            </w:r>
          </w:p>
        </w:tc>
        <w:tc>
          <w:tcPr>
            <w:tcW w:w="3168" w:type="dxa"/>
          </w:tcPr>
          <w:p w14:paraId="0010011C" w14:textId="0010011D">
            <w:r>
              <w:rPr>
                <w:sz w:val="20"/>
              </w:rPr>
              <w:t>Whether citizen has a declared disability</w:t>
            </w:r>
          </w:p>
        </w:tc>
        <w:tc>
          <w:tcPr>
            <w:tcW w:w="1296" w:type="dxa"/>
          </w:tcPr>
          <w:p w14:paraId="0010011E" w14:textId="0010011F">
            <w:r>
              <w:rPr>
                <w:sz w:val="20"/>
              </w:rPr>
              <w:t>0.1%</w:t>
            </w:r>
          </w:p>
        </w:tc>
      </w:tr>
      <w:tr>
        <w:tc>
          <w:tcPr>
            <w:tcW w:w="2016" w:type="dxa"/>
          </w:tcPr>
          <w:p w14:paraId="00100120" w14:textId="00100121">
            <w:r>
              <w:rPr>
                <w:sz w:val="20"/>
              </w:rPr>
              <w:t>eligible_scheme</w:t>
            </w:r>
          </w:p>
        </w:tc>
        <w:tc>
          <w:tcPr>
            <w:tcW w:w="1296" w:type="dxa"/>
          </w:tcPr>
          <w:p w14:paraId="00100122" w14:textId="00100123">
            <w:r>
              <w:rPr>
                <w:sz w:val="20"/>
              </w:rPr>
              <w:t>String</w:t>
            </w:r>
          </w:p>
        </w:tc>
        <w:tc>
          <w:tcPr>
            <w:tcW w:w="1008" w:type="dxa"/>
          </w:tcPr>
          <w:p w14:paraId="00100124" w14:textId="00100125">
            <w:r>
              <w:rPr>
                <w:sz w:val="20"/>
              </w:rPr>
              <w:t>2</w:t>
            </w:r>
          </w:p>
        </w:tc>
        <w:tc>
          <w:tcPr>
            <w:tcW w:w="3168" w:type="dxa"/>
          </w:tcPr>
          <w:p w14:paraId="00100126" w14:textId="00100127">
            <w:r>
              <w:rPr>
                <w:sz w:val="20"/>
              </w:rPr>
              <w:t>Name(s) of the scheme(s) the citizen is eligible for (label)</w:t>
            </w:r>
          </w:p>
        </w:tc>
        <w:tc>
          <w:tcPr>
            <w:tcW w:w="1296" w:type="dxa"/>
          </w:tcPr>
          <w:p w14:paraId="00100128" w14:textId="00100129">
            <w:r>
              <w:rPr>
                <w:sz w:val="20"/>
              </w:rPr>
              <w:t>0%</w:t>
            </w:r>
          </w:p>
        </w:tc>
      </w:tr>
      <w:tr>
        <w:tc>
          <w:tcPr>
            <w:tcW w:w="2016" w:type="dxa"/>
          </w:tcPr>
          <w:p w14:paraId="0010012A" w14:textId="0010012B">
            <w:r>
              <w:rPr>
                <w:sz w:val="20"/>
              </w:rPr>
              <w:t>question</w:t>
            </w:r>
          </w:p>
        </w:tc>
        <w:tc>
          <w:tcPr>
            <w:tcW w:w="1296" w:type="dxa"/>
          </w:tcPr>
          <w:p w14:paraId="0010012C" w14:textId="0010012D">
            <w:r>
              <w:rPr>
                <w:sz w:val="20"/>
              </w:rPr>
              <w:t>String</w:t>
            </w:r>
          </w:p>
        </w:tc>
        <w:tc>
          <w:tcPr>
            <w:tcW w:w="1008" w:type="dxa"/>
          </w:tcPr>
          <w:p w14:paraId="0010012E" w14:textId="0010012F">
            <w:r>
              <w:rPr>
                <w:sz w:val="20"/>
              </w:rPr>
              <w:t>3</w:t>
            </w:r>
          </w:p>
        </w:tc>
        <w:tc>
          <w:tcPr>
            <w:tcW w:w="3168" w:type="dxa"/>
          </w:tcPr>
          <w:p w14:paraId="00100130" w14:textId="00100131">
            <w:r>
              <w:rPr>
                <w:sz w:val="20"/>
              </w:rPr>
              <w:t>Citizen's natural-language question about a scheme</w:t>
            </w:r>
          </w:p>
        </w:tc>
        <w:tc>
          <w:tcPr>
            <w:tcW w:w="1296" w:type="dxa"/>
          </w:tcPr>
          <w:p w14:paraId="00100132" w14:textId="00100133">
            <w:r>
              <w:rPr>
                <w:sz w:val="20"/>
              </w:rPr>
              <w:t>0%</w:t>
            </w:r>
          </w:p>
        </w:tc>
      </w:tr>
      <w:tr>
        <w:tc>
          <w:tcPr>
            <w:tcW w:w="2016" w:type="dxa"/>
          </w:tcPr>
          <w:p w14:paraId="00100134" w14:textId="00100135">
            <w:r>
              <w:rPr>
                <w:sz w:val="20"/>
              </w:rPr>
              <w:t>answer</w:t>
            </w:r>
          </w:p>
        </w:tc>
        <w:tc>
          <w:tcPr>
            <w:tcW w:w="1296" w:type="dxa"/>
          </w:tcPr>
          <w:p w14:paraId="00100136" w14:textId="00100137">
            <w:r>
              <w:rPr>
                <w:sz w:val="20"/>
              </w:rPr>
              <w:t>String</w:t>
            </w:r>
          </w:p>
        </w:tc>
        <w:tc>
          <w:tcPr>
            <w:tcW w:w="1008" w:type="dxa"/>
          </w:tcPr>
          <w:p w14:paraId="00100138" w14:textId="00100139">
            <w:r>
              <w:rPr>
                <w:sz w:val="20"/>
              </w:rPr>
              <w:t>3</w:t>
            </w:r>
          </w:p>
        </w:tc>
        <w:tc>
          <w:tcPr>
            <w:tcW w:w="3168" w:type="dxa"/>
          </w:tcPr>
          <w:p w14:paraId="0010013A" w14:textId="0010013B">
            <w:r>
              <w:rPr>
                <w:sz w:val="20"/>
              </w:rPr>
              <w:t>Reference answer to the question</w:t>
            </w:r>
          </w:p>
        </w:tc>
        <w:tc>
          <w:tcPr>
            <w:tcW w:w="1296" w:type="dxa"/>
          </w:tcPr>
          <w:p w14:paraId="0010013C" w14:textId="0010013D">
            <w:r>
              <w:rPr>
                <w:sz w:val="20"/>
              </w:rPr>
              <w:t>1.8%</w:t>
            </w:r>
          </w:p>
        </w:tc>
      </w:tr>
      <w:tr>
        <w:tc>
          <w:tcPr>
            <w:tcW w:w="2016" w:type="dxa"/>
          </w:tcPr>
          <w:p w14:paraId="0010013E" w14:textId="0010013F">
            <w:r>
              <w:rPr>
                <w:sz w:val="20"/>
              </w:rPr>
              <w:t>intent</w:t>
            </w:r>
          </w:p>
        </w:tc>
        <w:tc>
          <w:tcPr>
            <w:tcW w:w="1296" w:type="dxa"/>
          </w:tcPr>
          <w:p w14:paraId="00100140" w14:textId="00100141">
            <w:r>
              <w:rPr>
                <w:sz w:val="20"/>
              </w:rPr>
              <w:t>Categorical</w:t>
            </w:r>
          </w:p>
        </w:tc>
        <w:tc>
          <w:tcPr>
            <w:tcW w:w="1008" w:type="dxa"/>
          </w:tcPr>
          <w:p w14:paraId="00100142" w14:textId="00100143">
            <w:r>
              <w:rPr>
                <w:sz w:val="20"/>
              </w:rPr>
              <w:t>3</w:t>
            </w:r>
          </w:p>
        </w:tc>
        <w:tc>
          <w:tcPr>
            <w:tcW w:w="3168" w:type="dxa"/>
          </w:tcPr>
          <w:p w14:paraId="00100144" w14:textId="00100145">
            <w:r>
              <w:rPr>
                <w:sz w:val="20"/>
              </w:rPr>
              <w:t>Query intent class (e.g. eligibility_query)</w:t>
            </w:r>
          </w:p>
        </w:tc>
        <w:tc>
          <w:tcPr>
            <w:tcW w:w="1296" w:type="dxa"/>
          </w:tcPr>
          <w:p w14:paraId="00100146" w14:textId="00100147">
            <w:r>
              <w:rPr>
                <w:sz w:val="20"/>
              </w:rPr>
              <w:t>3.2%</w:t>
            </w:r>
          </w:p>
        </w:tc>
      </w:tr>
      <w:tr>
        <w:tc>
          <w:tcPr>
            <w:tcW w:w="2016" w:type="dxa"/>
          </w:tcPr>
          <w:p w14:paraId="00100148" w14:textId="00100149">
            <w:r>
              <w:rPr>
                <w:sz w:val="20"/>
              </w:rPr>
              <w:t>language</w:t>
            </w:r>
          </w:p>
        </w:tc>
        <w:tc>
          <w:tcPr>
            <w:tcW w:w="1296" w:type="dxa"/>
          </w:tcPr>
          <w:p w14:paraId="0010014A" w14:textId="0010014B">
            <w:r>
              <w:rPr>
                <w:sz w:val="20"/>
              </w:rPr>
              <w:t>Categorical</w:t>
            </w:r>
          </w:p>
        </w:tc>
        <w:tc>
          <w:tcPr>
            <w:tcW w:w="1008" w:type="dxa"/>
          </w:tcPr>
          <w:p w14:paraId="0010014C" w14:textId="0010014D">
            <w:r>
              <w:rPr>
                <w:sz w:val="20"/>
              </w:rPr>
              <w:t>3</w:t>
            </w:r>
          </w:p>
        </w:tc>
        <w:tc>
          <w:tcPr>
            <w:tcW w:w="3168" w:type="dxa"/>
          </w:tcPr>
          <w:p w14:paraId="0010014E" w14:textId="0010014F">
            <w:r>
              <w:rPr>
                <w:sz w:val="20"/>
              </w:rPr>
              <w:t>Language of the question (en, hi, te, ta, kn, bn)</w:t>
            </w:r>
          </w:p>
        </w:tc>
        <w:tc>
          <w:tcPr>
            <w:tcW w:w="1296" w:type="dxa"/>
          </w:tcPr>
          <w:p w14:paraId="00100150" w14:textId="00100151">
            <w:r>
              <w:rPr>
                <w:sz w:val="20"/>
              </w:rPr>
              <w:t>5.1%</w:t>
            </w:r>
          </w:p>
        </w:tc>
      </w:tr>
    </w:tbl>
    <w:p w14:paraId="00100152" w14:textId="00100153">
      <w:pPr>
        <w:spacing w:after="160"/>
      </w:pPr>
    </w:p>
    <w:p w14:paraId="00100154" w14:textId="00100155">
      <w:pPr>
        <w:spacing w:before="240" w:after="120"/>
      </w:pPr>
      <w:r>
        <w:rPr>
          <w:b/>
          <w:color w:val="1F4E79"/>
          <w:sz w:val="26"/>
        </w:rPr>
        <w:t>3.3 Data Quality Assessment</w:t>
      </w:r>
    </w:p>
    <w:p w14:paraId="00100156" w14:textId="00100157">
      <w:pPr>
        <w:spacing w:before="40" w:after="160"/>
      </w:pPr>
      <w:r>
        <w:rPr>
          <w:b w:val="0"/>
          <w:i w:val="0"/>
          <w:color w:val="000000"/>
          <w:sz w:val="22"/>
        </w:rPr>
        <w:t>Dataset 1 (Schemes) is the most complete for scheme metadata but has notable gaps in eligibility criteria (11.3% missing) and apply_link (14.7% missing). The free-text eligibility_criteria field is inconsistently formatted — some entries provide structured criteria ('Age: 18–40; Income: below Rs. 2.5 LPA') while others are unstructured paragraphs. This limits the utility of rule-based eligibility matching and motivates the machine-learning approach.</w:t>
      </w:r>
    </w:p>
    <w:p w14:paraId="00100158" w14:textId="00100159">
      <w:pPr>
        <w:spacing w:before="40" w:after="160"/>
      </w:pPr>
      <w:r>
        <w:rPr>
          <w:b w:val="0"/>
          <w:i w:val="0"/>
          <w:color w:val="000000"/>
          <w:sz w:val="22"/>
        </w:rPr>
        <w:t>Dataset 2 (Citizens) is synthetically generated and shows very low missing rates (&lt; 1.5% in all key fields), which is typical of synthetic datasets. The income distribution is approximately log-normal with a mean of Rs. 2.8 LPA, consistent with NSSO wage survey data. The occupation distribution includes seven categories with roughly even weighting, which does not reflect the actual Indian workforce (where agriculture and informal labour dominate). This is a known limitation of the synthetic source.</w:t>
      </w:r>
    </w:p>
    <w:p w14:paraId="0010015A" w14:textId="0010015B">
      <w:pPr>
        <w:spacing w:before="40" w:after="160"/>
      </w:pPr>
      <w:r>
        <w:rPr>
          <w:b w:val="0"/>
          <w:i w:val="0"/>
          <w:color w:val="000000"/>
          <w:sz w:val="22"/>
        </w:rPr>
        <w:t>Dataset 3 (QA) is small (~1,200 rows in the HuggingFace version) and unevenly distributed across languages and intent classes. Hindi and English dominate; Kannada and Bengali have fewer than 150 examples each. This imbalance is a known limitation of the intent classifier's per-language performance.</w:t>
      </w:r>
    </w:p>
    <w:p w14:paraId="0010015C" w14:textId="0010015D">
      <w:pPr>
        <w:spacing w:before="240" w:after="120"/>
      </w:pPr>
      <w:r>
        <w:rPr>
          <w:b/>
          <w:color w:val="1F4E79"/>
          <w:sz w:val="26"/>
        </w:rPr>
        <w:t>3.4 Ethical Considerations</w:t>
      </w:r>
    </w:p>
    <w:p w14:paraId="0010015E" w14:textId="0010015F">
      <w:pPr>
        <w:spacing w:before="40" w:after="160"/>
      </w:pPr>
      <w:r>
        <w:rPr>
          <w:b w:val="0"/>
          <w:i w:val="0"/>
          <w:color w:val="000000"/>
          <w:sz w:val="22"/>
        </w:rPr>
        <w:t>The citizen data used in this project (Dataset 2) is entirely synthetic — no real individual's information was used, stored, or processed. This is explicitly disclosed here and throughout the notebook to ensure that any downstream use of the trained models is not confused with real administrative data. The scheme data (Dataset 1) is derived from publicly available government sources and does not contain personal information.</w:t>
      </w:r>
    </w:p>
    <w:p w14:paraId="00100160" w14:textId="00100161">
      <w:pPr>
        <w:spacing w:before="40" w:after="160"/>
      </w:pPr>
      <w:r>
        <w:rPr>
          <w:b w:val="0"/>
          <w:i w:val="0"/>
          <w:color w:val="000000"/>
          <w:sz w:val="22"/>
        </w:rPr>
        <w:t>The project does not implement any authentication, data storage, or personally identifiable information (PII) handling. The Streamlit prototype processes all inputs locally in the user's browser session and does not transmit data to any external server. Before any production deployment, a full Privacy Impact Assessment (PIA) in accordance with India's Digital Personal Data Protection Act (DPDP Act, 2023) would be required.</w:t>
      </w:r>
    </w:p>
    <w:p w14:paraId="00100162" w14:textId="00100163">
      <w:r>
        <w:br w:type="page"/>
      </w:r>
    </w:p>
    <w:p w14:paraId="00100164" w14:textId="00100165">
      <w:pPr>
        <w:spacing w:before="360" w:after="160"/>
      </w:pPr>
      <w:r>
        <w:rPr>
          <w:b/>
          <w:color w:val="1F4E79"/>
          <w:sz w:val="32"/>
        </w:rPr>
        <w:t>Section 4: Methodology</w:t>
      </w:r>
    </w:p>
    <w:p w14:paraId="00100166" w14:textId="00100167">
      <w:pPr>
        <w:spacing w:before="240" w:after="120"/>
      </w:pPr>
      <w:r>
        <w:rPr>
          <w:b/>
          <w:color w:val="1F4E79"/>
          <w:sz w:val="26"/>
        </w:rPr>
        <w:t>4.1 Data Cleaning</w:t>
      </w:r>
    </w:p>
    <w:p w14:paraId="00100168" w14:textId="00100169">
      <w:pPr>
        <w:spacing w:before="40" w:after="160"/>
      </w:pPr>
      <w:r>
        <w:rPr>
          <w:b w:val="0"/>
          <w:i w:val="0"/>
          <w:color w:val="000000"/>
          <w:sz w:val="22"/>
        </w:rPr>
        <w:t>Cleaning was applied separately to each dataset. For Dataset 1, the scheme names were standardised to title case and stripped of extraneous punctuation. Ministry names were normalised to a controlled vocabulary of 29 categories (matching the current cabinet structure). Missing eligibility_criteria fields were left as NaN rather than imputed, to avoid introducing fabricated eligibility conditions. Apply_links were validated with a simple URL format check; 14.7% failed and were set to the India.gov.in root URL as a fallback.</w:t>
      </w:r>
    </w:p>
    <w:p w14:paraId="0010016A" w14:textId="0010016B">
      <w:pPr>
        <w:spacing w:before="40" w:after="160"/>
      </w:pPr>
      <w:r>
        <w:rPr>
          <w:b w:val="0"/>
          <w:i w:val="0"/>
          <w:color w:val="000000"/>
          <w:sz w:val="22"/>
        </w:rPr>
        <w:t>For Dataset 2, the annual_income column was converted from string to float after stripping currency symbols and commas in rows where formatting varied. Age values outside the range 0–120 were capped. Duplicate rows (identical across all columns) numbered 0 in Dataset 2, confirming the synthetic generator did not repeat profiles. State names were standardised against the official list of 28 states and 8 Union Territories.</w:t>
      </w:r>
    </w:p>
    <w:p w14:paraId="0010016C" w14:textId="0010016D">
      <w:pPr>
        <w:spacing w:before="40" w:after="160"/>
      </w:pPr>
      <w:r>
        <w:rPr>
          <w:b w:val="0"/>
          <w:i w:val="0"/>
          <w:color w:val="000000"/>
          <w:sz w:val="22"/>
        </w:rPr>
        <w:t>For Dataset 3, the question column was lowercased and stripped of leading/trailing whitespace. The intent column was mapped to a controlled five-class vocabulary: eligibility_query, application_process, document_query, benefit_query, and scheme_info. Rows where intent could not be mapped were dropped (3.2% of total). A keyword-based heuristic was used to infer intent for rows where the label was missing, using language-independent root words common to all six target languages.</w:t>
      </w:r>
    </w:p>
    <w:p w14:paraId="0010016E" w14:textId="0010016F">
      <w:pPr>
        <w:spacing w:before="240" w:after="120"/>
      </w:pPr>
      <w:r>
        <w:rPr>
          <w:b/>
          <w:color w:val="1F4E79"/>
          <w:sz w:val="26"/>
        </w:rPr>
        <w:t>4.2 Exploratory Data Analysis Approach</w:t>
      </w:r>
    </w:p>
    <w:p w14:paraId="00100170" w14:textId="00100171">
      <w:pPr>
        <w:spacing w:before="40" w:after="160"/>
      </w:pPr>
      <w:r>
        <w:rPr>
          <w:b w:val="0"/>
          <w:i w:val="0"/>
          <w:color w:val="000000"/>
          <w:sz w:val="22"/>
        </w:rPr>
        <w:t>The EDA was structured around six targeted hypotheses, each corresponding to one visualisation. The hypotheses were formed before generating the charts, to avoid confirmation bias and ensure each chart tests a specific claim about the data rather than simply displaying it. Each chart is presented with its hypothesis, the chart itself, and a finding that either confirms or refines the hypothesis. The guiding research question across all six charts was: which demographic axes most strongly partition scheme eligibility, and where does the navigability gap bite hardest?</w:t>
      </w:r>
    </w:p>
    <w:p w14:paraId="00100172" w14:textId="00100173">
      <w:pPr>
        <w:spacing w:before="40" w:after="160"/>
      </w:pPr>
      <w:r>
        <w:rPr>
          <w:b w:val="0"/>
          <w:i w:val="0"/>
          <w:color w:val="000000"/>
          <w:sz w:val="22"/>
        </w:rPr>
        <w:t>Charts were rendered at 300 DPI using Matplotlib with the seaborn-v0_8-whitegrid style and saved to reports/figures/. All colour schemes used perceptually uniform palettes (Blues_d, viridis, Set2) to ensure accessibility for colour-blind readers.</w:t>
      </w:r>
    </w:p>
    <w:p w14:paraId="00100174" w14:textId="00100175">
      <w:pPr>
        <w:spacing w:before="240" w:after="120"/>
      </w:pPr>
      <w:r>
        <w:rPr>
          <w:b/>
          <w:color w:val="1F4E79"/>
          <w:sz w:val="26"/>
        </w:rPr>
        <w:t>4.3 Feature Engineering</w:t>
      </w:r>
    </w:p>
    <w:p w14:paraId="00100176" w14:textId="00100177">
      <w:pPr>
        <w:spacing w:before="40" w:after="160"/>
      </w:pPr>
      <w:r>
        <w:rPr>
          <w:b w:val="0"/>
          <w:i w:val="0"/>
          <w:color w:val="000000"/>
          <w:sz w:val="22"/>
        </w:rPr>
        <w:t>Four features were engineered from raw demographic variables. The rationale for each is grounded in the domain logic of scheme eligibility:</w:t>
      </w:r>
    </w:p>
    <w:tbl>
      <w:tblPr>
        <w:tblStyle w:val="TableGrid"/>
        <w:tblW w:w="0" w:type="auto"/>
        <w:tblLook w:val="04A0" w:firstRow="1" w:lastRow="0" w:firstColumn="1" w:lastColumn="0" w:noHBand="0" w:noVBand="1"/>
      </w:tblPr>
      <w:tblGrid>
        <w:gridCol w:w="2880"/>
        <w:gridCol w:w="2880"/>
        <w:gridCol w:w="2880"/>
      </w:tblGrid>
      <w:tr>
        <w:tc>
          <w:tcPr>
            <w:tcW w:w="1872" w:type="dxa"/>
          </w:tcPr>
          <w:p w14:paraId="00100178" w14:textId="00100179">
            <w:pPr>
              <w:shd w:val="clear" w:color="auto" w:fill="1F4E79"/>
            </w:pPr>
            <w:r>
              <w:rPr>
                <w:b/>
                <w:color w:val="FFFFFF"/>
                <w:sz w:val="20"/>
              </w:rPr>
              <w:t>Feature</w:t>
            </w:r>
          </w:p>
        </w:tc>
        <w:tc>
          <w:tcPr>
            <w:tcW w:w="2880" w:type="dxa"/>
          </w:tcPr>
          <w:p w14:paraId="0010017A" w14:textId="0010017B">
            <w:pPr>
              <w:shd w:val="clear" w:color="auto" w:fill="1F4E79"/>
            </w:pPr>
            <w:r>
              <w:rPr>
                <w:b/>
                <w:color w:val="FFFFFF"/>
                <w:sz w:val="20"/>
              </w:rPr>
              <w:t>Construction</w:t>
            </w:r>
          </w:p>
        </w:tc>
        <w:tc>
          <w:tcPr>
            <w:tcW w:w="4032" w:type="dxa"/>
          </w:tcPr>
          <w:p w14:paraId="0010017C" w14:textId="0010017D">
            <w:pPr>
              <w:shd w:val="clear" w:color="auto" w:fill="1F4E79"/>
            </w:pPr>
            <w:r>
              <w:rPr>
                <w:b/>
                <w:color w:val="FFFFFF"/>
                <w:sz w:val="20"/>
              </w:rPr>
              <w:t>Rationale</w:t>
            </w:r>
          </w:p>
        </w:tc>
      </w:tr>
      <w:tr>
        <w:tc>
          <w:tcPr>
            <w:tcW w:w="1872" w:type="dxa"/>
          </w:tcPr>
          <w:p w14:paraId="0010017E" w14:textId="0010017F">
            <w:r>
              <w:rPr>
                <w:sz w:val="20"/>
              </w:rPr>
              <w:t>age_bucket</w:t>
            </w:r>
          </w:p>
        </w:tc>
        <w:tc>
          <w:tcPr>
            <w:tcW w:w="2880" w:type="dxa"/>
          </w:tcPr>
          <w:p w14:paraId="00100180" w14:textId="00100181">
            <w:r>
              <w:rPr>
                <w:sz w:val="20"/>
              </w:rPr>
              <w:t>Ordinal bins: 0–18, 19–35, 36–55, 56–70, 70+</w:t>
            </w:r>
          </w:p>
        </w:tc>
        <w:tc>
          <w:tcPr>
            <w:tcW w:w="4032" w:type="dxa"/>
          </w:tcPr>
          <w:p w14:paraId="00100182" w14:textId="00100183">
            <w:r>
              <w:rPr>
                <w:sz w:val="20"/>
              </w:rPr>
              <w:t>Most schemes have age cut-offs at these exact thresholds (e.g. PM Kisan: 18+; Senior Citizen schemes: 60+)</w:t>
            </w:r>
          </w:p>
        </w:tc>
      </w:tr>
      <w:tr>
        <w:tc>
          <w:tcPr>
            <w:tcW w:w="1872" w:type="dxa"/>
          </w:tcPr>
          <w:p w14:paraId="00100184" w14:textId="00100185">
            <w:r>
              <w:rPr>
                <w:sz w:val="20"/>
              </w:rPr>
              <w:t>income_bracket</w:t>
            </w:r>
          </w:p>
        </w:tc>
        <w:tc>
          <w:tcPr>
            <w:tcW w:w="2880" w:type="dxa"/>
          </w:tcPr>
          <w:p w14:paraId="00100186" w14:textId="00100187">
            <w:r>
              <w:rPr>
                <w:sz w:val="20"/>
              </w:rPr>
              <w:t>Six bins: &lt;1L, 1–3L, 3–5L, 5–8L, 8–12L, &gt;12L (INR/year)</w:t>
            </w:r>
          </w:p>
        </w:tc>
        <w:tc>
          <w:tcPr>
            <w:tcW w:w="4032" w:type="dxa"/>
          </w:tcPr>
          <w:p w14:paraId="00100188" w14:textId="00100189">
            <w:r>
              <w:rPr>
                <w:sz w:val="20"/>
              </w:rPr>
              <w:t>BPL/APL classification and EWS criterion (Rs. 8L/year) follow these bands exactly</w:t>
            </w:r>
          </w:p>
        </w:tc>
      </w:tr>
      <w:tr>
        <w:tc>
          <w:tcPr>
            <w:tcW w:w="1872" w:type="dxa"/>
          </w:tcPr>
          <w:p w14:paraId="0010018A" w14:textId="0010018B">
            <w:r>
              <w:rPr>
                <w:sz w:val="20"/>
              </w:rPr>
              <w:t>occupation_encoded</w:t>
            </w:r>
          </w:p>
        </w:tc>
        <w:tc>
          <w:tcPr>
            <w:tcW w:w="2880" w:type="dxa"/>
          </w:tcPr>
          <w:p w14:paraId="0010018C" w14:textId="0010018D">
            <w:r>
              <w:rPr>
                <w:sz w:val="20"/>
              </w:rPr>
              <w:t>LabelEncoder on occupation string</w:t>
            </w:r>
          </w:p>
        </w:tc>
        <w:tc>
          <w:tcPr>
            <w:tcW w:w="4032" w:type="dxa"/>
          </w:tcPr>
          <w:p w14:paraId="0010018E" w14:textId="0010018F">
            <w:r>
              <w:rPr>
                <w:sz w:val="20"/>
              </w:rPr>
              <w:t>Tree models learn arbitrary splits; label encoding avoids high-cardinality one-hot expansion</w:t>
            </w:r>
          </w:p>
        </w:tc>
      </w:tr>
      <w:tr>
        <w:tc>
          <w:tcPr>
            <w:tcW w:w="1872" w:type="dxa"/>
          </w:tcPr>
          <w:p w14:paraId="00100190" w14:textId="00100191">
            <w:r>
              <w:rPr>
                <w:sz w:val="20"/>
              </w:rPr>
              <w:t>vulnerability_score</w:t>
            </w:r>
          </w:p>
        </w:tc>
        <w:tc>
          <w:tcPr>
            <w:tcW w:w="2880" w:type="dxa"/>
          </w:tcPr>
          <w:p w14:paraId="00100192" w14:textId="00100193">
            <w:r>
              <w:rPr>
                <w:sz w:val="20"/>
              </w:rPr>
              <w:t>Composite: 40% income rank + 30% age extremity + 30% social category</w:t>
            </w:r>
          </w:p>
        </w:tc>
        <w:tc>
          <w:tcPr>
            <w:tcW w:w="4032" w:type="dxa"/>
          </w:tcPr>
          <w:p w14:paraId="00100194" w14:textId="00100195">
            <w:r>
              <w:rPr>
                <w:sz w:val="20"/>
              </w:rPr>
              <w:t>Single proxy for welfare need — captures the interaction effects that individual features miss</w:t>
            </w:r>
          </w:p>
        </w:tc>
      </w:tr>
    </w:tbl>
    <w:p w14:paraId="00100196" w14:textId="00100197">
      <w:pPr>
        <w:spacing w:after="160"/>
      </w:pPr>
    </w:p>
    <w:p w14:paraId="00100198" w14:textId="00100199">
      <w:pPr>
        <w:spacing w:before="40" w:after="160"/>
      </w:pPr>
      <w:r>
        <w:rPr>
          <w:b w:val="0"/>
          <w:i w:val="0"/>
          <w:color w:val="000000"/>
          <w:sz w:val="22"/>
        </w:rPr>
        <w:t>The vulnerability_score was specifically designed to capture the interaction between income, age, and social category that individual features miss. For example, a 70-year-old with Rs. 90,000 annual income classified as SC scores 0.91 on the vulnerability scale, reflecting their eligibility for pension schemes, health schemes, and SC-specific education schemes simultaneously. A 35-year-old salaried worker at Rs. 6 LPA scores 0.28, reflecting limited eligibility. This score proved to be the strongest single predictor in the recommendation model.</w:t>
      </w:r>
    </w:p>
    <w:p w14:paraId="0010019A" w14:textId="0010019B">
      <w:pPr>
        <w:spacing w:before="240" w:after="120"/>
      </w:pPr>
      <w:r>
        <w:rPr>
          <w:b/>
          <w:color w:val="1F4E79"/>
          <w:sz w:val="26"/>
        </w:rPr>
        <w:t>4.4 Model 1: Multi-Label Scheme Recommendation</w:t>
      </w:r>
    </w:p>
    <w:p w14:paraId="0010019C" w14:textId="0010019D">
      <w:pPr>
        <w:spacing w:before="40" w:after="160"/>
      </w:pPr>
      <w:r>
        <w:rPr>
          <w:b w:val="0"/>
          <w:i w:val="0"/>
          <w:color w:val="000000"/>
          <w:sz w:val="22"/>
        </w:rPr>
        <w:t>The recommendation task is framed as multi-label classification: given a citizen's feature vector, predict a binary vector of length |unique schemes| where each entry indicates eligibility. This formulation, rather than multi-class (single scheme) or single-label (most likely scheme), is essential because citizens genuinely qualify for multiple schemes simultaneously, and presenting only the top-1 scheme would suppress up to 78% of their entitlements.</w:t>
      </w:r>
    </w:p>
    <w:p w14:paraId="0010019E" w14:textId="0010019F">
      <w:pPr>
        <w:spacing w:before="40" w:after="160"/>
      </w:pPr>
      <w:r>
        <w:rPr>
          <w:b w:val="0"/>
          <w:i w:val="0"/>
          <w:color w:val="000000"/>
          <w:sz w:val="22"/>
        </w:rPr>
        <w:t>Two classifiers were evaluated in a One-vs-Rest (OvR) framework, where a separate binary classifier is trained for each scheme label:</w:t>
      </w:r>
    </w:p>
    <w:tbl>
      <w:tblPr>
        <w:tblStyle w:val="TableGrid"/>
        <w:tblW w:w="0" w:type="auto"/>
        <w:tblLook w:val="04A0" w:firstRow="1" w:lastRow="0" w:firstColumn="1" w:lastColumn="0" w:noHBand="0" w:noVBand="1"/>
      </w:tblPr>
      <w:tblGrid>
        <w:gridCol w:w="2880"/>
        <w:gridCol w:w="2880"/>
        <w:gridCol w:w="2880"/>
      </w:tblGrid>
      <w:tr>
        <w:tc>
          <w:tcPr>
            <w:tcW w:w="1728" w:type="dxa"/>
          </w:tcPr>
          <w:p w14:paraId="001001A0" w14:textId="001001A1">
            <w:pPr>
              <w:shd w:val="clear" w:color="auto" w:fill="1F4E79"/>
            </w:pPr>
            <w:r>
              <w:rPr>
                <w:b/>
                <w:color w:val="FFFFFF"/>
                <w:sz w:val="20"/>
              </w:rPr>
              <w:t>Aspect</w:t>
            </w:r>
          </w:p>
        </w:tc>
        <w:tc>
          <w:tcPr>
            <w:tcW w:w="3312" w:type="dxa"/>
          </w:tcPr>
          <w:p w14:paraId="001001A2" w14:textId="001001A3">
            <w:pPr>
              <w:shd w:val="clear" w:color="auto" w:fill="1F4E79"/>
            </w:pPr>
            <w:r>
              <w:rPr>
                <w:b/>
                <w:color w:val="FFFFFF"/>
                <w:sz w:val="20"/>
              </w:rPr>
              <w:t>RandomForest</w:t>
            </w:r>
          </w:p>
        </w:tc>
        <w:tc>
          <w:tcPr>
            <w:tcW w:w="3744" w:type="dxa"/>
          </w:tcPr>
          <w:p w14:paraId="001001A4" w14:textId="001001A5">
            <w:pPr>
              <w:shd w:val="clear" w:color="auto" w:fill="1F4E79"/>
            </w:pPr>
            <w:r>
              <w:rPr>
                <w:b/>
                <w:color w:val="FFFFFF"/>
                <w:sz w:val="20"/>
              </w:rPr>
              <w:t>XGBoost</w:t>
            </w:r>
          </w:p>
        </w:tc>
      </w:tr>
      <w:tr>
        <w:tc>
          <w:tcPr>
            <w:tcW w:w="1728" w:type="dxa"/>
          </w:tcPr>
          <w:p w14:paraId="001001A6" w14:textId="001001A7">
            <w:r>
              <w:rPr>
                <w:sz w:val="20"/>
              </w:rPr>
              <w:t>Base estimator</w:t>
            </w:r>
          </w:p>
        </w:tc>
        <w:tc>
          <w:tcPr>
            <w:tcW w:w="3312" w:type="dxa"/>
          </w:tcPr>
          <w:p w14:paraId="001001A8" w14:textId="001001A9">
            <w:r>
              <w:rPr>
                <w:sz w:val="20"/>
              </w:rPr>
              <w:t>RandomForestClassifier (n=200, max_depth=12)</w:t>
            </w:r>
          </w:p>
        </w:tc>
        <w:tc>
          <w:tcPr>
            <w:tcW w:w="3744" w:type="dxa"/>
          </w:tcPr>
          <w:p w14:paraId="001001AA" w14:textId="001001AB">
            <w:r>
              <w:rPr>
                <w:sz w:val="20"/>
              </w:rPr>
              <w:t>XGBClassifier (n=150, lr=0.1, max_depth=6)</w:t>
            </w:r>
          </w:p>
        </w:tc>
      </w:tr>
      <w:tr>
        <w:tc>
          <w:tcPr>
            <w:tcW w:w="1728" w:type="dxa"/>
          </w:tcPr>
          <w:p w14:paraId="001001AC" w14:textId="001001AD">
            <w:r>
              <w:rPr>
                <w:sz w:val="20"/>
              </w:rPr>
              <w:t>Class imbalance</w:t>
            </w:r>
          </w:p>
        </w:tc>
        <w:tc>
          <w:tcPr>
            <w:tcW w:w="3312" w:type="dxa"/>
          </w:tcPr>
          <w:p w14:paraId="001001AE" w14:textId="001001AF">
            <w:r>
              <w:rPr>
                <w:sz w:val="20"/>
              </w:rPr>
              <w:t>class_weight='balanced'</w:t>
            </w:r>
          </w:p>
        </w:tc>
        <w:tc>
          <w:tcPr>
            <w:tcW w:w="3744" w:type="dxa"/>
          </w:tcPr>
          <w:p w14:paraId="001001B0" w14:textId="001001B1">
            <w:r>
              <w:rPr>
                <w:sz w:val="20"/>
              </w:rPr>
              <w:t>scale_pos_weight per label</w:t>
            </w:r>
          </w:p>
        </w:tc>
      </w:tr>
      <w:tr>
        <w:tc>
          <w:tcPr>
            <w:tcW w:w="1728" w:type="dxa"/>
          </w:tcPr>
          <w:p w14:paraId="001001B2" w14:textId="001001B3">
            <w:r>
              <w:rPr>
                <w:sz w:val="20"/>
              </w:rPr>
              <w:t>Rationale</w:t>
            </w:r>
          </w:p>
        </w:tc>
        <w:tc>
          <w:tcPr>
            <w:tcW w:w="3312" w:type="dxa"/>
          </w:tcPr>
          <w:p w14:paraId="001001B4" w14:textId="001001B5">
            <w:r>
              <w:rPr>
                <w:sz w:val="20"/>
              </w:rPr>
              <w:t>Interpretable feature importances; robust to irrelevant features; fast on CPU</w:t>
            </w:r>
          </w:p>
        </w:tc>
        <w:tc>
          <w:tcPr>
            <w:tcW w:w="3744" w:type="dxa"/>
          </w:tcPr>
          <w:p w14:paraId="001001B6" w14:textId="001001B7">
            <w:r>
              <w:rPr>
                <w:sz w:val="20"/>
              </w:rPr>
              <w:t>Typically higher F1 on tabular data; handles feature interactions</w:t>
            </w:r>
          </w:p>
        </w:tc>
      </w:tr>
      <w:tr>
        <w:tc>
          <w:tcPr>
            <w:tcW w:w="1728" w:type="dxa"/>
          </w:tcPr>
          <w:p w14:paraId="001001B8" w14:textId="001001B9">
            <w:r>
              <w:rPr>
                <w:sz w:val="20"/>
              </w:rPr>
              <w:t>Limitation</w:t>
            </w:r>
          </w:p>
        </w:tc>
        <w:tc>
          <w:tcPr>
            <w:tcW w:w="3312" w:type="dxa"/>
          </w:tcPr>
          <w:p w14:paraId="001001BA" w14:textId="001001BB">
            <w:r>
              <w:rPr>
                <w:sz w:val="20"/>
              </w:rPr>
              <w:t>Slower on large label sets</w:t>
            </w:r>
          </w:p>
        </w:tc>
        <w:tc>
          <w:tcPr>
            <w:tcW w:w="3744" w:type="dxa"/>
          </w:tcPr>
          <w:p w14:paraId="001001BC" w14:textId="001001BD">
            <w:r>
              <w:rPr>
                <w:sz w:val="20"/>
              </w:rPr>
              <w:t>Black-box; higher memory; not available on all deployment targets</w:t>
            </w:r>
          </w:p>
        </w:tc>
      </w:tr>
    </w:tbl>
    <w:p w14:paraId="001001BE" w14:textId="001001BF">
      <w:pPr>
        <w:spacing w:after="160"/>
      </w:pPr>
    </w:p>
    <w:p w14:paraId="001001C0" w14:textId="001001C1">
      <w:pPr>
        <w:spacing w:before="40" w:after="160"/>
      </w:pPr>
      <w:r>
        <w:rPr>
          <w:b w:val="0"/>
          <w:i w:val="0"/>
          <w:color w:val="000000"/>
          <w:sz w:val="22"/>
        </w:rPr>
        <w:t>The data was split 80/20 using stratified shuffling on the most common scheme label as a proxy for stratification (true multi-label stratification is computationally expensive and well-approximated by single-label proxy stratification at this scale). The random seed was fixed at 42 throughout for reproducibility. Models were saved as .pkl files using joblib.</w:t>
      </w:r>
    </w:p>
    <w:p w14:paraId="001001C2" w14:textId="001001C3">
      <w:pPr>
        <w:spacing w:before="240" w:after="120"/>
      </w:pPr>
      <w:r>
        <w:rPr>
          <w:b/>
          <w:color w:val="1F4E79"/>
          <w:sz w:val="26"/>
        </w:rPr>
        <w:t>4.5 Model 2: Multilingual Intent Classification</w:t>
      </w:r>
    </w:p>
    <w:p w14:paraId="001001C4" w14:textId="001001C5">
      <w:pPr>
        <w:spacing w:before="40" w:after="160"/>
      </w:pPr>
      <w:r>
        <w:rPr>
          <w:b w:val="0"/>
          <w:i w:val="0"/>
          <w:color w:val="000000"/>
          <w:sz w:val="22"/>
        </w:rPr>
        <w:t>The intent classifier maps a free-text query to one of five intent classes: eligibility_query, application_process, document_query, benefit_query, and scheme_info. The five classes are mutually exclusive and exhaustive for the citizen-facing use case described in Section 1.2.</w:t>
      </w:r>
    </w:p>
    <w:p w14:paraId="001001C6" w14:textId="001001C7">
      <w:pPr>
        <w:spacing w:before="40" w:after="160"/>
      </w:pPr>
      <w:r>
        <w:rPr>
          <w:b w:val="0"/>
          <w:i w:val="0"/>
          <w:color w:val="000000"/>
          <w:sz w:val="22"/>
        </w:rPr>
        <w:t>Two approaches were implemented with a fallback mechanism. The primary approach uses XLM-RoBERTa-base — a 278-million-parameter multilingual transformer pretrained on 100 languages including Hindi and all major Dravidian and Indo-Aryan languages. For the available dataset size (~1,200 labelled examples), XLM-RoBERTa was used as a feature extractor: CLS embeddings were computed for each question and a linear SVC was trained on top, avoiding the need for full fine-tuning on limited data. The fallback approach uses a TF-IDF vectoriser (character n-grams 2–4, 50,000 features, sublinear_tf=True) with LinearSVC (balanced class weights, max_iter=2000). The character n-gram approach is inherently multilingual — it captures morphological patterns without requiring language detection — making it a robust fallback for languages not well-represented in the training set.</w:t>
      </w:r>
    </w:p>
    <w:p w14:paraId="001001C8" w14:textId="001001C9">
      <w:pPr>
        <w:spacing w:before="240" w:after="120"/>
      </w:pPr>
      <w:r>
        <w:rPr>
          <w:b/>
          <w:color w:val="1F4E79"/>
          <w:sz w:val="26"/>
        </w:rPr>
        <w:t>4.6 Evaluation Metrics</w:t>
      </w:r>
    </w:p>
    <w:p w14:paraId="001001CA" w14:textId="001001CB">
      <w:pPr>
        <w:spacing w:before="40" w:after="160"/>
      </w:pPr>
      <w:r>
        <w:rPr>
          <w:b w:val="0"/>
          <w:i w:val="0"/>
          <w:color w:val="000000"/>
          <w:sz w:val="22"/>
        </w:rPr>
        <w:t>Three metrics were used for the recommendation model:</w:t>
      </w:r>
    </w:p>
    <w:tbl>
      <w:tblPr>
        <w:tblStyle w:val="TableGrid"/>
        <w:tblW w:w="0" w:type="auto"/>
        <w:tblLook w:val="04A0" w:firstRow="1" w:lastRow="0" w:firstColumn="1" w:lastColumn="0" w:noHBand="0" w:noVBand="1"/>
      </w:tblPr>
      <w:tblGrid>
        <w:gridCol w:w="2880"/>
        <w:gridCol w:w="2880"/>
        <w:gridCol w:w="2880"/>
      </w:tblGrid>
      <w:tr>
        <w:tc>
          <w:tcPr>
            <w:tcW w:w="1728" w:type="dxa"/>
          </w:tcPr>
          <w:p w14:paraId="001001CC" w14:textId="001001CD">
            <w:pPr>
              <w:shd w:val="clear" w:color="auto" w:fill="1F4E79"/>
            </w:pPr>
            <w:r>
              <w:rPr>
                <w:b/>
                <w:color w:val="FFFFFF"/>
                <w:sz w:val="20"/>
              </w:rPr>
              <w:t>Metric</w:t>
            </w:r>
          </w:p>
        </w:tc>
        <w:tc>
          <w:tcPr>
            <w:tcW w:w="3456" w:type="dxa"/>
          </w:tcPr>
          <w:p w14:paraId="001001CE" w14:textId="001001CF">
            <w:pPr>
              <w:shd w:val="clear" w:color="auto" w:fill="1F4E79"/>
            </w:pPr>
            <w:r>
              <w:rPr>
                <w:b/>
                <w:color w:val="FFFFFF"/>
                <w:sz w:val="20"/>
              </w:rPr>
              <w:t>Formula</w:t>
            </w:r>
          </w:p>
        </w:tc>
        <w:tc>
          <w:tcPr>
            <w:tcW w:w="3600" w:type="dxa"/>
          </w:tcPr>
          <w:p w14:paraId="001001D0" w14:textId="001001D1">
            <w:pPr>
              <w:shd w:val="clear" w:color="auto" w:fill="1F4E79"/>
            </w:pPr>
            <w:r>
              <w:rPr>
                <w:b/>
                <w:color w:val="FFFFFF"/>
                <w:sz w:val="20"/>
              </w:rPr>
              <w:t>Why chosen</w:t>
            </w:r>
          </w:p>
        </w:tc>
      </w:tr>
      <w:tr>
        <w:tc>
          <w:tcPr>
            <w:tcW w:w="1728" w:type="dxa"/>
          </w:tcPr>
          <w:p w14:paraId="001001D2" w14:textId="001001D3">
            <w:r>
              <w:rPr>
                <w:sz w:val="20"/>
              </w:rPr>
              <w:t>Hamming Loss</w:t>
            </w:r>
          </w:p>
        </w:tc>
        <w:tc>
          <w:tcPr>
            <w:tcW w:w="3456" w:type="dxa"/>
          </w:tcPr>
          <w:p w14:paraId="001001D4" w14:textId="001001D5">
            <w:r>
              <w:rPr>
                <w:sz w:val="20"/>
              </w:rPr>
              <w:t>Fraction of labels incorrectly predicted (0 is perfect)</w:t>
            </w:r>
          </w:p>
        </w:tc>
        <w:tc>
          <w:tcPr>
            <w:tcW w:w="3600" w:type="dxa"/>
          </w:tcPr>
          <w:p w14:paraId="001001D6" w14:textId="001001D7">
            <w:r>
              <w:rPr>
                <w:sz w:val="20"/>
              </w:rPr>
              <w:t>Captures per-label error rate; penalises both false positives and false negatives equally across all scheme labels</w:t>
            </w:r>
          </w:p>
        </w:tc>
      </w:tr>
      <w:tr>
        <w:tc>
          <w:tcPr>
            <w:tcW w:w="1728" w:type="dxa"/>
          </w:tcPr>
          <w:p w14:paraId="001001D8" w14:textId="001001D9">
            <w:r>
              <w:rPr>
                <w:sz w:val="20"/>
              </w:rPr>
              <w:t>Micro-F1</w:t>
            </w:r>
          </w:p>
        </w:tc>
        <w:tc>
          <w:tcPr>
            <w:tcW w:w="3456" w:type="dxa"/>
          </w:tcPr>
          <w:p w14:paraId="001001DA" w14:textId="001001DB">
            <w:r>
              <w:rPr>
                <w:sz w:val="20"/>
              </w:rPr>
              <w:t>F1 computed on pooled TP/FP/FN across all labels</w:t>
            </w:r>
          </w:p>
        </w:tc>
        <w:tc>
          <w:tcPr>
            <w:tcW w:w="3600" w:type="dxa"/>
          </w:tcPr>
          <w:p w14:paraId="001001DC" w14:textId="001001DD">
            <w:r>
              <w:rPr>
                <w:sz w:val="20"/>
              </w:rPr>
              <w:t>Rewards overall label-level accuracy; dominated by common (high-population) schemes — matches the deployment objective of maximising total correct recommendations</w:t>
            </w:r>
          </w:p>
        </w:tc>
      </w:tr>
      <w:tr>
        <w:tc>
          <w:tcPr>
            <w:tcW w:w="1728" w:type="dxa"/>
          </w:tcPr>
          <w:p w14:paraId="001001DE" w14:textId="001001DF">
            <w:r>
              <w:rPr>
                <w:sz w:val="20"/>
              </w:rPr>
              <w:t>Macro-F1</w:t>
            </w:r>
          </w:p>
        </w:tc>
        <w:tc>
          <w:tcPr>
            <w:tcW w:w="3456" w:type="dxa"/>
          </w:tcPr>
          <w:p w14:paraId="001001E0" w14:textId="001001E1">
            <w:r>
              <w:rPr>
                <w:sz w:val="20"/>
              </w:rPr>
              <w:t>Mean F1 across all scheme labels equally weighted</w:t>
            </w:r>
          </w:p>
        </w:tc>
        <w:tc>
          <w:tcPr>
            <w:tcW w:w="3600" w:type="dxa"/>
          </w:tcPr>
          <w:p w14:paraId="001001E2" w14:textId="001001E3">
            <w:r>
              <w:rPr>
                <w:sz w:val="20"/>
              </w:rPr>
              <w:t>Penalises poor performance on rare (low-population) schemes; ensures the model does not simply memorise popular schemes</w:t>
            </w:r>
          </w:p>
        </w:tc>
      </w:tr>
    </w:tbl>
    <w:p w14:paraId="001001E4" w14:textId="001001E5">
      <w:pPr>
        <w:spacing w:after="160"/>
      </w:pPr>
    </w:p>
    <w:p w14:paraId="001001E6" w14:textId="001001E7">
      <w:pPr>
        <w:spacing w:before="40" w:after="160"/>
      </w:pPr>
      <w:r>
        <w:rPr>
          <w:b w:val="0"/>
          <w:i w:val="0"/>
          <w:color w:val="000000"/>
          <w:sz w:val="22"/>
        </w:rPr>
        <w:t>Accuracy was deliberately not used as the primary metric because multi-label accuracy (exact match) is pathologically strict — a prediction that identifies 7 of 8 correct labels scores 0.0. Micro-F1 and Hamming Loss are the standard metrics for multi-label welfare-domain classifiers (Tsoumakas &amp; Katakis, 2007) and allow direct comparison with published baselines.</w:t>
      </w:r>
    </w:p>
    <w:p w14:paraId="001001E8" w14:textId="001001E9">
      <w:r>
        <w:br w:type="page"/>
      </w:r>
    </w:p>
    <w:p w14:paraId="001001EA" w14:textId="001001EB">
      <w:pPr>
        <w:spacing w:before="360" w:after="160"/>
      </w:pPr>
      <w:r>
        <w:rPr>
          <w:b/>
          <w:color w:val="1F4E79"/>
          <w:sz w:val="32"/>
        </w:rPr>
        <w:t>Section 5: Results and Findings</w:t>
      </w:r>
    </w:p>
    <w:p w14:paraId="001001EC" w14:textId="001001ED">
      <w:pPr>
        <w:spacing w:before="240" w:after="120"/>
      </w:pPr>
      <w:r>
        <w:rPr>
          <w:b/>
          <w:color w:val="1F4E79"/>
          <w:sz w:val="26"/>
        </w:rPr>
        <w:t>5.1 EDA Findings</w:t>
      </w:r>
    </w:p>
    <w:p w14:paraId="001001EE" w14:textId="001001EF">
      <w:pPr>
        <w:spacing w:before="40" w:after="160"/>
      </w:pPr>
      <w:r>
        <w:rPr>
          <w:b/>
          <w:i w:val="0"/>
          <w:color w:val="000000"/>
          <w:sz w:val="22"/>
        </w:rPr>
        <w:t>Figure 1 — Scheme Coverage Heatmap (HERO Chart)</w:t>
      </w:r>
    </w:p>
    <w:p w14:paraId="001001F0" w14:textId="001001F1">
      <w:pPr>
        <w:spacing w:before="160" w:after="80"/>
        <w:jc w:val="center"/>
      </w:pPr>
      <w:r>
        <w:rPr>
          <w:b/>
          <w:color w:val="2E75B6"/>
          <w:sz w:val="22"/>
        </w:rPr>
        <w:t>[SCREENSHOT: 03_scheme_coverage_heatmap.png]</w:t>
      </w:r>
    </w:p>
    <w:p w14:paraId="001001F2" w14:textId="001001F3">
      <w:pPr>
        <w:spacing w:before="80" w:after="200"/>
        <w:jc w:val="center"/>
      </w:pPr>
      <w:r>
        <w:rPr>
          <w:i/>
          <w:color w:val="444444"/>
          <w:sz w:val="20"/>
        </w:rPr>
        <w:t>Figure 1. Scheme Coverage Heatmap — scheme categories by demographic/income bracket. Cell values show the percentage of schemes in each category reaching the corresponding demographic. White cells indicate under-served intersections.</w:t>
      </w:r>
    </w:p>
    <w:p w14:paraId="001001F4" w14:textId="001001F5">
      <w:pPr>
        <w:spacing w:before="40" w:after="160"/>
      </w:pPr>
      <w:r>
        <w:rPr>
          <w:b w:val="0"/>
          <w:i w:val="0"/>
          <w:color w:val="000000"/>
          <w:sz w:val="22"/>
        </w:rPr>
        <w:t>The scheme coverage heatmap (Figure 1) is the primary analytical output of the EDA. It reveals that Agriculture and Rural Development schemes are concentrated in the low-income brackets (&lt;1L and 1–3L annual income), as expected from their design intent. Education and Scholarship schemes peak strongly in the 0–18 and 19–35 age cohorts. The most significant finding is the near-zero coverage of the senior (56+) age cohort across Urban Employment, Skill Development, and Entrepreneurship scheme categories — a white-cell cluster that represents a genuine policy gap. The working-age (19–55) cohort in the 3–8L income bracket is the least served relative to their population size, receiving adequate coverage only from Skill Development and Entrepreneurship schemes. This finding directly motivates the vulnerability-score feature: income alone does not capture this interaction with age.</w:t>
      </w:r>
    </w:p>
    <w:p w14:paraId="001001F6" w14:textId="001001F7">
      <w:pPr>
        <w:spacing w:before="40" w:after="160"/>
      </w:pPr>
      <w:r>
        <w:rPr>
          <w:b/>
          <w:i w:val="0"/>
          <w:color w:val="000000"/>
          <w:sz w:val="22"/>
        </w:rPr>
        <w:t>Figure 2 — Age Distribution by Gender</w:t>
      </w:r>
    </w:p>
    <w:p w14:paraId="001001F8" w14:textId="001001F9">
      <w:pPr>
        <w:spacing w:before="160" w:after="80"/>
        <w:jc w:val="center"/>
      </w:pPr>
      <w:r>
        <w:rPr>
          <w:b/>
          <w:color w:val="2E75B6"/>
          <w:sz w:val="22"/>
        </w:rPr>
        <w:t>[SCREENSHOT: 01_age_distribution.png]</w:t>
      </w:r>
    </w:p>
    <w:p w14:paraId="001001FA" w14:textId="001001FB">
      <w:pPr>
        <w:spacing w:before="80" w:after="200"/>
        <w:jc w:val="center"/>
      </w:pPr>
      <w:r>
        <w:rPr>
          <w:i/>
          <w:color w:val="444444"/>
          <w:sz w:val="20"/>
        </w:rPr>
        <w:t>Figure 2. Age distribution histogram (left) and KDE (right) of the 50,200-citizen dataset, coloured by gender. The vertical dashed line marks the median age.</w:t>
      </w:r>
    </w:p>
    <w:p w14:paraId="001001FC" w14:textId="001001FD">
      <w:pPr>
        <w:spacing w:before="40" w:after="160"/>
      </w:pPr>
      <w:r>
        <w:rPr>
          <w:b w:val="0"/>
          <w:i w:val="0"/>
          <w:color w:val="000000"/>
          <w:sz w:val="22"/>
        </w:rPr>
        <w:t>The age distribution (Figure 2) peaks in the 28–38 age range, consistent with India's young working-age demographic. The male/female split is near-parity in the synthetic dataset (49.8% / 50.2%), which does not reflect real-world gender distributions in government databases, where women are under-counted due to documentation barriers. This is a known limitation of the synthetic data. The distribution confirms the hypothesis that the working-age band dominates the dataset and that scheme targeting should account for this concentration.</w:t>
      </w:r>
    </w:p>
    <w:p w14:paraId="001001FE" w14:textId="001001FF">
      <w:pPr>
        <w:spacing w:before="40" w:after="160"/>
      </w:pPr>
      <w:r>
        <w:rPr>
          <w:b/>
          <w:i w:val="0"/>
          <w:color w:val="000000"/>
          <w:sz w:val="22"/>
        </w:rPr>
        <w:t>Figure 3 — Query Intent Distribution</w:t>
      </w:r>
    </w:p>
    <w:p w14:paraId="00100200" w14:textId="00100201">
      <w:pPr>
        <w:spacing w:before="160" w:after="80"/>
        <w:jc w:val="center"/>
      </w:pPr>
      <w:r>
        <w:rPr>
          <w:b/>
          <w:color w:val="2E75B6"/>
          <w:sz w:val="22"/>
        </w:rPr>
        <w:t>[SCREENSHOT: 05_intent_distribution.png]</w:t>
      </w:r>
    </w:p>
    <w:p w14:paraId="00100202" w14:textId="00100203">
      <w:pPr>
        <w:spacing w:before="80" w:after="200"/>
        <w:jc w:val="center"/>
      </w:pPr>
      <w:r>
        <w:rPr>
          <w:i/>
          <w:color w:val="444444"/>
          <w:sz w:val="20"/>
        </w:rPr>
        <w:t>Figure 3. Query intent distribution across the multilingual QA dataset. Pie chart (left) and bar chart (right) showing the frequency of each intent class.</w:t>
      </w:r>
    </w:p>
    <w:p w14:paraId="00100204" w14:textId="00100205">
      <w:pPr>
        <w:spacing w:before="40" w:after="160"/>
      </w:pPr>
      <w:r>
        <w:rPr>
          <w:b w:val="0"/>
          <w:i w:val="0"/>
          <w:color w:val="000000"/>
          <w:sz w:val="22"/>
        </w:rPr>
        <w:t>The intent distribution (Figure 3) confirms the hypothesis that eligibility_query is the dominant intent (~40%), followed by application_process (~28%), benefit_query (~15%), document_query (~11%), and scheme_info (~6%). This concentration means that a model which performs well on the top two intent classes will satisfy the majority of user queries. The low frequency of scheme_info queries is somewhat surprising and may reflect the limited size of the QA dataset; in a production deployment with organic user queries, this class might be larger.</w:t>
      </w:r>
    </w:p>
    <w:p w14:paraId="00100206" w14:textId="00100207">
      <w:pPr>
        <w:spacing w:before="240" w:after="120"/>
      </w:pPr>
      <w:r>
        <w:rPr>
          <w:b/>
          <w:color w:val="1F4E79"/>
          <w:sz w:val="26"/>
        </w:rPr>
        <w:t>5.2 Model Results</w:t>
      </w:r>
    </w:p>
    <w:p w14:paraId="00100208" w14:textId="00100209">
      <w:pPr>
        <w:spacing w:before="40" w:after="160"/>
      </w:pPr>
      <w:r>
        <w:rPr>
          <w:b/>
          <w:i w:val="0"/>
          <w:color w:val="000000"/>
          <w:sz w:val="22"/>
        </w:rPr>
        <w:t>Figure 4 — Recommendation Model Performance</w:t>
      </w:r>
    </w:p>
    <w:p w14:paraId="0010020A" w14:textId="0010020B">
      <w:pPr>
        <w:spacing w:before="160" w:after="80"/>
        <w:jc w:val="center"/>
      </w:pPr>
      <w:r>
        <w:rPr>
          <w:b/>
          <w:color w:val="2E75B6"/>
          <w:sz w:val="22"/>
        </w:rPr>
        <w:t>[SCREENSHOT: 07_recommendation_performance.png]</w:t>
      </w:r>
    </w:p>
    <w:p w14:paraId="0010020C" w14:textId="0010020D">
      <w:pPr>
        <w:spacing w:before="80" w:after="200"/>
        <w:jc w:val="center"/>
      </w:pPr>
      <w:r>
        <w:rPr>
          <w:i/>
          <w:color w:val="444444"/>
          <w:sz w:val="20"/>
        </w:rPr>
        <w:t>Figure 4. Scheme recommendation model performance. Grouped bar chart comparing RandomForest and XGBoost on Hamming Loss, Micro-F1, and Macro-F1.</w:t>
      </w:r>
    </w:p>
    <w:p w14:paraId="0010020E" w14:textId="0010020F">
      <w:pPr>
        <w:spacing w:before="40" w:after="160"/>
      </w:pPr>
      <w:r>
        <w:rPr>
          <w:b w:val="0"/>
          <w:i w:val="0"/>
          <w:color w:val="000000"/>
          <w:sz w:val="22"/>
        </w:rPr>
        <w:t>The recommendation model results (Figure 4) show that both RandomForest and XGBoost exceed the Micro-F1 target of 0.70 set in the project objectives. XGBoost achieves Micro-F1 = 0.77 compared to RandomForest's 0.74, a difference of 0.03 — within the expected variance from synthetic-data noise. The Hamming Loss of 0.18 (RandomForest) means that, on average, 18% of scheme labels per citizen are incorrectly predicted. In an eight-scheme eligibility scenario, this translates to approximately 1.44 incorrect labels per prediction. The Macro-F1 deficit (RF: 0.61; XGB: 0.64) relative to Micro-F1 indicates that the model performs less well on rare schemes — as expected from the long-tail distribution of scheme popularity in the training data.</w:t>
      </w:r>
    </w:p>
    <w:tbl>
      <w:tblPr>
        <w:tblStyle w:val="TableGrid"/>
        <w:tblW w:w="0" w:type="auto"/>
        <w:tblLook w:val="04A0" w:firstRow="1" w:lastRow="0" w:firstColumn="1" w:lastColumn="0" w:noHBand="0" w:noVBand="1"/>
      </w:tblPr>
      <w:tblGrid>
        <w:gridCol w:w="1440"/>
        <w:gridCol w:w="1440"/>
        <w:gridCol w:w="1440"/>
        <w:gridCol w:w="1440"/>
        <w:gridCol w:w="1440"/>
        <w:gridCol w:w="1440"/>
      </w:tblGrid>
      <w:tr>
        <w:tc>
          <w:tcPr>
            <w:tcW w:w="2880" w:type="dxa"/>
          </w:tcPr>
          <w:p w14:paraId="00100210" w14:textId="00100211">
            <w:pPr>
              <w:shd w:val="clear" w:color="auto" w:fill="1F4E79"/>
            </w:pPr>
            <w:r>
              <w:rPr>
                <w:b/>
                <w:color w:val="FFFFFF"/>
                <w:sz w:val="20"/>
              </w:rPr>
              <w:t>Model</w:t>
            </w:r>
          </w:p>
        </w:tc>
        <w:tc>
          <w:tcPr>
            <w:tcW w:w="1296" w:type="dxa"/>
          </w:tcPr>
          <w:p w14:paraId="00100212" w14:textId="00100213">
            <w:pPr>
              <w:shd w:val="clear" w:color="auto" w:fill="1F4E79"/>
            </w:pPr>
            <w:r>
              <w:rPr>
                <w:b/>
                <w:color w:val="FFFFFF"/>
                <w:sz w:val="20"/>
              </w:rPr>
              <w:t>Hamming Loss</w:t>
            </w:r>
          </w:p>
        </w:tc>
        <w:tc>
          <w:tcPr>
            <w:tcW w:w="1152" w:type="dxa"/>
          </w:tcPr>
          <w:p w14:paraId="00100214" w14:textId="00100215">
            <w:pPr>
              <w:shd w:val="clear" w:color="auto" w:fill="1F4E79"/>
            </w:pPr>
            <w:r>
              <w:rPr>
                <w:b/>
                <w:color w:val="FFFFFF"/>
                <w:sz w:val="20"/>
              </w:rPr>
              <w:t>Micro-F1</w:t>
            </w:r>
          </w:p>
        </w:tc>
        <w:tc>
          <w:tcPr>
            <w:tcW w:w="1152" w:type="dxa"/>
          </w:tcPr>
          <w:p w14:paraId="00100216" w14:textId="00100217">
            <w:pPr>
              <w:shd w:val="clear" w:color="auto" w:fill="1F4E79"/>
            </w:pPr>
            <w:r>
              <w:rPr>
                <w:b/>
                <w:color w:val="FFFFFF"/>
                <w:sz w:val="20"/>
              </w:rPr>
              <w:t>Macro-F1</w:t>
            </w:r>
          </w:p>
        </w:tc>
        <w:tc>
          <w:tcPr>
            <w:tcW w:w="1296" w:type="dxa"/>
          </w:tcPr>
          <w:p w14:paraId="00100218" w14:textId="00100219">
            <w:pPr>
              <w:shd w:val="clear" w:color="auto" w:fill="1F4E79"/>
            </w:pPr>
            <w:r>
              <w:rPr>
                <w:b/>
                <w:color w:val="FFFFFF"/>
                <w:sz w:val="20"/>
              </w:rPr>
              <w:t>Training Time</w:t>
            </w:r>
          </w:p>
        </w:tc>
        <w:tc>
          <w:tcPr>
            <w:tcW w:w="1872" w:type="dxa"/>
          </w:tcPr>
          <w:p w14:paraId="0010021A" w14:textId="0010021B">
            <w:pPr>
              <w:shd w:val="clear" w:color="auto" w:fill="1F4E79"/>
            </w:pPr>
            <w:r>
              <w:rPr>
                <w:b/>
                <w:color w:val="FFFFFF"/>
                <w:sz w:val="20"/>
              </w:rPr>
              <w:t>Inference (ms/query)</w:t>
            </w:r>
          </w:p>
        </w:tc>
      </w:tr>
      <w:tr>
        <w:tc>
          <w:tcPr>
            <w:tcW w:w="2880" w:type="dxa"/>
          </w:tcPr>
          <w:p w14:paraId="0010021C" w14:textId="0010021D">
            <w:r>
              <w:rPr>
                <w:sz w:val="20"/>
              </w:rPr>
              <w:t>RandomForest (OvR, n=200)</w:t>
            </w:r>
          </w:p>
        </w:tc>
        <w:tc>
          <w:tcPr>
            <w:tcW w:w="1296" w:type="dxa"/>
          </w:tcPr>
          <w:p w14:paraId="0010021E" w14:textId="0010021F">
            <w:r>
              <w:rPr>
                <w:sz w:val="20"/>
              </w:rPr>
              <w:t>0.18</w:t>
            </w:r>
          </w:p>
        </w:tc>
        <w:tc>
          <w:tcPr>
            <w:tcW w:w="1152" w:type="dxa"/>
          </w:tcPr>
          <w:p w14:paraId="00100220" w14:textId="00100221">
            <w:r>
              <w:rPr>
                <w:sz w:val="20"/>
              </w:rPr>
              <w:t>0.74</w:t>
            </w:r>
          </w:p>
        </w:tc>
        <w:tc>
          <w:tcPr>
            <w:tcW w:w="1152" w:type="dxa"/>
          </w:tcPr>
          <w:p w14:paraId="00100222" w14:textId="00100223">
            <w:r>
              <w:rPr>
                <w:sz w:val="20"/>
              </w:rPr>
              <w:t>0.61</w:t>
            </w:r>
          </w:p>
        </w:tc>
        <w:tc>
          <w:tcPr>
            <w:tcW w:w="1296" w:type="dxa"/>
          </w:tcPr>
          <w:p w14:paraId="00100224" w14:textId="00100225">
            <w:r>
              <w:rPr>
                <w:sz w:val="20"/>
              </w:rPr>
              <w:t>~4 min</w:t>
            </w:r>
          </w:p>
        </w:tc>
        <w:tc>
          <w:tcPr>
            <w:tcW w:w="1872" w:type="dxa"/>
          </w:tcPr>
          <w:p w14:paraId="00100226" w14:textId="00100227">
            <w:r>
              <w:rPr>
                <w:sz w:val="20"/>
              </w:rPr>
              <w:t>&lt;5</w:t>
            </w:r>
          </w:p>
        </w:tc>
      </w:tr>
      <w:tr>
        <w:tc>
          <w:tcPr>
            <w:tcW w:w="2880" w:type="dxa"/>
          </w:tcPr>
          <w:p w14:paraId="00100228" w14:textId="00100229">
            <w:r>
              <w:rPr>
                <w:sz w:val="20"/>
              </w:rPr>
              <w:t>XGBoost (OvR, n=150)</w:t>
            </w:r>
          </w:p>
        </w:tc>
        <w:tc>
          <w:tcPr>
            <w:tcW w:w="1296" w:type="dxa"/>
          </w:tcPr>
          <w:p w14:paraId="0010022A" w14:textId="0010022B">
            <w:r>
              <w:rPr>
                <w:sz w:val="20"/>
              </w:rPr>
              <w:t>0.16</w:t>
            </w:r>
          </w:p>
        </w:tc>
        <w:tc>
          <w:tcPr>
            <w:tcW w:w="1152" w:type="dxa"/>
          </w:tcPr>
          <w:p w14:paraId="0010022C" w14:textId="0010022D">
            <w:r>
              <w:rPr>
                <w:sz w:val="20"/>
              </w:rPr>
              <w:t>0.77</w:t>
            </w:r>
          </w:p>
        </w:tc>
        <w:tc>
          <w:tcPr>
            <w:tcW w:w="1152" w:type="dxa"/>
          </w:tcPr>
          <w:p w14:paraId="0010022E" w14:textId="0010022F">
            <w:r>
              <w:rPr>
                <w:sz w:val="20"/>
              </w:rPr>
              <w:t>0.64</w:t>
            </w:r>
          </w:p>
        </w:tc>
        <w:tc>
          <w:tcPr>
            <w:tcW w:w="1296" w:type="dxa"/>
          </w:tcPr>
          <w:p w14:paraId="00100230" w14:textId="00100231">
            <w:r>
              <w:rPr>
                <w:sz w:val="20"/>
              </w:rPr>
              <w:t>~12 min</w:t>
            </w:r>
          </w:p>
        </w:tc>
        <w:tc>
          <w:tcPr>
            <w:tcW w:w="1872" w:type="dxa"/>
          </w:tcPr>
          <w:p w14:paraId="00100232" w14:textId="00100233">
            <w:r>
              <w:rPr>
                <w:sz w:val="20"/>
              </w:rPr>
              <w:t>&lt;8</w:t>
            </w:r>
          </w:p>
        </w:tc>
      </w:tr>
      <w:tr>
        <w:tc>
          <w:tcPr>
            <w:tcW w:w="2880" w:type="dxa"/>
          </w:tcPr>
          <w:p w14:paraId="00100234" w14:textId="00100235">
            <w:r>
              <w:rPr>
                <w:sz w:val="20"/>
              </w:rPr>
              <w:t>TF-IDF + LinearSVC (intent)</w:t>
            </w:r>
          </w:p>
        </w:tc>
        <w:tc>
          <w:tcPr>
            <w:tcW w:w="1296" w:type="dxa"/>
          </w:tcPr>
          <w:p w14:paraId="00100236" w14:textId="00100237">
            <w:r>
              <w:rPr>
                <w:sz w:val="20"/>
              </w:rPr>
              <w:t>N/A</w:t>
            </w:r>
          </w:p>
        </w:tc>
        <w:tc>
          <w:tcPr>
            <w:tcW w:w="1152" w:type="dxa"/>
          </w:tcPr>
          <w:p w14:paraId="00100238" w14:textId="00100239">
            <w:r>
              <w:rPr>
                <w:sz w:val="20"/>
              </w:rPr>
              <w:t>0.76</w:t>
            </w:r>
          </w:p>
        </w:tc>
        <w:tc>
          <w:tcPr>
            <w:tcW w:w="1152" w:type="dxa"/>
          </w:tcPr>
          <w:p w14:paraId="0010023A" w14:textId="0010023B">
            <w:r>
              <w:rPr>
                <w:sz w:val="20"/>
              </w:rPr>
              <w:t>0.71</w:t>
            </w:r>
          </w:p>
        </w:tc>
        <w:tc>
          <w:tcPr>
            <w:tcW w:w="1296" w:type="dxa"/>
          </w:tcPr>
          <w:p w14:paraId="0010023C" w14:textId="0010023D">
            <w:r>
              <w:rPr>
                <w:sz w:val="20"/>
              </w:rPr>
              <w:t>&lt; 30 sec</w:t>
            </w:r>
          </w:p>
        </w:tc>
        <w:tc>
          <w:tcPr>
            <w:tcW w:w="1872" w:type="dxa"/>
          </w:tcPr>
          <w:p w14:paraId="0010023E" w14:textId="0010023F">
            <w:r>
              <w:rPr>
                <w:sz w:val="20"/>
              </w:rPr>
              <w:t>&lt;1</w:t>
            </w:r>
          </w:p>
        </w:tc>
      </w:tr>
      <w:tr>
        <w:tc>
          <w:tcPr>
            <w:tcW w:w="2880" w:type="dxa"/>
          </w:tcPr>
          <w:p w14:paraId="00100240" w14:textId="00100241">
            <w:r>
              <w:rPr>
                <w:sz w:val="20"/>
              </w:rPr>
              <w:t>XLM-RoBERTa + SVC (intent)</w:t>
            </w:r>
          </w:p>
        </w:tc>
        <w:tc>
          <w:tcPr>
            <w:tcW w:w="1296" w:type="dxa"/>
          </w:tcPr>
          <w:p w14:paraId="00100242" w14:textId="00100243">
            <w:r>
              <w:rPr>
                <w:sz w:val="20"/>
              </w:rPr>
              <w:t>N/A</w:t>
            </w:r>
          </w:p>
        </w:tc>
        <w:tc>
          <w:tcPr>
            <w:tcW w:w="1152" w:type="dxa"/>
          </w:tcPr>
          <w:p w14:paraId="00100244" w14:textId="00100245">
            <w:r>
              <w:rPr>
                <w:sz w:val="20"/>
              </w:rPr>
              <w:t>0.80</w:t>
            </w:r>
          </w:p>
        </w:tc>
        <w:tc>
          <w:tcPr>
            <w:tcW w:w="1152" w:type="dxa"/>
          </w:tcPr>
          <w:p w14:paraId="00100246" w14:textId="00100247">
            <w:r>
              <w:rPr>
                <w:sz w:val="20"/>
              </w:rPr>
              <w:t>0.76</w:t>
            </w:r>
          </w:p>
        </w:tc>
        <w:tc>
          <w:tcPr>
            <w:tcW w:w="1296" w:type="dxa"/>
          </w:tcPr>
          <w:p w14:paraId="00100248" w14:textId="00100249">
            <w:r>
              <w:rPr>
                <w:sz w:val="20"/>
              </w:rPr>
              <w:t>~45 min</w:t>
            </w:r>
          </w:p>
        </w:tc>
        <w:tc>
          <w:tcPr>
            <w:tcW w:w="1872" w:type="dxa"/>
          </w:tcPr>
          <w:p w14:paraId="0010024A" w14:textId="0010024B">
            <w:r>
              <w:rPr>
                <w:sz w:val="20"/>
              </w:rPr>
              <w:t>~120</w:t>
            </w:r>
          </w:p>
        </w:tc>
      </w:tr>
    </w:tbl>
    <w:p w14:paraId="0010024C" w14:textId="0010024D">
      <w:pPr>
        <w:spacing w:after="160"/>
      </w:pPr>
    </w:p>
    <w:p w14:paraId="0010024E" w14:textId="0010024F">
      <w:pPr>
        <w:spacing w:before="80" w:after="200"/>
        <w:jc w:val="center"/>
      </w:pPr>
      <w:r>
        <w:rPr>
          <w:i/>
          <w:color w:val="444444"/>
          <w:sz w:val="20"/>
        </w:rPr>
        <w:t>Table 1. Summary of model performance. Metrics measured on 20% stratified held-out test set (synthetic data). Inference time measured on CPU (Intel i5, 16GB RAM).</w:t>
      </w:r>
    </w:p>
    <w:p w14:paraId="00100250" w14:textId="00100251">
      <w:pPr>
        <w:spacing w:before="40" w:after="160"/>
      </w:pPr>
      <w:r>
        <w:rPr>
          <w:b/>
          <w:i w:val="0"/>
          <w:color w:val="000000"/>
          <w:sz w:val="22"/>
        </w:rPr>
        <w:t>Figure 5 — Feature Importance</w:t>
      </w:r>
    </w:p>
    <w:p w14:paraId="00100252" w14:textId="00100253">
      <w:pPr>
        <w:spacing w:before="160" w:after="80"/>
        <w:jc w:val="center"/>
      </w:pPr>
      <w:r>
        <w:rPr>
          <w:b/>
          <w:color w:val="2E75B6"/>
          <w:sz w:val="22"/>
        </w:rPr>
        <w:t>[SCREENSHOT: 08_feature_importance.png]</w:t>
      </w:r>
    </w:p>
    <w:p w14:paraId="00100254" w14:textId="00100255">
      <w:pPr>
        <w:spacing w:before="80" w:after="200"/>
        <w:jc w:val="center"/>
      </w:pPr>
      <w:r>
        <w:rPr>
          <w:i/>
          <w:color w:val="444444"/>
          <w:sz w:val="20"/>
        </w:rPr>
        <w:t>Figure 5. Feature importance scores from the RandomForest recommendation model. Bars represent mean importance across all One-vs-Rest estimators.</w:t>
      </w:r>
    </w:p>
    <w:p w14:paraId="00100256" w14:textId="00100257">
      <w:pPr>
        <w:spacing w:before="40" w:after="160"/>
      </w:pPr>
      <w:r>
        <w:rPr>
          <w:b w:val="0"/>
          <w:i w:val="0"/>
          <w:color w:val="000000"/>
          <w:sz w:val="22"/>
        </w:rPr>
        <w:t>The feature importance analysis (Figure 5) reveals that vulnerability_score is the strongest predictor (importance ≈ 0.42), followed by income_bracket_code (≈ 0.28), age_bucket_code (≈ 0.19), and occupation_encoded (≈ 0.11). This hierarchy validates the feature engineering decision to build a composite score rather than relying on individual features. Practically, this finding means that a citizen registration form needs only four questions — age, income, occupation, and social category — to generate the vulnerability score and drive accurate recommendations. This has significant implications for the feasibility of WhatsApp or IVR-based intake (where form length is a major barrier to completion).</w:t>
      </w:r>
    </w:p>
    <w:p w14:paraId="00100258" w14:textId="00100259">
      <w:pPr>
        <w:spacing w:before="40" w:after="160"/>
      </w:pPr>
      <w:r>
        <w:rPr>
          <w:b/>
          <w:i w:val="0"/>
          <w:color w:val="000000"/>
          <w:sz w:val="22"/>
        </w:rPr>
        <w:t>Figure 6 — Per-Intent F1 Score</w:t>
      </w:r>
    </w:p>
    <w:p w14:paraId="0010025A" w14:textId="0010025B">
      <w:pPr>
        <w:spacing w:before="160" w:after="80"/>
        <w:jc w:val="center"/>
      </w:pPr>
      <w:r>
        <w:rPr>
          <w:b/>
          <w:color w:val="2E75B6"/>
          <w:sz w:val="22"/>
        </w:rPr>
        <w:t>[SCREENSHOT: 09_per_language_f1.png]</w:t>
      </w:r>
    </w:p>
    <w:p w14:paraId="0010025C" w14:textId="0010025D">
      <w:pPr>
        <w:spacing w:before="80" w:after="200"/>
        <w:jc w:val="center"/>
      </w:pPr>
      <w:r>
        <w:rPr>
          <w:i/>
          <w:color w:val="444444"/>
          <w:sz w:val="20"/>
        </w:rPr>
        <w:t>Figure 6. Per-intent F1 scores for the TF-IDF + LinearSVC intent classifier. The red dashed line marks the minimum acceptable threshold of 0.70.</w:t>
      </w:r>
    </w:p>
    <w:p w14:paraId="0010025E" w14:textId="0010025F">
      <w:pPr>
        <w:spacing w:before="40" w:after="160"/>
      </w:pPr>
      <w:r>
        <w:rPr>
          <w:b w:val="0"/>
          <w:i w:val="0"/>
          <w:color w:val="000000"/>
          <w:sz w:val="22"/>
        </w:rPr>
        <w:t>The per-intent F1 analysis (Figure 6) shows that eligibility_query achieves the highest F1 (0.81), consistent with this class having the most training examples and the most distinctive keyword patterns across languages. The scheme_info class scores lowest (0.65), falling below the 0.70 threshold. This shortfall is attributable to two factors: the scheme_info class is the most heterogeneous (encompassing any question that does not fit the other four classes), and it is the least represented in the training data. In production, this intent would benefit most from an XLM-RoBERTa fine-tuned model, as the semantic diversity of scheme_info queries exceeds what character n-grams can capture effectively.</w:t>
      </w:r>
    </w:p>
    <w:p w14:paraId="00100260" w14:textId="00100261">
      <w:r>
        <w:br w:type="page"/>
      </w:r>
    </w:p>
    <w:p w14:paraId="00100262" w14:textId="00100263">
      <w:pPr>
        <w:spacing w:before="360" w:after="160"/>
      </w:pPr>
      <w:r>
        <w:rPr>
          <w:b/>
          <w:color w:val="1F4E79"/>
          <w:sz w:val="32"/>
        </w:rPr>
        <w:t>Section 6: Discussion</w:t>
      </w:r>
    </w:p>
    <w:p w14:paraId="00100264" w14:textId="00100265">
      <w:pPr>
        <w:spacing w:before="240" w:after="120"/>
      </w:pPr>
      <w:r>
        <w:rPr>
          <w:b/>
          <w:color w:val="1F4E79"/>
          <w:sz w:val="26"/>
        </w:rPr>
        <w:t>6.1 What Worked</w:t>
      </w:r>
    </w:p>
    <w:p w14:paraId="00100266" w14:textId="00100267">
      <w:pPr>
        <w:spacing w:before="40" w:after="160"/>
      </w:pPr>
      <w:r>
        <w:rPr>
          <w:b w:val="0"/>
          <w:i w:val="0"/>
          <w:color w:val="000000"/>
          <w:sz w:val="22"/>
        </w:rPr>
        <w:t>The most successful design decision was the composite vulnerability score. By combining income, age extremity, and social category into a single feature with theoretically grounded weights, the feature engineering step produced the single most predictive variable in the model — a result that would not have been achievable by feeding raw demographic columns directly into the classifier. This validates the approach of domain-knowledge-driven feature engineering over purely data-driven automatic feature selection in welfare-classification contexts.</w:t>
      </w:r>
    </w:p>
    <w:p w14:paraId="00100268" w14:textId="00100269">
      <w:pPr>
        <w:spacing w:before="40" w:after="160"/>
      </w:pPr>
      <w:r>
        <w:rPr>
          <w:b w:val="0"/>
          <w:i w:val="0"/>
          <w:color w:val="000000"/>
          <w:sz w:val="22"/>
        </w:rPr>
        <w:t>The TF-IDF character n-gram fallback for intent classification proved more robust than expected. Character-level n-grams are language-agnostic by design — they capture shared morphological roots across Hindi, English, and Dravidian languages without requiring a trained language model. The LinearSVC classifier, despite its simplicity, achieved Macro-F1 of 0.71, within 0.05 of the XLM-RoBERTa variant on this dataset. For a lightweight deployment target — such as a government-hosted server with limited GPU resources — the TF-IDF pipeline is the recommended production choice.</w:t>
      </w:r>
    </w:p>
    <w:p w14:paraId="0010026A" w14:textId="0010026B">
      <w:pPr>
        <w:spacing w:before="40" w:after="160"/>
      </w:pPr>
      <w:r>
        <w:rPr>
          <w:b w:val="0"/>
          <w:i w:val="0"/>
          <w:color w:val="000000"/>
          <w:sz w:val="22"/>
        </w:rPr>
        <w:t>The multi-label framing of the recommendation problem was validated by the data. The average citizen in Dataset 2 qualified for 3.1 schemes simultaneously (mean label count), confirming that a single-label or ranking-only approach would suppress the majority of eligible scheme information.</w:t>
      </w:r>
    </w:p>
    <w:p w14:paraId="0010026C" w14:textId="0010026D">
      <w:pPr>
        <w:spacing w:before="240" w:after="120"/>
      </w:pPr>
      <w:r>
        <w:rPr>
          <w:b/>
          <w:color w:val="1F4E79"/>
          <w:sz w:val="26"/>
        </w:rPr>
        <w:t>6.2 What Did Not Work</w:t>
      </w:r>
    </w:p>
    <w:p w14:paraId="0010026E" w14:textId="0010026F">
      <w:pPr>
        <w:spacing w:before="40" w:after="160"/>
      </w:pPr>
      <w:r>
        <w:rPr>
          <w:b w:val="0"/>
          <w:i w:val="0"/>
          <w:color w:val="000000"/>
          <w:sz w:val="22"/>
        </w:rPr>
        <w:t>The Macro-F1 deficit (0.61–0.64 vs 0.74–0.77 Micro-F1) reveals a systematic weakness: the model performs poorly on rare schemes. This is expected from the OvR framework with class_weight='balanced', but the synthetic data does not provide enough examples of rare scheme eligibility patterns to train robust classifiers for the long tail. In a production system, rare schemes — which are often the most valuable for the most vulnerable citizens — would require deliberate data augmentation or scheme-specific rule injection.</w:t>
      </w:r>
    </w:p>
    <w:p w14:paraId="00100270" w14:textId="00100271">
      <w:pPr>
        <w:spacing w:before="40" w:after="160"/>
      </w:pPr>
      <w:r>
        <w:rPr>
          <w:b w:val="0"/>
          <w:i w:val="0"/>
          <w:color w:val="000000"/>
          <w:sz w:val="22"/>
        </w:rPr>
        <w:t>The scheme_info intent class underperformed (F1 = 0.65). The class is semantically too broad — it acts as an 'other' category — and future work should decompose it into more specific sub-intents (e.g., scheme_comparison, scheme_history, scheme_eligibility_details) to achieve cleaner decision boundaries. Additionally, the small size of Dataset 3 (1,200 rows) limited the diversity of training examples, particularly for low-resource languages such as Bengali and Kannada.</w:t>
      </w:r>
    </w:p>
    <w:p w14:paraId="00100272" w14:textId="00100273">
      <w:pPr>
        <w:spacing w:before="40" w:after="160"/>
      </w:pPr>
      <w:r>
        <w:rPr>
          <w:b w:val="0"/>
          <w:i w:val="0"/>
          <w:color w:val="000000"/>
          <w:sz w:val="22"/>
        </w:rPr>
        <w:t>State-level scheme variation was not modelled in this version. The recommendation model treats all citizens as national-level, ignoring that 28%+ of schemes in Dataset 1 have state-specific clauses. A production model would require state as a mandatory input feature and would benefit from a hierarchical model structure (national schemes + state-specific augmentation).</w:t>
      </w:r>
    </w:p>
    <w:p w14:paraId="00100274" w14:textId="00100275">
      <w:pPr>
        <w:spacing w:before="240" w:after="120"/>
      </w:pPr>
      <w:r>
        <w:rPr>
          <w:b/>
          <w:color w:val="1F4E79"/>
          <w:sz w:val="26"/>
        </w:rPr>
        <w:t>6.3 Comparison with Baseline</w:t>
      </w:r>
    </w:p>
    <w:p w14:paraId="00100276" w14:textId="00100277">
      <w:pPr>
        <w:spacing w:before="40" w:after="160"/>
      </w:pPr>
      <w:r>
        <w:rPr>
          <w:b w:val="0"/>
          <w:i w:val="0"/>
          <w:color w:val="000000"/>
          <w:sz w:val="22"/>
        </w:rPr>
        <w:t>No published benchmark exists for the specific multi-label scheme-recommendation task on Indian government data. As a contextual comparison: the myScheme portal's eligibility filter returns exact matches based on declared eligibility conditions (precision = 1.0 by definition, since it only returns schemes where all conditions are textually satisfied) but achieves near-zero recall on schemes where the eligibility text is ambiguous or missing. JanMitra's Micro-F1 of 0.74–0.77 reflects a trade-off: by using a learned classifier on a synthetic dataset, it accepts some false positives in exchange for substantially higher recall. In a beneficiary-assistance context, recall is more important than precision — failing to surface an eligible scheme (false negative) is more harmful than erroneously surfacing an ineligible scheme (false positive), since the latter is corrected at the application stage.</w:t>
      </w:r>
    </w:p>
    <w:p w14:paraId="00100278" w14:textId="00100279">
      <w:pPr>
        <w:spacing w:before="240" w:after="120"/>
      </w:pPr>
      <w:r>
        <w:rPr>
          <w:b/>
          <w:color w:val="1F4E79"/>
          <w:sz w:val="26"/>
        </w:rPr>
        <w:t>6.4 Practical Implications</w:t>
      </w:r>
    </w:p>
    <w:p w14:paraId="0010027A" w14:textId="0010027B">
      <w:pPr>
        <w:spacing w:before="40" w:after="160"/>
      </w:pPr>
      <w:r>
        <w:rPr>
          <w:b w:val="0"/>
          <w:i w:val="0"/>
          <w:color w:val="000000"/>
          <w:sz w:val="22"/>
        </w:rPr>
        <w:t>Three practical implications follow directly from the results. First, the finding that four simple demographic inputs drive accurate recommendations validates the feasibility of very short registration flows — a critical insight for WhatsApp-based or IVR-based intake in low-literacy populations. Second, the identification of the Rs. 1–3 LPA income band as under-served despite digital access provides an actionable targeting criterion for outreach by the Common Services Centre (CSC) network. Third, the heatmap's white cells — under-served demographic-category intersections — provide a schematic agenda for scheme design review, identifying where new schemes or scheme awareness campaigns are most needed.</w:t>
      </w:r>
    </w:p>
    <w:p w14:paraId="0010027C" w14:textId="0010027D">
      <w:r>
        <w:br w:type="page"/>
      </w:r>
    </w:p>
    <w:p w14:paraId="0010027E" w14:textId="0010027F">
      <w:pPr>
        <w:spacing w:before="360" w:after="160"/>
      </w:pPr>
      <w:r>
        <w:rPr>
          <w:b/>
          <w:color w:val="1F4E79"/>
          <w:sz w:val="32"/>
        </w:rPr>
        <w:t>Section 7: Conclusion</w:t>
      </w:r>
    </w:p>
    <w:p w14:paraId="00100280" w14:textId="00100281">
      <w:pPr>
        <w:spacing w:before="240" w:after="120"/>
      </w:pPr>
      <w:r>
        <w:rPr>
          <w:b/>
          <w:color w:val="1F4E79"/>
          <w:sz w:val="26"/>
        </w:rPr>
        <w:t>7.1 Summary</w:t>
      </w:r>
    </w:p>
    <w:p w14:paraId="00100282" w14:textId="00100283">
      <w:pPr>
        <w:spacing w:before="40" w:after="160"/>
      </w:pPr>
      <w:r>
        <w:rPr>
          <w:b w:val="0"/>
          <w:i w:val="0"/>
          <w:color w:val="000000"/>
          <w:sz w:val="22"/>
        </w:rPr>
        <w:t>This project demonstrated that a small, interpretable set of demographic features — age, income, occupation, and social category, combined into a composite vulnerability score — is sufficient to build a scheme recommendation model that achieves Micro-F1 of 0.74 (RandomForest) to 0.77 (XGBoost) on synthetic Indian government scheme eligibility data. A companion multilingual intent classifier, using TF-IDF character n-grams with LinearSVC, achieves Macro-F1 of 0.71 across five intent classes and six language tabs, providing a foundation for conversational access to scheme information. Both models were delivered within a fully functional Streamlit dashboard prototype that requires no technical knowledge from end users.</w:t>
      </w:r>
    </w:p>
    <w:p w14:paraId="00100284" w14:textId="00100285">
      <w:pPr>
        <w:spacing w:before="40" w:after="160"/>
      </w:pPr>
      <w:r>
        <w:rPr>
          <w:b w:val="0"/>
          <w:i w:val="0"/>
          <w:color w:val="000000"/>
          <w:sz w:val="22"/>
        </w:rPr>
        <w:t>The exploratory analysis established five key insights: the vulnerability score is the single best predictor; the Rs. 1–3 LPA band is the most under-served despite digital access; state-level scheme variation demands geo-personalisation; eligibility and process queries together constitute 68% of all user interactions; and SC/ST agricultural workers face the highest scheme multiplicity and therefore the greatest benefit from AI-assisted navigation. These findings are derived from synthetic data and should be treated as directional hypotheses for validation against real administrative records.</w:t>
      </w:r>
    </w:p>
    <w:p w14:paraId="00100286" w14:textId="00100287">
      <w:pPr>
        <w:spacing w:before="240" w:after="120"/>
      </w:pPr>
      <w:r>
        <w:rPr>
          <w:b/>
          <w:color w:val="1F4E79"/>
          <w:sz w:val="26"/>
        </w:rPr>
        <w:t>7.2 Three Measurable Recommendations</w:t>
      </w:r>
    </w:p>
    <w:p w14:paraId="00100288" w14:textId="00100289">
      <w:pPr>
        <w:pStyle w:val="ListBullet"/>
        <w:spacing w:after="140"/>
      </w:pPr>
      <w:r>
        <w:rPr>
          <w:sz w:val="22"/>
        </w:rPr>
        <w:t>1. Integrate the vulnerability score into the Unified Beneficiary Database (UBD): The Ministry of Rural Development should extend the UBD to include a computed vulnerability score for each registered beneficiary, using the income (40%), age (30%), and social category (30%) weighting validated in this project. This would enable automated scheme-matching at registration, without requiring citizens to self-identify eligible programmes. Target: 90% of BPL and LIG households in UBD have a vulnerability score computed within 12 months of pilot launch.</w:t>
      </w:r>
    </w:p>
    <w:p w14:paraId="0010028A" w14:textId="0010028B">
      <w:pPr>
        <w:pStyle w:val="ListBullet"/>
        <w:spacing w:after="140"/>
      </w:pPr>
      <w:r>
        <w:rPr>
          <w:sz w:val="22"/>
        </w:rPr>
        <w:t>2. Target JanMitra outreach at the Rs. 1–3 LPA income band via the Common Services Centre network: The CSC network's 5 lakh+ centres provide physical access to digital services in rural and semi-urban India. JanMitra's recommendation pipeline should be deployed at CSC terminals as a first-line triage tool for scheme discovery, with specific targeting of the Rs. 1–3 LPA household segment identified in the income bracket analysis. Target: 50 lakh scheme queries processed through CSC-JanMitra terminals within 6 months of deployment.</w:t>
      </w:r>
    </w:p>
    <w:p w14:paraId="0010028C" w14:textId="0010028D">
      <w:pPr>
        <w:pStyle w:val="ListBullet"/>
        <w:spacing w:after="140"/>
      </w:pPr>
      <w:r>
        <w:rPr>
          <w:sz w:val="22"/>
        </w:rPr>
        <w:t>3. Conduct a 90-day controlled pilot with one state's DBT portal to measure application-rate uplift: The synthetic-data limitation of this project precludes measurement of actual benefit delivery. A randomised controlled pilot — assigning half of new CSC registrations to JanMitra-assisted scheme discovery and the other half to the current manual process — would generate the causal evidence needed to justify national scaling. The primary outcome measure should be the number of successful scheme applications per registered citizen over 90 days. A minimum detectable effect of 0.5 additional applications per citizen (from the baseline of 0.7) is achievable with a sample of 10,000 citizens per arm.</w:t>
      </w:r>
    </w:p>
    <w:p w14:paraId="0010028E" w14:textId="0010028F">
      <w:pPr>
        <w:spacing w:before="240" w:after="120"/>
      </w:pPr>
      <w:r>
        <w:rPr>
          <w:b/>
          <w:color w:val="1F4E79"/>
          <w:sz w:val="26"/>
        </w:rPr>
        <w:t>7.3 Future Work</w:t>
      </w:r>
    </w:p>
    <w:p w14:paraId="00100290" w14:textId="00100291">
      <w:pPr>
        <w:spacing w:before="40" w:after="160"/>
      </w:pPr>
      <w:r>
        <w:rPr>
          <w:b w:val="0"/>
          <w:i w:val="0"/>
          <w:color w:val="000000"/>
          <w:sz w:val="22"/>
        </w:rPr>
        <w:t>Future development of JanMitra should proceed in three phases. Phase 1 (0–6 months): replace synthetic citizen data with real de-identified records from one state's SECC or DBT database; add state as a mandatory model feature; fine-tune XLM-RoBERTa on 50,000+ labelled multilingual queries for intent classification. Phase 2 (6–18 months): integrate the Bhashini ASR and TTS APIs for voice-based access; extend scheme coverage to all 28 states' own schemes; implement a real-time scheme-update pipeline that ingests the MyScheme portal's RSS feed. Phase 3 (18–36 months): conduct the national-scale pilot recommended above; publish a peer-reviewed evaluation of the system's impact on scheme uptake rates; open-source the codebase under a government-friendly licence (EUPL or Apache 2.0) for adoption by other state governments and civic technology organisations.</w:t>
      </w:r>
    </w:p>
    <w:p w14:paraId="00100292" w14:textId="00100293">
      <w:r>
        <w:br w:type="page"/>
      </w:r>
    </w:p>
    <w:p w14:paraId="00100294" w14:textId="00100295">
      <w:pPr>
        <w:spacing w:before="360" w:after="160"/>
      </w:pPr>
      <w:r>
        <w:rPr>
          <w:b/>
          <w:color w:val="1F4E79"/>
          <w:sz w:val="32"/>
        </w:rPr>
        <w:t>Section 8: References</w:t>
      </w:r>
    </w:p>
    <w:p w14:paraId="00100296" w14:textId="00100297">
      <w:pPr>
        <w:spacing w:before="40" w:after="160"/>
      </w:pPr>
      <w:r>
        <w:rPr>
          <w:b/>
          <w:i w:val="0"/>
          <w:color w:val="000000"/>
          <w:sz w:val="22"/>
        </w:rPr>
        <w:t>Dataset and Tool Citations</w:t>
      </w:r>
    </w:p>
    <w:p w14:paraId="00100298" w14:textId="00100299">
      <w:pPr>
        <w:pStyle w:val="ListBullet"/>
        <w:spacing w:after="100"/>
      </w:pPr>
      <w:r>
        <w:rPr>
          <w:sz w:val="20"/>
        </w:rPr>
        <w:t>Aditipatil56. (2024). adaption-india-govt-schemes-qa [Dataset]. HuggingFace Hub. https://huggingface.co/datasets/Aditipatil56/adaption-india-govt-schemes-qa</w:t>
      </w:r>
    </w:p>
    <w:p w14:paraId="0010029A" w14:textId="0010029B">
      <w:pPr>
        <w:pStyle w:val="ListBullet"/>
        <w:spacing w:after="100"/>
      </w:pPr>
      <w:r>
        <w:rPr>
          <w:sz w:val="20"/>
        </w:rPr>
        <w:t>Kaggle Contributor. (2023). Indian Government Schemes Dataset [Dataset; CSV, 4,702 records]. Kaggle. https://www.kaggle.com/datasets (CC BY 4.0)</w:t>
      </w:r>
    </w:p>
    <w:p w14:paraId="0010029C" w14:textId="0010029D">
      <w:pPr>
        <w:pStyle w:val="ListBullet"/>
        <w:spacing w:after="100"/>
      </w:pPr>
      <w:r>
        <w:rPr>
          <w:sz w:val="20"/>
        </w:rPr>
        <w:t>Kaggle Contributor. (2023). Indian Government Scheme Eligibility Dataset [Dataset; synthetic CSV, 50,200 records]. Kaggle. https://www.kaggle.com/datasets (CC BY-SA 4.0)</w:t>
      </w:r>
    </w:p>
    <w:p w14:paraId="0010029E" w14:textId="0010029F">
      <w:pPr>
        <w:spacing w:before="40" w:after="160"/>
      </w:pPr>
      <w:r>
        <w:rPr>
          <w:b/>
          <w:i w:val="0"/>
          <w:color w:val="000000"/>
          <w:sz w:val="22"/>
        </w:rPr>
        <w:t>Government Sources</w:t>
      </w:r>
    </w:p>
    <w:p w14:paraId="001002A0" w14:textId="001002A1">
      <w:pPr>
        <w:pStyle w:val="ListBullet"/>
        <w:spacing w:after="100"/>
      </w:pPr>
      <w:r>
        <w:rPr>
          <w:sz w:val="20"/>
        </w:rPr>
        <w:t>DBT Bharat Mission. (2023). Direct Benefit Transfer annual report 2022–23. Ministry of Finance, Government of India. https://dbtbharat.gov.in</w:t>
      </w:r>
    </w:p>
    <w:p w14:paraId="001002A2" w14:textId="001002A3">
      <w:pPr>
        <w:pStyle w:val="ListBullet"/>
        <w:spacing w:after="100"/>
      </w:pPr>
      <w:r>
        <w:rPr>
          <w:sz w:val="20"/>
        </w:rPr>
        <w:t>Ministry of Rural Development. (2023). Annual report 2022–23. Government of India. https://rural.nic.in</w:t>
      </w:r>
    </w:p>
    <w:p w14:paraId="001002A4" w14:textId="001002A5">
      <w:pPr>
        <w:pStyle w:val="ListBullet"/>
        <w:spacing w:after="100"/>
      </w:pPr>
      <w:r>
        <w:rPr>
          <w:sz w:val="20"/>
        </w:rPr>
        <w:t>NITI Aayog. (2022). India@100: Envisioning tomorrow's economic powerhouse. Government of India. https://niti.gov.in</w:t>
      </w:r>
    </w:p>
    <w:p w14:paraId="001002A6" w14:textId="001002A7">
      <w:pPr>
        <w:pStyle w:val="ListBullet"/>
        <w:spacing w:after="100"/>
      </w:pPr>
      <w:r>
        <w:rPr>
          <w:sz w:val="20"/>
        </w:rPr>
        <w:t>Ministry of Electronics and Information Technology. (2022). MyScheme: National scheme search portal. Government of India. https://www.myscheme.gov.in</w:t>
      </w:r>
    </w:p>
    <w:p w14:paraId="001002A8" w14:textId="001002A9">
      <w:pPr>
        <w:pStyle w:val="ListBullet"/>
        <w:spacing w:after="100"/>
      </w:pPr>
      <w:r>
        <w:rPr>
          <w:sz w:val="20"/>
        </w:rPr>
        <w:t>Ministry of Finance. (2023). Digital Personal Data Protection Act 2023. Government of India. https://digitalindia.gov.in/dpdpa</w:t>
      </w:r>
    </w:p>
    <w:p w14:paraId="001002AA" w14:textId="001002AB">
      <w:pPr>
        <w:spacing w:before="40" w:after="160"/>
      </w:pPr>
      <w:r>
        <w:rPr>
          <w:b/>
          <w:i w:val="0"/>
          <w:color w:val="000000"/>
          <w:sz w:val="22"/>
        </w:rPr>
        <w:t>Academic and Technical References</w:t>
      </w:r>
    </w:p>
    <w:p w14:paraId="001002AC" w14:textId="001002AD">
      <w:pPr>
        <w:pStyle w:val="ListBullet"/>
        <w:spacing w:after="100"/>
      </w:pPr>
      <w:r>
        <w:rPr>
          <w:sz w:val="20"/>
        </w:rPr>
        <w:t>Kuncheva, L. I. (2014). Combining pattern classifiers: Methods and algorithms (2nd ed.). Wiley.</w:t>
      </w:r>
    </w:p>
    <w:p w14:paraId="001002AE" w14:textId="001002AF">
      <w:pPr>
        <w:pStyle w:val="ListBullet"/>
        <w:spacing w:after="100"/>
      </w:pPr>
      <w:r>
        <w:rPr>
          <w:sz w:val="20"/>
        </w:rPr>
        <w:t>Pandey, A., Dey, S., &amp; Chakraborty, S. (2021). Rule-based eligibility checker for social welfare benefits: A scalable approach. Proceedings of the 22nd Annual International Conference on Digital Government Research, 145–153.</w:t>
      </w:r>
    </w:p>
    <w:p w14:paraId="001002B0" w14:textId="001002B1">
      <w:pPr>
        <w:pStyle w:val="ListBullet"/>
        <w:spacing w:after="100"/>
      </w:pPr>
      <w:r>
        <w:rPr>
          <w:sz w:val="20"/>
        </w:rPr>
        <w:t>Pedregosa, F., Varoquaux, G., Gramfort, A., Michel, V., Thirion, B., Grisel, O., ... &amp; Duchesnay, É. (2011). Scikit-learn: Machine learning in Python. Journal of Machine Learning Research, 12, 2825–2830.</w:t>
      </w:r>
    </w:p>
    <w:p w14:paraId="001002B2" w14:textId="001002B3">
      <w:pPr>
        <w:pStyle w:val="ListBullet"/>
        <w:spacing w:after="100"/>
      </w:pPr>
      <w:r>
        <w:rPr>
          <w:sz w:val="20"/>
        </w:rPr>
        <w:t>Tsoumakas, G., &amp; Katakis, I. (2007). Multi-label classification: An overview. International Journal of Data Warehousing and Mining, 3(3), 1–13.</w:t>
      </w:r>
    </w:p>
    <w:p w14:paraId="001002B4" w14:textId="001002B5">
      <w:pPr>
        <w:pStyle w:val="ListBullet"/>
        <w:spacing w:after="100"/>
      </w:pPr>
      <w:r>
        <w:rPr>
          <w:sz w:val="20"/>
        </w:rPr>
        <w:t>Conneau, A., Khandelwal, K., Goyal, N., Chaudhary, V., Wenzek, G., Guzmán, F., ... &amp; Stoyanov, V. (2020). Unsupervised cross-lingual representation learning at scale. Proceedings of ACL 2020, 8440–8451. https://arxiv.org/abs/1911.02116</w:t>
      </w:r>
    </w:p>
    <w:p w14:paraId="001002B6" w14:textId="001002B7">
      <w:pPr>
        <w:pStyle w:val="ListBullet"/>
        <w:spacing w:after="100"/>
      </w:pPr>
      <w:r>
        <w:rPr>
          <w:sz w:val="20"/>
        </w:rPr>
        <w:t>AI4Bharat. (2022). Indic-BERT: A multilingual language model for Indian languages. IIT Madras. https://ai4bharat.iitm.ac.in</w:t>
      </w:r>
    </w:p>
    <w:p w14:paraId="001002B8" w14:textId="001002B9">
      <w:pPr>
        <w:pStyle w:val="ListBullet"/>
        <w:spacing w:after="100"/>
      </w:pPr>
      <w:r>
        <w:rPr>
          <w:sz w:val="20"/>
        </w:rPr>
        <w:t>Chen, T., &amp; Guestrin, C. (2016). XGBoost: A scalable tree boosting system. Proceedings of the 22nd ACM SIGKDD, 785–794. https://doi.org/10.1145/2939672.2939785</w:t>
      </w:r>
    </w:p>
    <w:p w14:paraId="001002BA" w14:textId="001002BB">
      <w:pPr>
        <w:pStyle w:val="ListBullet"/>
        <w:spacing w:after="100"/>
      </w:pPr>
      <w:r>
        <w:rPr>
          <w:sz w:val="20"/>
        </w:rPr>
        <w:t>Streamlit Inc. (2024). Streamlit documentation (v1.59). https://docs.streamlit.io</w:t>
      </w:r>
    </w:p>
    <w:p w14:paraId="001002BC" w14:textId="001002BD">
      <w:pPr>
        <w:pStyle w:val="ListBullet"/>
        <w:spacing w:after="100"/>
      </w:pPr>
      <w:r>
        <w:rPr>
          <w:sz w:val="20"/>
        </w:rPr>
        <w:t>McKinney, W. (2010). Data structures for statistical computing in Python. Proceedings of the 9th Python in Science Conference, 51–56.</w:t>
      </w:r>
    </w:p>
    <w:p w14:paraId="001002BE" w14:textId="001002BF">
      <w:r>
        <w:br w:type="page"/>
      </w:r>
    </w:p>
    <w:p w14:paraId="001002C0" w14:textId="001002C1">
      <w:pPr>
        <w:spacing w:before="360" w:after="160"/>
      </w:pPr>
      <w:r>
        <w:rPr>
          <w:b/>
          <w:color w:val="1F4E79"/>
          <w:sz w:val="32"/>
        </w:rPr>
        <w:t>Appendix A: Full Data Dictionary</w:t>
      </w:r>
    </w:p>
    <w:p w14:paraId="001002C2" w14:textId="001002C3">
      <w:pPr>
        <w:spacing w:before="240" w:after="120"/>
      </w:pPr>
      <w:r>
        <w:rPr>
          <w:b/>
          <w:color w:val="1F4E79"/>
          <w:sz w:val="26"/>
        </w:rPr>
        <w:t>A.1 Dataset 1 — Indian Government Schemes</w:t>
      </w:r>
    </w:p>
    <w:tbl>
      <w:tblPr>
        <w:tblStyle w:val="TableGrid"/>
        <w:tblW w:w="0" w:type="auto"/>
        <w:tblLook w:val="04A0" w:firstRow="1" w:lastRow="0" w:firstColumn="1" w:lastColumn="0" w:noHBand="0" w:noVBand="1"/>
      </w:tblPr>
      <w:tblGrid>
        <w:gridCol w:w="1728"/>
        <w:gridCol w:w="1728"/>
        <w:gridCol w:w="1728"/>
        <w:gridCol w:w="1728"/>
        <w:gridCol w:w="1728"/>
      </w:tblGrid>
      <w:tr>
        <w:tc>
          <w:tcPr>
            <w:tcW w:w="2160" w:type="dxa"/>
          </w:tcPr>
          <w:p w14:paraId="001002C4" w14:textId="001002C5">
            <w:pPr>
              <w:shd w:val="clear" w:color="auto" w:fill="1F4E79"/>
            </w:pPr>
            <w:r>
              <w:rPr>
                <w:b/>
                <w:color w:val="FFFFFF"/>
                <w:sz w:val="20"/>
              </w:rPr>
              <w:t>Column Name</w:t>
            </w:r>
          </w:p>
        </w:tc>
        <w:tc>
          <w:tcPr>
            <w:tcW w:w="1296" w:type="dxa"/>
          </w:tcPr>
          <w:p w14:paraId="001002C6" w14:textId="001002C7">
            <w:pPr>
              <w:shd w:val="clear" w:color="auto" w:fill="1F4E79"/>
            </w:pPr>
            <w:r>
              <w:rPr>
                <w:b/>
                <w:color w:val="FFFFFF"/>
                <w:sz w:val="20"/>
              </w:rPr>
              <w:t>Data Type</w:t>
            </w:r>
          </w:p>
        </w:tc>
        <w:tc>
          <w:tcPr>
            <w:tcW w:w="2160" w:type="dxa"/>
          </w:tcPr>
          <w:p w14:paraId="001002C8" w14:textId="001002C9">
            <w:pPr>
              <w:shd w:val="clear" w:color="auto" w:fill="1F4E79"/>
            </w:pPr>
            <w:r>
              <w:rPr>
                <w:b/>
                <w:color w:val="FFFFFF"/>
                <w:sz w:val="20"/>
              </w:rPr>
              <w:t>Example Value</w:t>
            </w:r>
          </w:p>
        </w:tc>
        <w:tc>
          <w:tcPr>
            <w:tcW w:w="3024" w:type="dxa"/>
          </w:tcPr>
          <w:p w14:paraId="001002CA" w14:textId="001002CB">
            <w:pPr>
              <w:shd w:val="clear" w:color="auto" w:fill="1F4E79"/>
            </w:pPr>
            <w:r>
              <w:rPr>
                <w:b/>
                <w:color w:val="FFFFFF"/>
                <w:sz w:val="20"/>
              </w:rPr>
              <w:t>Description</w:t>
            </w:r>
          </w:p>
        </w:tc>
        <w:tc>
          <w:tcPr>
            <w:tcW w:w="1008" w:type="dxa"/>
          </w:tcPr>
          <w:p w14:paraId="001002CC" w14:textId="001002CD">
            <w:pPr>
              <w:shd w:val="clear" w:color="auto" w:fill="1F4E79"/>
            </w:pPr>
            <w:r>
              <w:rPr>
                <w:b/>
                <w:color w:val="FFFFFF"/>
                <w:sz w:val="20"/>
              </w:rPr>
              <w:t>Missing %</w:t>
            </w:r>
          </w:p>
        </w:tc>
      </w:tr>
      <w:tr>
        <w:tc>
          <w:tcPr>
            <w:tcW w:w="2160" w:type="dxa"/>
          </w:tcPr>
          <w:p w14:paraId="001002CE" w14:textId="001002CF">
            <w:r>
              <w:rPr>
                <w:sz w:val="20"/>
              </w:rPr>
              <w:t>scheme_name</w:t>
            </w:r>
          </w:p>
        </w:tc>
        <w:tc>
          <w:tcPr>
            <w:tcW w:w="1296" w:type="dxa"/>
          </w:tcPr>
          <w:p w14:paraId="001002D0" w14:textId="001002D1">
            <w:r>
              <w:rPr>
                <w:sz w:val="20"/>
              </w:rPr>
              <w:t>String</w:t>
            </w:r>
          </w:p>
        </w:tc>
        <w:tc>
          <w:tcPr>
            <w:tcW w:w="2160" w:type="dxa"/>
          </w:tcPr>
          <w:p w14:paraId="001002D2" w14:textId="001002D3">
            <w:r>
              <w:rPr>
                <w:sz w:val="20"/>
              </w:rPr>
              <w:t>PM Kisan Samman Nidhi</w:t>
            </w:r>
          </w:p>
        </w:tc>
        <w:tc>
          <w:tcPr>
            <w:tcW w:w="3024" w:type="dxa"/>
          </w:tcPr>
          <w:p w14:paraId="001002D4" w14:textId="001002D5">
            <w:r>
              <w:rPr>
                <w:sz w:val="20"/>
              </w:rPr>
              <w:t>Official scheme name as listed on MyScheme portal</w:t>
            </w:r>
          </w:p>
        </w:tc>
        <w:tc>
          <w:tcPr>
            <w:tcW w:w="1008" w:type="dxa"/>
          </w:tcPr>
          <w:p w14:paraId="001002D6" w14:textId="001002D7">
            <w:r>
              <w:rPr>
                <w:sz w:val="20"/>
              </w:rPr>
              <w:t>0%</w:t>
            </w:r>
          </w:p>
        </w:tc>
      </w:tr>
      <w:tr>
        <w:tc>
          <w:tcPr>
            <w:tcW w:w="2160" w:type="dxa"/>
          </w:tcPr>
          <w:p w14:paraId="001002D8" w14:textId="001002D9">
            <w:r>
              <w:rPr>
                <w:sz w:val="20"/>
              </w:rPr>
              <w:t>ministry</w:t>
            </w:r>
          </w:p>
        </w:tc>
        <w:tc>
          <w:tcPr>
            <w:tcW w:w="1296" w:type="dxa"/>
          </w:tcPr>
          <w:p w14:paraId="001002DA" w14:textId="001002DB">
            <w:r>
              <w:rPr>
                <w:sz w:val="20"/>
              </w:rPr>
              <w:t>Categorical</w:t>
            </w:r>
          </w:p>
        </w:tc>
        <w:tc>
          <w:tcPr>
            <w:tcW w:w="2160" w:type="dxa"/>
          </w:tcPr>
          <w:p w14:paraId="001002DC" w14:textId="001002DD">
            <w:r>
              <w:rPr>
                <w:sz w:val="20"/>
              </w:rPr>
              <w:t>Ministry of Agriculture</w:t>
            </w:r>
          </w:p>
        </w:tc>
        <w:tc>
          <w:tcPr>
            <w:tcW w:w="3024" w:type="dxa"/>
          </w:tcPr>
          <w:p w14:paraId="001002DE" w14:textId="001002DF">
            <w:r>
              <w:rPr>
                <w:sz w:val="20"/>
              </w:rPr>
              <w:t>Administering central ministry</w:t>
            </w:r>
          </w:p>
        </w:tc>
        <w:tc>
          <w:tcPr>
            <w:tcW w:w="1008" w:type="dxa"/>
          </w:tcPr>
          <w:p w14:paraId="001002E0" w14:textId="001002E1">
            <w:r>
              <w:rPr>
                <w:sz w:val="20"/>
              </w:rPr>
              <w:t>4.2%</w:t>
            </w:r>
          </w:p>
        </w:tc>
      </w:tr>
      <w:tr>
        <w:tc>
          <w:tcPr>
            <w:tcW w:w="2160" w:type="dxa"/>
          </w:tcPr>
          <w:p w14:paraId="001002E2" w14:textId="001002E3">
            <w:r>
              <w:rPr>
                <w:sz w:val="20"/>
              </w:rPr>
              <w:t>department</w:t>
            </w:r>
          </w:p>
        </w:tc>
        <w:tc>
          <w:tcPr>
            <w:tcW w:w="1296" w:type="dxa"/>
          </w:tcPr>
          <w:p w14:paraId="001002E4" w14:textId="001002E5">
            <w:r>
              <w:rPr>
                <w:sz w:val="20"/>
              </w:rPr>
              <w:t>Categorical</w:t>
            </w:r>
          </w:p>
        </w:tc>
        <w:tc>
          <w:tcPr>
            <w:tcW w:w="2160" w:type="dxa"/>
          </w:tcPr>
          <w:p w14:paraId="001002E6" w14:textId="001002E7">
            <w:r>
              <w:rPr>
                <w:sz w:val="20"/>
              </w:rPr>
              <w:t>Dept of Agriculture</w:t>
            </w:r>
          </w:p>
        </w:tc>
        <w:tc>
          <w:tcPr>
            <w:tcW w:w="3024" w:type="dxa"/>
          </w:tcPr>
          <w:p w14:paraId="001002E8" w14:textId="001002E9">
            <w:r>
              <w:rPr>
                <w:sz w:val="20"/>
              </w:rPr>
              <w:t>Specific department within the ministry</w:t>
            </w:r>
          </w:p>
        </w:tc>
        <w:tc>
          <w:tcPr>
            <w:tcW w:w="1008" w:type="dxa"/>
          </w:tcPr>
          <w:p w14:paraId="001002EA" w14:textId="001002EB">
            <w:r>
              <w:rPr>
                <w:sz w:val="20"/>
              </w:rPr>
              <w:t>8.1%</w:t>
            </w:r>
          </w:p>
        </w:tc>
      </w:tr>
      <w:tr>
        <w:tc>
          <w:tcPr>
            <w:tcW w:w="2160" w:type="dxa"/>
          </w:tcPr>
          <w:p w14:paraId="001002EC" w14:textId="001002ED">
            <w:r>
              <w:rPr>
                <w:sz w:val="20"/>
              </w:rPr>
              <w:t>category</w:t>
            </w:r>
          </w:p>
        </w:tc>
        <w:tc>
          <w:tcPr>
            <w:tcW w:w="1296" w:type="dxa"/>
          </w:tcPr>
          <w:p w14:paraId="001002EE" w14:textId="001002EF">
            <w:r>
              <w:rPr>
                <w:sz w:val="20"/>
              </w:rPr>
              <w:t>Categorical</w:t>
            </w:r>
          </w:p>
        </w:tc>
        <w:tc>
          <w:tcPr>
            <w:tcW w:w="2160" w:type="dxa"/>
          </w:tcPr>
          <w:p w14:paraId="001002F0" w14:textId="001002F1">
            <w:r>
              <w:rPr>
                <w:sz w:val="20"/>
              </w:rPr>
              <w:t>Agriculture</w:t>
            </w:r>
          </w:p>
        </w:tc>
        <w:tc>
          <w:tcPr>
            <w:tcW w:w="3024" w:type="dxa"/>
          </w:tcPr>
          <w:p w14:paraId="001002F2" w14:textId="001002F3">
            <w:r>
              <w:rPr>
                <w:sz w:val="20"/>
              </w:rPr>
              <w:t>Thematic sector (29 categories)</w:t>
            </w:r>
          </w:p>
        </w:tc>
        <w:tc>
          <w:tcPr>
            <w:tcW w:w="1008" w:type="dxa"/>
          </w:tcPr>
          <w:p w14:paraId="001002F4" w14:textId="001002F5">
            <w:r>
              <w:rPr>
                <w:sz w:val="20"/>
              </w:rPr>
              <w:t>6.1%</w:t>
            </w:r>
          </w:p>
        </w:tc>
      </w:tr>
      <w:tr>
        <w:tc>
          <w:tcPr>
            <w:tcW w:w="2160" w:type="dxa"/>
          </w:tcPr>
          <w:p w14:paraId="001002F6" w14:textId="001002F7">
            <w:r>
              <w:rPr>
                <w:sz w:val="20"/>
              </w:rPr>
              <w:t>sub_category</w:t>
            </w:r>
          </w:p>
        </w:tc>
        <w:tc>
          <w:tcPr>
            <w:tcW w:w="1296" w:type="dxa"/>
          </w:tcPr>
          <w:p w14:paraId="001002F8" w14:textId="001002F9">
            <w:r>
              <w:rPr>
                <w:sz w:val="20"/>
              </w:rPr>
              <w:t>Categorical</w:t>
            </w:r>
          </w:p>
        </w:tc>
        <w:tc>
          <w:tcPr>
            <w:tcW w:w="2160" w:type="dxa"/>
          </w:tcPr>
          <w:p w14:paraId="001002FA" w14:textId="001002FB">
            <w:r>
              <w:rPr>
                <w:sz w:val="20"/>
              </w:rPr>
              <w:t>Farmer Welfare</w:t>
            </w:r>
          </w:p>
        </w:tc>
        <w:tc>
          <w:tcPr>
            <w:tcW w:w="3024" w:type="dxa"/>
          </w:tcPr>
          <w:p w14:paraId="001002FC" w14:textId="001002FD">
            <w:r>
              <w:rPr>
                <w:sz w:val="20"/>
              </w:rPr>
              <w:t>Sub-sector within category</w:t>
            </w:r>
          </w:p>
        </w:tc>
        <w:tc>
          <w:tcPr>
            <w:tcW w:w="1008" w:type="dxa"/>
          </w:tcPr>
          <w:p w14:paraId="001002FE" w14:textId="001002FF">
            <w:r>
              <w:rPr>
                <w:sz w:val="20"/>
              </w:rPr>
              <w:t>22.3%</w:t>
            </w:r>
          </w:p>
        </w:tc>
      </w:tr>
      <w:tr>
        <w:tc>
          <w:tcPr>
            <w:tcW w:w="2160" w:type="dxa"/>
          </w:tcPr>
          <w:p w14:paraId="00100300" w14:textId="00100301">
            <w:r>
              <w:rPr>
                <w:sz w:val="20"/>
              </w:rPr>
              <w:t>target_beneficiary</w:t>
            </w:r>
          </w:p>
        </w:tc>
        <w:tc>
          <w:tcPr>
            <w:tcW w:w="1296" w:type="dxa"/>
          </w:tcPr>
          <w:p w14:paraId="00100302" w14:textId="00100303">
            <w:r>
              <w:rPr>
                <w:sz w:val="20"/>
              </w:rPr>
              <w:t>Categorical</w:t>
            </w:r>
          </w:p>
        </w:tc>
        <w:tc>
          <w:tcPr>
            <w:tcW w:w="2160" w:type="dxa"/>
          </w:tcPr>
          <w:p w14:paraId="00100304" w14:textId="00100305">
            <w:r>
              <w:rPr>
                <w:sz w:val="20"/>
              </w:rPr>
              <w:t>Farmers</w:t>
            </w:r>
          </w:p>
        </w:tc>
        <w:tc>
          <w:tcPr>
            <w:tcW w:w="3024" w:type="dxa"/>
          </w:tcPr>
          <w:p w14:paraId="00100306" w14:textId="00100307">
            <w:r>
              <w:rPr>
                <w:sz w:val="20"/>
              </w:rPr>
              <w:t>Primary intended beneficiary group</w:t>
            </w:r>
          </w:p>
        </w:tc>
        <w:tc>
          <w:tcPr>
            <w:tcW w:w="1008" w:type="dxa"/>
          </w:tcPr>
          <w:p w14:paraId="00100308" w14:textId="00100309">
            <w:r>
              <w:rPr>
                <w:sz w:val="20"/>
              </w:rPr>
              <w:t>9.4%</w:t>
            </w:r>
          </w:p>
        </w:tc>
      </w:tr>
      <w:tr>
        <w:tc>
          <w:tcPr>
            <w:tcW w:w="2160" w:type="dxa"/>
          </w:tcPr>
          <w:p w14:paraId="0010030A" w14:textId="0010030B">
            <w:r>
              <w:rPr>
                <w:sz w:val="20"/>
              </w:rPr>
              <w:t>eligibility_criteria</w:t>
            </w:r>
          </w:p>
        </w:tc>
        <w:tc>
          <w:tcPr>
            <w:tcW w:w="1296" w:type="dxa"/>
          </w:tcPr>
          <w:p w14:paraId="0010030C" w14:textId="0010030D">
            <w:r>
              <w:rPr>
                <w:sz w:val="20"/>
              </w:rPr>
              <w:t>Free text</w:t>
            </w:r>
          </w:p>
        </w:tc>
        <w:tc>
          <w:tcPr>
            <w:tcW w:w="2160" w:type="dxa"/>
          </w:tcPr>
          <w:p w14:paraId="0010030E" w14:textId="0010030F">
            <w:r>
              <w:rPr>
                <w:sz w:val="20"/>
              </w:rPr>
              <w:t>Age &gt;= 18; Income &lt; 2.5 LPA</w:t>
            </w:r>
          </w:p>
        </w:tc>
        <w:tc>
          <w:tcPr>
            <w:tcW w:w="3024" w:type="dxa"/>
          </w:tcPr>
          <w:p w14:paraId="00100310" w14:textId="00100311">
            <w:r>
              <w:rPr>
                <w:sz w:val="20"/>
              </w:rPr>
              <w:t>Free-text eligibility conditions</w:t>
            </w:r>
          </w:p>
        </w:tc>
        <w:tc>
          <w:tcPr>
            <w:tcW w:w="1008" w:type="dxa"/>
          </w:tcPr>
          <w:p w14:paraId="00100312" w14:textId="00100313">
            <w:r>
              <w:rPr>
                <w:sz w:val="20"/>
              </w:rPr>
              <w:t>11.3%</w:t>
            </w:r>
          </w:p>
        </w:tc>
      </w:tr>
      <w:tr>
        <w:tc>
          <w:tcPr>
            <w:tcW w:w="2160" w:type="dxa"/>
          </w:tcPr>
          <w:p w14:paraId="00100314" w14:textId="00100315">
            <w:r>
              <w:rPr>
                <w:sz w:val="20"/>
              </w:rPr>
              <w:t>benefits</w:t>
            </w:r>
          </w:p>
        </w:tc>
        <w:tc>
          <w:tcPr>
            <w:tcW w:w="1296" w:type="dxa"/>
          </w:tcPr>
          <w:p w14:paraId="00100316" w14:textId="00100317">
            <w:r>
              <w:rPr>
                <w:sz w:val="20"/>
              </w:rPr>
              <w:t>Free text</w:t>
            </w:r>
          </w:p>
        </w:tc>
        <w:tc>
          <w:tcPr>
            <w:tcW w:w="2160" w:type="dxa"/>
          </w:tcPr>
          <w:p w14:paraId="00100318" w14:textId="00100319">
            <w:r>
              <w:rPr>
                <w:sz w:val="20"/>
              </w:rPr>
              <w:t>Rs. 6,000/year in 3 instalments</w:t>
            </w:r>
          </w:p>
        </w:tc>
        <w:tc>
          <w:tcPr>
            <w:tcW w:w="3024" w:type="dxa"/>
          </w:tcPr>
          <w:p w14:paraId="0010031A" w14:textId="0010031B">
            <w:r>
              <w:rPr>
                <w:sz w:val="20"/>
              </w:rPr>
              <w:t>Description of scheme benefits</w:t>
            </w:r>
          </w:p>
        </w:tc>
        <w:tc>
          <w:tcPr>
            <w:tcW w:w="1008" w:type="dxa"/>
          </w:tcPr>
          <w:p w14:paraId="0010031C" w14:textId="0010031D">
            <w:r>
              <w:rPr>
                <w:sz w:val="20"/>
              </w:rPr>
              <w:t>9.8%</w:t>
            </w:r>
          </w:p>
        </w:tc>
      </w:tr>
      <w:tr>
        <w:tc>
          <w:tcPr>
            <w:tcW w:w="2160" w:type="dxa"/>
          </w:tcPr>
          <w:p w14:paraId="0010031E" w14:textId="0010031F">
            <w:r>
              <w:rPr>
                <w:sz w:val="20"/>
              </w:rPr>
              <w:t>application_mode</w:t>
            </w:r>
          </w:p>
        </w:tc>
        <w:tc>
          <w:tcPr>
            <w:tcW w:w="1296" w:type="dxa"/>
          </w:tcPr>
          <w:p w14:paraId="00100320" w14:textId="00100321">
            <w:r>
              <w:rPr>
                <w:sz w:val="20"/>
              </w:rPr>
              <w:t>Categorical</w:t>
            </w:r>
          </w:p>
        </w:tc>
        <w:tc>
          <w:tcPr>
            <w:tcW w:w="2160" w:type="dxa"/>
          </w:tcPr>
          <w:p w14:paraId="00100322" w14:textId="00100323">
            <w:r>
              <w:rPr>
                <w:sz w:val="20"/>
              </w:rPr>
              <w:t>Online</w:t>
            </w:r>
          </w:p>
        </w:tc>
        <w:tc>
          <w:tcPr>
            <w:tcW w:w="3024" w:type="dxa"/>
          </w:tcPr>
          <w:p w14:paraId="00100324" w14:textId="00100325">
            <w:r>
              <w:rPr>
                <w:sz w:val="20"/>
              </w:rPr>
              <w:t>How to apply: Online / Offline / Both</w:t>
            </w:r>
          </w:p>
        </w:tc>
        <w:tc>
          <w:tcPr>
            <w:tcW w:w="1008" w:type="dxa"/>
          </w:tcPr>
          <w:p w14:paraId="00100326" w14:textId="00100327">
            <w:r>
              <w:rPr>
                <w:sz w:val="20"/>
              </w:rPr>
              <w:t>7.2%</w:t>
            </w:r>
          </w:p>
        </w:tc>
      </w:tr>
      <w:tr>
        <w:tc>
          <w:tcPr>
            <w:tcW w:w="2160" w:type="dxa"/>
          </w:tcPr>
          <w:p w14:paraId="00100328" w14:textId="00100329">
            <w:r>
              <w:rPr>
                <w:sz w:val="20"/>
              </w:rPr>
              <w:t>apply_link</w:t>
            </w:r>
          </w:p>
        </w:tc>
        <w:tc>
          <w:tcPr>
            <w:tcW w:w="1296" w:type="dxa"/>
          </w:tcPr>
          <w:p w14:paraId="0010032A" w14:textId="0010032B">
            <w:r>
              <w:rPr>
                <w:sz w:val="20"/>
              </w:rPr>
              <w:t>URL</w:t>
            </w:r>
          </w:p>
        </w:tc>
        <w:tc>
          <w:tcPr>
            <w:tcW w:w="2160" w:type="dxa"/>
          </w:tcPr>
          <w:p w14:paraId="0010032C" w14:textId="0010032D">
            <w:r>
              <w:rPr>
                <w:sz w:val="20"/>
              </w:rPr>
              <w:t>https://pmkisan.gov.in</w:t>
            </w:r>
          </w:p>
        </w:tc>
        <w:tc>
          <w:tcPr>
            <w:tcW w:w="3024" w:type="dxa"/>
          </w:tcPr>
          <w:p w14:paraId="0010032E" w14:textId="0010032F">
            <w:r>
              <w:rPr>
                <w:sz w:val="20"/>
              </w:rPr>
              <w:t>Official application portal URL</w:t>
            </w:r>
          </w:p>
        </w:tc>
        <w:tc>
          <w:tcPr>
            <w:tcW w:w="1008" w:type="dxa"/>
          </w:tcPr>
          <w:p w14:paraId="00100330" w14:textId="00100331">
            <w:r>
              <w:rPr>
                <w:sz w:val="20"/>
              </w:rPr>
              <w:t>14.7%</w:t>
            </w:r>
          </w:p>
        </w:tc>
      </w:tr>
      <w:tr>
        <w:tc>
          <w:tcPr>
            <w:tcW w:w="2160" w:type="dxa"/>
          </w:tcPr>
          <w:p w14:paraId="00100332" w14:textId="00100333">
            <w:r>
              <w:rPr>
                <w:sz w:val="20"/>
              </w:rPr>
              <w:t>launch_year</w:t>
            </w:r>
          </w:p>
        </w:tc>
        <w:tc>
          <w:tcPr>
            <w:tcW w:w="1296" w:type="dxa"/>
          </w:tcPr>
          <w:p w14:paraId="00100334" w14:textId="00100335">
            <w:r>
              <w:rPr>
                <w:sz w:val="20"/>
              </w:rPr>
              <w:t>Integer</w:t>
            </w:r>
          </w:p>
        </w:tc>
        <w:tc>
          <w:tcPr>
            <w:tcW w:w="2160" w:type="dxa"/>
          </w:tcPr>
          <w:p w14:paraId="00100336" w14:textId="00100337">
            <w:r>
              <w:rPr>
                <w:sz w:val="20"/>
              </w:rPr>
              <w:t>2019</w:t>
            </w:r>
          </w:p>
        </w:tc>
        <w:tc>
          <w:tcPr>
            <w:tcW w:w="3024" w:type="dxa"/>
          </w:tcPr>
          <w:p w14:paraId="00100338" w14:textId="00100339">
            <w:r>
              <w:rPr>
                <w:sz w:val="20"/>
              </w:rPr>
              <w:t>Year scheme was launched</w:t>
            </w:r>
          </w:p>
        </w:tc>
        <w:tc>
          <w:tcPr>
            <w:tcW w:w="1008" w:type="dxa"/>
          </w:tcPr>
          <w:p w14:paraId="0010033A" w14:textId="0010033B">
            <w:r>
              <w:rPr>
                <w:sz w:val="20"/>
              </w:rPr>
              <w:t>18.4%</w:t>
            </w:r>
          </w:p>
        </w:tc>
      </w:tr>
      <w:tr>
        <w:tc>
          <w:tcPr>
            <w:tcW w:w="2160" w:type="dxa"/>
          </w:tcPr>
          <w:p w14:paraId="0010033C" w14:textId="0010033D">
            <w:r>
              <w:rPr>
                <w:sz w:val="20"/>
              </w:rPr>
              <w:t>scheme_type</w:t>
            </w:r>
          </w:p>
        </w:tc>
        <w:tc>
          <w:tcPr>
            <w:tcW w:w="1296" w:type="dxa"/>
          </w:tcPr>
          <w:p w14:paraId="0010033E" w14:textId="0010033F">
            <w:r>
              <w:rPr>
                <w:sz w:val="20"/>
              </w:rPr>
              <w:t>Categorical</w:t>
            </w:r>
          </w:p>
        </w:tc>
        <w:tc>
          <w:tcPr>
            <w:tcW w:w="2160" w:type="dxa"/>
          </w:tcPr>
          <w:p w14:paraId="00100340" w14:textId="00100341">
            <w:r>
              <w:rPr>
                <w:sz w:val="20"/>
              </w:rPr>
              <w:t>Central</w:t>
            </w:r>
          </w:p>
        </w:tc>
        <w:tc>
          <w:tcPr>
            <w:tcW w:w="3024" w:type="dxa"/>
          </w:tcPr>
          <w:p w14:paraId="00100342" w14:textId="00100343">
            <w:r>
              <w:rPr>
                <w:sz w:val="20"/>
              </w:rPr>
              <w:t>Central / State / Centrally Sponsored</w:t>
            </w:r>
          </w:p>
        </w:tc>
        <w:tc>
          <w:tcPr>
            <w:tcW w:w="1008" w:type="dxa"/>
          </w:tcPr>
          <w:p w14:paraId="00100344" w14:textId="00100345">
            <w:r>
              <w:rPr>
                <w:sz w:val="20"/>
              </w:rPr>
              <w:t>2.1%</w:t>
            </w:r>
          </w:p>
        </w:tc>
      </w:tr>
      <w:tr>
        <w:tc>
          <w:tcPr>
            <w:tcW w:w="2160" w:type="dxa"/>
          </w:tcPr>
          <w:p w14:paraId="00100346" w14:textId="00100347">
            <w:r>
              <w:rPr>
                <w:sz w:val="20"/>
              </w:rPr>
              <w:t>state</w:t>
            </w:r>
          </w:p>
        </w:tc>
        <w:tc>
          <w:tcPr>
            <w:tcW w:w="1296" w:type="dxa"/>
          </w:tcPr>
          <w:p w14:paraId="00100348" w14:textId="00100349">
            <w:r>
              <w:rPr>
                <w:sz w:val="20"/>
              </w:rPr>
              <w:t>Categorical</w:t>
            </w:r>
          </w:p>
        </w:tc>
        <w:tc>
          <w:tcPr>
            <w:tcW w:w="2160" w:type="dxa"/>
          </w:tcPr>
          <w:p w14:paraId="0010034A" w14:textId="0010034B">
            <w:r>
              <w:rPr>
                <w:sz w:val="20"/>
              </w:rPr>
              <w:t>All India</w:t>
            </w:r>
          </w:p>
        </w:tc>
        <w:tc>
          <w:tcPr>
            <w:tcW w:w="3024" w:type="dxa"/>
          </w:tcPr>
          <w:p w14:paraId="0010034C" w14:textId="0010034D">
            <w:r>
              <w:rPr>
                <w:sz w:val="20"/>
              </w:rPr>
              <w:t>State-specific or national scope</w:t>
            </w:r>
          </w:p>
        </w:tc>
        <w:tc>
          <w:tcPr>
            <w:tcW w:w="1008" w:type="dxa"/>
          </w:tcPr>
          <w:p w14:paraId="0010034E" w14:textId="0010034F">
            <w:r>
              <w:rPr>
                <w:sz w:val="20"/>
              </w:rPr>
              <w:t>0.8%</w:t>
            </w:r>
          </w:p>
        </w:tc>
      </w:tr>
      <w:tr>
        <w:tc>
          <w:tcPr>
            <w:tcW w:w="2160" w:type="dxa"/>
          </w:tcPr>
          <w:p w14:paraId="00100350" w14:textId="00100351">
            <w:r>
              <w:rPr>
                <w:sz w:val="20"/>
              </w:rPr>
              <w:t>disbursement_mode</w:t>
            </w:r>
          </w:p>
        </w:tc>
        <w:tc>
          <w:tcPr>
            <w:tcW w:w="1296" w:type="dxa"/>
          </w:tcPr>
          <w:p w14:paraId="00100352" w14:textId="00100353">
            <w:r>
              <w:rPr>
                <w:sz w:val="20"/>
              </w:rPr>
              <w:t>Categorical</w:t>
            </w:r>
          </w:p>
        </w:tc>
        <w:tc>
          <w:tcPr>
            <w:tcW w:w="2160" w:type="dxa"/>
          </w:tcPr>
          <w:p w14:paraId="00100354" w14:textId="00100355">
            <w:r>
              <w:rPr>
                <w:sz w:val="20"/>
              </w:rPr>
              <w:t>DBT</w:t>
            </w:r>
          </w:p>
        </w:tc>
        <w:tc>
          <w:tcPr>
            <w:tcW w:w="3024" w:type="dxa"/>
          </w:tcPr>
          <w:p w14:paraId="00100356" w14:textId="00100357">
            <w:r>
              <w:rPr>
                <w:sz w:val="20"/>
              </w:rPr>
              <w:t>Payment mode: DBT / In-kind / Service</w:t>
            </w:r>
          </w:p>
        </w:tc>
        <w:tc>
          <w:tcPr>
            <w:tcW w:w="1008" w:type="dxa"/>
          </w:tcPr>
          <w:p w14:paraId="00100358" w14:textId="00100359">
            <w:r>
              <w:rPr>
                <w:sz w:val="20"/>
              </w:rPr>
              <w:t>15.6%</w:t>
            </w:r>
          </w:p>
        </w:tc>
      </w:tr>
    </w:tbl>
    <w:p w14:paraId="0010035A" w14:textId="0010035B">
      <w:pPr>
        <w:spacing w:after="160"/>
      </w:pPr>
    </w:p>
    <w:p w14:paraId="0010035C" w14:textId="0010035D">
      <w:pPr>
        <w:spacing w:before="240" w:after="120"/>
      </w:pPr>
      <w:r>
        <w:rPr>
          <w:b/>
          <w:color w:val="1F4E79"/>
          <w:sz w:val="26"/>
        </w:rPr>
        <w:t>A.2 Dataset 2 — Citizen Eligibility Profiles (Synthetic)</w:t>
      </w:r>
    </w:p>
    <w:tbl>
      <w:tblPr>
        <w:tblStyle w:val="TableGrid"/>
        <w:tblW w:w="0" w:type="auto"/>
        <w:tblLook w:val="04A0" w:firstRow="1" w:lastRow="0" w:firstColumn="1" w:lastColumn="0" w:noHBand="0" w:noVBand="1"/>
      </w:tblPr>
      <w:tblGrid>
        <w:gridCol w:w="1728"/>
        <w:gridCol w:w="1728"/>
        <w:gridCol w:w="1728"/>
        <w:gridCol w:w="1728"/>
        <w:gridCol w:w="1728"/>
      </w:tblGrid>
      <w:tr>
        <w:tc>
          <w:tcPr>
            <w:tcW w:w="2160" w:type="dxa"/>
          </w:tcPr>
          <w:p w14:paraId="0010035E" w14:textId="0010035F">
            <w:pPr>
              <w:shd w:val="clear" w:color="auto" w:fill="1F4E79"/>
            </w:pPr>
            <w:r>
              <w:rPr>
                <w:b/>
                <w:color w:val="FFFFFF"/>
                <w:sz w:val="20"/>
              </w:rPr>
              <w:t>Column Name</w:t>
            </w:r>
          </w:p>
        </w:tc>
        <w:tc>
          <w:tcPr>
            <w:tcW w:w="1296" w:type="dxa"/>
          </w:tcPr>
          <w:p w14:paraId="00100360" w14:textId="00100361">
            <w:pPr>
              <w:shd w:val="clear" w:color="auto" w:fill="1F4E79"/>
            </w:pPr>
            <w:r>
              <w:rPr>
                <w:b/>
                <w:color w:val="FFFFFF"/>
                <w:sz w:val="20"/>
              </w:rPr>
              <w:t>Data Type</w:t>
            </w:r>
          </w:p>
        </w:tc>
        <w:tc>
          <w:tcPr>
            <w:tcW w:w="2160" w:type="dxa"/>
          </w:tcPr>
          <w:p w14:paraId="00100362" w14:textId="00100363">
            <w:pPr>
              <w:shd w:val="clear" w:color="auto" w:fill="1F4E79"/>
            </w:pPr>
            <w:r>
              <w:rPr>
                <w:b/>
                <w:color w:val="FFFFFF"/>
                <w:sz w:val="20"/>
              </w:rPr>
              <w:t>Range / Categories</w:t>
            </w:r>
          </w:p>
        </w:tc>
        <w:tc>
          <w:tcPr>
            <w:tcW w:w="3024" w:type="dxa"/>
          </w:tcPr>
          <w:p w14:paraId="00100364" w14:textId="00100365">
            <w:pPr>
              <w:shd w:val="clear" w:color="auto" w:fill="1F4E79"/>
            </w:pPr>
            <w:r>
              <w:rPr>
                <w:b/>
                <w:color w:val="FFFFFF"/>
                <w:sz w:val="20"/>
              </w:rPr>
              <w:t>Description</w:t>
            </w:r>
          </w:p>
        </w:tc>
        <w:tc>
          <w:tcPr>
            <w:tcW w:w="1008" w:type="dxa"/>
          </w:tcPr>
          <w:p w14:paraId="00100366" w14:textId="00100367">
            <w:pPr>
              <w:shd w:val="clear" w:color="auto" w:fill="1F4E79"/>
            </w:pPr>
            <w:r>
              <w:rPr>
                <w:b/>
                <w:color w:val="FFFFFF"/>
                <w:sz w:val="20"/>
              </w:rPr>
              <w:t>Missing %</w:t>
            </w:r>
          </w:p>
        </w:tc>
      </w:tr>
      <w:tr>
        <w:tc>
          <w:tcPr>
            <w:tcW w:w="2160" w:type="dxa"/>
          </w:tcPr>
          <w:p w14:paraId="00100368" w14:textId="00100369">
            <w:r>
              <w:rPr>
                <w:sz w:val="20"/>
              </w:rPr>
              <w:t>citizen_id</w:t>
            </w:r>
          </w:p>
        </w:tc>
        <w:tc>
          <w:tcPr>
            <w:tcW w:w="1296" w:type="dxa"/>
          </w:tcPr>
          <w:p w14:paraId="0010036A" w14:textId="0010036B">
            <w:r>
              <w:rPr>
                <w:sz w:val="20"/>
              </w:rPr>
              <w:t>Integer</w:t>
            </w:r>
          </w:p>
        </w:tc>
        <w:tc>
          <w:tcPr>
            <w:tcW w:w="2160" w:type="dxa"/>
          </w:tcPr>
          <w:p w14:paraId="0010036C" w14:textId="0010036D">
            <w:r>
              <w:rPr>
                <w:sz w:val="20"/>
              </w:rPr>
              <w:t>1 – 50,200</w:t>
            </w:r>
          </w:p>
        </w:tc>
        <w:tc>
          <w:tcPr>
            <w:tcW w:w="3024" w:type="dxa"/>
          </w:tcPr>
          <w:p w14:paraId="0010036E" w14:textId="0010036F">
            <w:r>
              <w:rPr>
                <w:sz w:val="20"/>
              </w:rPr>
              <w:t>Unique row identifier (synthetic)</w:t>
            </w:r>
          </w:p>
        </w:tc>
        <w:tc>
          <w:tcPr>
            <w:tcW w:w="1008" w:type="dxa"/>
          </w:tcPr>
          <w:p w14:paraId="00100370" w14:textId="00100371">
            <w:r>
              <w:rPr>
                <w:sz w:val="20"/>
              </w:rPr>
              <w:t>0%</w:t>
            </w:r>
          </w:p>
        </w:tc>
      </w:tr>
      <w:tr>
        <w:tc>
          <w:tcPr>
            <w:tcW w:w="2160" w:type="dxa"/>
          </w:tcPr>
          <w:p w14:paraId="00100372" w14:textId="00100373">
            <w:r>
              <w:rPr>
                <w:sz w:val="20"/>
              </w:rPr>
              <w:t>age</w:t>
            </w:r>
          </w:p>
        </w:tc>
        <w:tc>
          <w:tcPr>
            <w:tcW w:w="1296" w:type="dxa"/>
          </w:tcPr>
          <w:p w14:paraId="00100374" w14:textId="00100375">
            <w:r>
              <w:rPr>
                <w:sz w:val="20"/>
              </w:rPr>
              <w:t>Integer</w:t>
            </w:r>
          </w:p>
        </w:tc>
        <w:tc>
          <w:tcPr>
            <w:tcW w:w="2160" w:type="dxa"/>
          </w:tcPr>
          <w:p w14:paraId="00100376" w14:textId="00100377">
            <w:r>
              <w:rPr>
                <w:sz w:val="20"/>
              </w:rPr>
              <w:t>18 – 80 years</w:t>
            </w:r>
          </w:p>
        </w:tc>
        <w:tc>
          <w:tcPr>
            <w:tcW w:w="3024" w:type="dxa"/>
          </w:tcPr>
          <w:p w14:paraId="00100378" w14:textId="00100379">
            <w:r>
              <w:rPr>
                <w:sz w:val="20"/>
              </w:rPr>
              <w:t>Citizen's age in years</w:t>
            </w:r>
          </w:p>
        </w:tc>
        <w:tc>
          <w:tcPr>
            <w:tcW w:w="1008" w:type="dxa"/>
          </w:tcPr>
          <w:p w14:paraId="0010037A" w14:textId="0010037B">
            <w:r>
              <w:rPr>
                <w:sz w:val="20"/>
              </w:rPr>
              <w:t>0.3%</w:t>
            </w:r>
          </w:p>
        </w:tc>
      </w:tr>
      <w:tr>
        <w:tc>
          <w:tcPr>
            <w:tcW w:w="2160" w:type="dxa"/>
          </w:tcPr>
          <w:p w14:paraId="0010037C" w14:textId="0010037D">
            <w:r>
              <w:rPr>
                <w:sz w:val="20"/>
              </w:rPr>
              <w:t>gender</w:t>
            </w:r>
          </w:p>
        </w:tc>
        <w:tc>
          <w:tcPr>
            <w:tcW w:w="1296" w:type="dxa"/>
          </w:tcPr>
          <w:p w14:paraId="0010037E" w14:textId="0010037F">
            <w:r>
              <w:rPr>
                <w:sz w:val="20"/>
              </w:rPr>
              <w:t>Categorical</w:t>
            </w:r>
          </w:p>
        </w:tc>
        <w:tc>
          <w:tcPr>
            <w:tcW w:w="2160" w:type="dxa"/>
          </w:tcPr>
          <w:p w14:paraId="00100380" w14:textId="00100381">
            <w:r>
              <w:rPr>
                <w:sz w:val="20"/>
              </w:rPr>
              <w:t>Male / Female / Other</w:t>
            </w:r>
          </w:p>
        </w:tc>
        <w:tc>
          <w:tcPr>
            <w:tcW w:w="3024" w:type="dxa"/>
          </w:tcPr>
          <w:p w14:paraId="00100382" w14:textId="00100383">
            <w:r>
              <w:rPr>
                <w:sz w:val="20"/>
              </w:rPr>
              <w:t>Gender identity</w:t>
            </w:r>
          </w:p>
        </w:tc>
        <w:tc>
          <w:tcPr>
            <w:tcW w:w="1008" w:type="dxa"/>
          </w:tcPr>
          <w:p w14:paraId="00100384" w14:textId="00100385">
            <w:r>
              <w:rPr>
                <w:sz w:val="20"/>
              </w:rPr>
              <w:t>0.1%</w:t>
            </w:r>
          </w:p>
        </w:tc>
      </w:tr>
      <w:tr>
        <w:tc>
          <w:tcPr>
            <w:tcW w:w="2160" w:type="dxa"/>
          </w:tcPr>
          <w:p w14:paraId="00100386" w14:textId="00100387">
            <w:r>
              <w:rPr>
                <w:sz w:val="20"/>
              </w:rPr>
              <w:t>annual_income</w:t>
            </w:r>
          </w:p>
        </w:tc>
        <w:tc>
          <w:tcPr>
            <w:tcW w:w="1296" w:type="dxa"/>
          </w:tcPr>
          <w:p w14:paraId="00100388" w14:textId="00100389">
            <w:r>
              <w:rPr>
                <w:sz w:val="20"/>
              </w:rPr>
              <w:t>Float</w:t>
            </w:r>
          </w:p>
        </w:tc>
        <w:tc>
          <w:tcPr>
            <w:tcW w:w="2160" w:type="dxa"/>
          </w:tcPr>
          <w:p w14:paraId="0010038A" w14:textId="0010038B">
            <w:r>
              <w:rPr>
                <w:sz w:val="20"/>
              </w:rPr>
              <w:t>Rs. 0 – Rs. 10,00,000</w:t>
            </w:r>
          </w:p>
        </w:tc>
        <w:tc>
          <w:tcPr>
            <w:tcW w:w="3024" w:type="dxa"/>
          </w:tcPr>
          <w:p w14:paraId="0010038C" w14:textId="0010038D">
            <w:r>
              <w:rPr>
                <w:sz w:val="20"/>
              </w:rPr>
              <w:t>Annual household income in INR</w:t>
            </w:r>
          </w:p>
        </w:tc>
        <w:tc>
          <w:tcPr>
            <w:tcW w:w="1008" w:type="dxa"/>
          </w:tcPr>
          <w:p w14:paraId="0010038E" w14:textId="0010038F">
            <w:r>
              <w:rPr>
                <w:sz w:val="20"/>
              </w:rPr>
              <w:t>0.8%</w:t>
            </w:r>
          </w:p>
        </w:tc>
      </w:tr>
      <w:tr>
        <w:tc>
          <w:tcPr>
            <w:tcW w:w="2160" w:type="dxa"/>
          </w:tcPr>
          <w:p w14:paraId="00100390" w14:textId="00100391">
            <w:r>
              <w:rPr>
                <w:sz w:val="20"/>
              </w:rPr>
              <w:t>occupation</w:t>
            </w:r>
          </w:p>
        </w:tc>
        <w:tc>
          <w:tcPr>
            <w:tcW w:w="1296" w:type="dxa"/>
          </w:tcPr>
          <w:p w14:paraId="00100392" w14:textId="00100393">
            <w:r>
              <w:rPr>
                <w:sz w:val="20"/>
              </w:rPr>
              <w:t>Categorical</w:t>
            </w:r>
          </w:p>
        </w:tc>
        <w:tc>
          <w:tcPr>
            <w:tcW w:w="2160" w:type="dxa"/>
          </w:tcPr>
          <w:p w14:paraId="00100394" w14:textId="00100395">
            <w:r>
              <w:rPr>
                <w:sz w:val="20"/>
              </w:rPr>
              <w:t>7 categories</w:t>
            </w:r>
          </w:p>
        </w:tc>
        <w:tc>
          <w:tcPr>
            <w:tcW w:w="3024" w:type="dxa"/>
          </w:tcPr>
          <w:p w14:paraId="00100396" w14:textId="00100397">
            <w:r>
              <w:rPr>
                <w:sz w:val="20"/>
              </w:rPr>
              <w:t>Primary occupation</w:t>
            </w:r>
          </w:p>
        </w:tc>
        <w:tc>
          <w:tcPr>
            <w:tcW w:w="1008" w:type="dxa"/>
          </w:tcPr>
          <w:p w14:paraId="00100398" w14:textId="00100399">
            <w:r>
              <w:rPr>
                <w:sz w:val="20"/>
              </w:rPr>
              <w:t>1.2%</w:t>
            </w:r>
          </w:p>
        </w:tc>
      </w:tr>
      <w:tr>
        <w:tc>
          <w:tcPr>
            <w:tcW w:w="2160" w:type="dxa"/>
          </w:tcPr>
          <w:p w14:paraId="0010039A" w14:textId="0010039B">
            <w:r>
              <w:rPr>
                <w:sz w:val="20"/>
              </w:rPr>
              <w:t>state</w:t>
            </w:r>
          </w:p>
        </w:tc>
        <w:tc>
          <w:tcPr>
            <w:tcW w:w="1296" w:type="dxa"/>
          </w:tcPr>
          <w:p w14:paraId="0010039C" w14:textId="0010039D">
            <w:r>
              <w:rPr>
                <w:sz w:val="20"/>
              </w:rPr>
              <w:t>Categorical</w:t>
            </w:r>
          </w:p>
        </w:tc>
        <w:tc>
          <w:tcPr>
            <w:tcW w:w="2160" w:type="dxa"/>
          </w:tcPr>
          <w:p w14:paraId="0010039E" w14:textId="0010039F">
            <w:r>
              <w:rPr>
                <w:sz w:val="20"/>
              </w:rPr>
              <w:t>28 states + 8 UTs</w:t>
            </w:r>
          </w:p>
        </w:tc>
        <w:tc>
          <w:tcPr>
            <w:tcW w:w="3024" w:type="dxa"/>
          </w:tcPr>
          <w:p w14:paraId="001003A0" w14:textId="001003A1">
            <w:r>
              <w:rPr>
                <w:sz w:val="20"/>
              </w:rPr>
              <w:t>State or Union Territory of residence</w:t>
            </w:r>
          </w:p>
        </w:tc>
        <w:tc>
          <w:tcPr>
            <w:tcW w:w="1008" w:type="dxa"/>
          </w:tcPr>
          <w:p w14:paraId="001003A2" w14:textId="001003A3">
            <w:r>
              <w:rPr>
                <w:sz w:val="20"/>
              </w:rPr>
              <w:t>0.2%</w:t>
            </w:r>
          </w:p>
        </w:tc>
      </w:tr>
      <w:tr>
        <w:tc>
          <w:tcPr>
            <w:tcW w:w="2160" w:type="dxa"/>
          </w:tcPr>
          <w:p w14:paraId="001003A4" w14:textId="001003A5">
            <w:r>
              <w:rPr>
                <w:sz w:val="20"/>
              </w:rPr>
              <w:t>social_category</w:t>
            </w:r>
          </w:p>
        </w:tc>
        <w:tc>
          <w:tcPr>
            <w:tcW w:w="1296" w:type="dxa"/>
          </w:tcPr>
          <w:p w14:paraId="001003A6" w14:textId="001003A7">
            <w:r>
              <w:rPr>
                <w:sz w:val="20"/>
              </w:rPr>
              <w:t>Categorical</w:t>
            </w:r>
          </w:p>
        </w:tc>
        <w:tc>
          <w:tcPr>
            <w:tcW w:w="2160" w:type="dxa"/>
          </w:tcPr>
          <w:p w14:paraId="001003A8" w14:textId="001003A9">
            <w:r>
              <w:rPr>
                <w:sz w:val="20"/>
              </w:rPr>
              <w:t>General / OBC / SC / ST / EWS</w:t>
            </w:r>
          </w:p>
        </w:tc>
        <w:tc>
          <w:tcPr>
            <w:tcW w:w="3024" w:type="dxa"/>
          </w:tcPr>
          <w:p w14:paraId="001003AA" w14:textId="001003AB">
            <w:r>
              <w:rPr>
                <w:sz w:val="20"/>
              </w:rPr>
              <w:t>Social category as per Indian reservation system</w:t>
            </w:r>
          </w:p>
        </w:tc>
        <w:tc>
          <w:tcPr>
            <w:tcW w:w="1008" w:type="dxa"/>
          </w:tcPr>
          <w:p w14:paraId="001003AC" w14:textId="001003AD">
            <w:r>
              <w:rPr>
                <w:sz w:val="20"/>
              </w:rPr>
              <w:t>0.4%</w:t>
            </w:r>
          </w:p>
        </w:tc>
      </w:tr>
      <w:tr>
        <w:tc>
          <w:tcPr>
            <w:tcW w:w="2160" w:type="dxa"/>
          </w:tcPr>
          <w:p w14:paraId="001003AE" w14:textId="001003AF">
            <w:r>
              <w:rPr>
                <w:sz w:val="20"/>
              </w:rPr>
              <w:t>disability_status</w:t>
            </w:r>
          </w:p>
        </w:tc>
        <w:tc>
          <w:tcPr>
            <w:tcW w:w="1296" w:type="dxa"/>
          </w:tcPr>
          <w:p w14:paraId="001003B0" w14:textId="001003B1">
            <w:r>
              <w:rPr>
                <w:sz w:val="20"/>
              </w:rPr>
              <w:t>Boolean</w:t>
            </w:r>
          </w:p>
        </w:tc>
        <w:tc>
          <w:tcPr>
            <w:tcW w:w="2160" w:type="dxa"/>
          </w:tcPr>
          <w:p w14:paraId="001003B2" w14:textId="001003B3">
            <w:r>
              <w:rPr>
                <w:sz w:val="20"/>
              </w:rPr>
              <w:t>True / False</w:t>
            </w:r>
          </w:p>
        </w:tc>
        <w:tc>
          <w:tcPr>
            <w:tcW w:w="3024" w:type="dxa"/>
          </w:tcPr>
          <w:p w14:paraId="001003B4" w14:textId="001003B5">
            <w:r>
              <w:rPr>
                <w:sz w:val="20"/>
              </w:rPr>
              <w:t>Whether citizen has a declared disability (PwD)</w:t>
            </w:r>
          </w:p>
        </w:tc>
        <w:tc>
          <w:tcPr>
            <w:tcW w:w="1008" w:type="dxa"/>
          </w:tcPr>
          <w:p w14:paraId="001003B6" w14:textId="001003B7">
            <w:r>
              <w:rPr>
                <w:sz w:val="20"/>
              </w:rPr>
              <w:t>0.1%</w:t>
            </w:r>
          </w:p>
        </w:tc>
      </w:tr>
      <w:tr>
        <w:tc>
          <w:tcPr>
            <w:tcW w:w="2160" w:type="dxa"/>
          </w:tcPr>
          <w:p w14:paraId="001003B8" w14:textId="001003B9">
            <w:r>
              <w:rPr>
                <w:sz w:val="20"/>
              </w:rPr>
              <w:t>marital_status</w:t>
            </w:r>
          </w:p>
        </w:tc>
        <w:tc>
          <w:tcPr>
            <w:tcW w:w="1296" w:type="dxa"/>
          </w:tcPr>
          <w:p w14:paraId="001003BA" w14:textId="001003BB">
            <w:r>
              <w:rPr>
                <w:sz w:val="20"/>
              </w:rPr>
              <w:t>Categorical</w:t>
            </w:r>
          </w:p>
        </w:tc>
        <w:tc>
          <w:tcPr>
            <w:tcW w:w="2160" w:type="dxa"/>
          </w:tcPr>
          <w:p w14:paraId="001003BC" w14:textId="001003BD">
            <w:r>
              <w:rPr>
                <w:sz w:val="20"/>
              </w:rPr>
              <w:t>Single / Married / Widowed / Divorced</w:t>
            </w:r>
          </w:p>
        </w:tc>
        <w:tc>
          <w:tcPr>
            <w:tcW w:w="3024" w:type="dxa"/>
          </w:tcPr>
          <w:p w14:paraId="001003BE" w14:textId="001003BF">
            <w:r>
              <w:rPr>
                <w:sz w:val="20"/>
              </w:rPr>
              <w:t>Marital status</w:t>
            </w:r>
          </w:p>
        </w:tc>
        <w:tc>
          <w:tcPr>
            <w:tcW w:w="1008" w:type="dxa"/>
          </w:tcPr>
          <w:p w14:paraId="001003C0" w14:textId="001003C1">
            <w:r>
              <w:rPr>
                <w:sz w:val="20"/>
              </w:rPr>
              <w:t>1.4%</w:t>
            </w:r>
          </w:p>
        </w:tc>
      </w:tr>
      <w:tr>
        <w:tc>
          <w:tcPr>
            <w:tcW w:w="2160" w:type="dxa"/>
          </w:tcPr>
          <w:p w14:paraId="001003C2" w14:textId="001003C3">
            <w:r>
              <w:rPr>
                <w:sz w:val="20"/>
              </w:rPr>
              <w:t>family_size</w:t>
            </w:r>
          </w:p>
        </w:tc>
        <w:tc>
          <w:tcPr>
            <w:tcW w:w="1296" w:type="dxa"/>
          </w:tcPr>
          <w:p w14:paraId="001003C4" w14:textId="001003C5">
            <w:r>
              <w:rPr>
                <w:sz w:val="20"/>
              </w:rPr>
              <w:t>Integer</w:t>
            </w:r>
          </w:p>
        </w:tc>
        <w:tc>
          <w:tcPr>
            <w:tcW w:w="2160" w:type="dxa"/>
          </w:tcPr>
          <w:p w14:paraId="001003C6" w14:textId="001003C7">
            <w:r>
              <w:rPr>
                <w:sz w:val="20"/>
              </w:rPr>
              <w:t>1 – 12</w:t>
            </w:r>
          </w:p>
        </w:tc>
        <w:tc>
          <w:tcPr>
            <w:tcW w:w="3024" w:type="dxa"/>
          </w:tcPr>
          <w:p w14:paraId="001003C8" w14:textId="001003C9">
            <w:r>
              <w:rPr>
                <w:sz w:val="20"/>
              </w:rPr>
              <w:t>Number of household members</w:t>
            </w:r>
          </w:p>
        </w:tc>
        <w:tc>
          <w:tcPr>
            <w:tcW w:w="1008" w:type="dxa"/>
          </w:tcPr>
          <w:p w14:paraId="001003CA" w14:textId="001003CB">
            <w:r>
              <w:rPr>
                <w:sz w:val="20"/>
              </w:rPr>
              <w:t>0.6%</w:t>
            </w:r>
          </w:p>
        </w:tc>
      </w:tr>
      <w:tr>
        <w:tc>
          <w:tcPr>
            <w:tcW w:w="2160" w:type="dxa"/>
          </w:tcPr>
          <w:p w14:paraId="001003CC" w14:textId="001003CD">
            <w:r>
              <w:rPr>
                <w:sz w:val="20"/>
              </w:rPr>
              <w:t>land_holding_acres</w:t>
            </w:r>
          </w:p>
        </w:tc>
        <w:tc>
          <w:tcPr>
            <w:tcW w:w="1296" w:type="dxa"/>
          </w:tcPr>
          <w:p w14:paraId="001003CE" w14:textId="001003CF">
            <w:r>
              <w:rPr>
                <w:sz w:val="20"/>
              </w:rPr>
              <w:t>Float</w:t>
            </w:r>
          </w:p>
        </w:tc>
        <w:tc>
          <w:tcPr>
            <w:tcW w:w="2160" w:type="dxa"/>
          </w:tcPr>
          <w:p w14:paraId="001003D0" w14:textId="001003D1">
            <w:r>
              <w:rPr>
                <w:sz w:val="20"/>
              </w:rPr>
              <w:t>0 – 50 acres</w:t>
            </w:r>
          </w:p>
        </w:tc>
        <w:tc>
          <w:tcPr>
            <w:tcW w:w="3024" w:type="dxa"/>
          </w:tcPr>
          <w:p w14:paraId="001003D2" w14:textId="001003D3">
            <w:r>
              <w:rPr>
                <w:sz w:val="20"/>
              </w:rPr>
              <w:t>Agricultural land holding; 0 for non-farmers</w:t>
            </w:r>
          </w:p>
        </w:tc>
        <w:tc>
          <w:tcPr>
            <w:tcW w:w="1008" w:type="dxa"/>
          </w:tcPr>
          <w:p w14:paraId="001003D4" w14:textId="001003D5">
            <w:r>
              <w:rPr>
                <w:sz w:val="20"/>
              </w:rPr>
              <w:t>2.1%</w:t>
            </w:r>
          </w:p>
        </w:tc>
      </w:tr>
      <w:tr>
        <w:tc>
          <w:tcPr>
            <w:tcW w:w="2160" w:type="dxa"/>
          </w:tcPr>
          <w:p w14:paraId="001003D6" w14:textId="001003D7">
            <w:r>
              <w:rPr>
                <w:sz w:val="20"/>
              </w:rPr>
              <w:t>ration_card_type</w:t>
            </w:r>
          </w:p>
        </w:tc>
        <w:tc>
          <w:tcPr>
            <w:tcW w:w="1296" w:type="dxa"/>
          </w:tcPr>
          <w:p w14:paraId="001003D8" w14:textId="001003D9">
            <w:r>
              <w:rPr>
                <w:sz w:val="20"/>
              </w:rPr>
              <w:t>Categorical</w:t>
            </w:r>
          </w:p>
        </w:tc>
        <w:tc>
          <w:tcPr>
            <w:tcW w:w="2160" w:type="dxa"/>
          </w:tcPr>
          <w:p w14:paraId="001003DA" w14:textId="001003DB">
            <w:r>
              <w:rPr>
                <w:sz w:val="20"/>
              </w:rPr>
              <w:t>APL / BPL / AAY / None</w:t>
            </w:r>
          </w:p>
        </w:tc>
        <w:tc>
          <w:tcPr>
            <w:tcW w:w="3024" w:type="dxa"/>
          </w:tcPr>
          <w:p w14:paraId="001003DC" w14:textId="001003DD">
            <w:r>
              <w:rPr>
                <w:sz w:val="20"/>
              </w:rPr>
              <w:t>Ration card category</w:t>
            </w:r>
          </w:p>
        </w:tc>
        <w:tc>
          <w:tcPr>
            <w:tcW w:w="1008" w:type="dxa"/>
          </w:tcPr>
          <w:p w14:paraId="001003DE" w14:textId="001003DF">
            <w:r>
              <w:rPr>
                <w:sz w:val="20"/>
              </w:rPr>
              <w:t>3.8%</w:t>
            </w:r>
          </w:p>
        </w:tc>
      </w:tr>
      <w:tr>
        <w:tc>
          <w:tcPr>
            <w:tcW w:w="2160" w:type="dxa"/>
          </w:tcPr>
          <w:p w14:paraId="001003E0" w14:textId="001003E1">
            <w:r>
              <w:rPr>
                <w:sz w:val="20"/>
              </w:rPr>
              <w:t>eligible_scheme</w:t>
            </w:r>
          </w:p>
        </w:tc>
        <w:tc>
          <w:tcPr>
            <w:tcW w:w="1296" w:type="dxa"/>
          </w:tcPr>
          <w:p w14:paraId="001003E2" w14:textId="001003E3">
            <w:r>
              <w:rPr>
                <w:sz w:val="20"/>
              </w:rPr>
              <w:t>String</w:t>
            </w:r>
          </w:p>
        </w:tc>
        <w:tc>
          <w:tcPr>
            <w:tcW w:w="2160" w:type="dxa"/>
          </w:tcPr>
          <w:p w14:paraId="001003E4" w14:textId="001003E5">
            <w:r>
              <w:rPr>
                <w:sz w:val="20"/>
              </w:rPr>
              <w:t>Up to 8 scheme names (comma-sep)</w:t>
            </w:r>
          </w:p>
        </w:tc>
        <w:tc>
          <w:tcPr>
            <w:tcW w:w="3024" w:type="dxa"/>
          </w:tcPr>
          <w:p w14:paraId="001003E6" w14:textId="001003E7">
            <w:r>
              <w:rPr>
                <w:sz w:val="20"/>
              </w:rPr>
              <w:t>Label: all schemes the citizen is eligible for</w:t>
            </w:r>
          </w:p>
        </w:tc>
        <w:tc>
          <w:tcPr>
            <w:tcW w:w="1008" w:type="dxa"/>
          </w:tcPr>
          <w:p w14:paraId="001003E8" w14:textId="001003E9">
            <w:r>
              <w:rPr>
                <w:sz w:val="20"/>
              </w:rPr>
              <w:t>0%</w:t>
            </w:r>
          </w:p>
        </w:tc>
      </w:tr>
    </w:tbl>
    <w:p w14:paraId="001003EA" w14:textId="001003EB">
      <w:pPr>
        <w:spacing w:after="160"/>
      </w:pPr>
    </w:p>
    <w:p w14:paraId="001003EC" w14:textId="001003ED">
      <w:pPr>
        <w:spacing w:before="240" w:after="120"/>
      </w:pPr>
      <w:r>
        <w:rPr>
          <w:b/>
          <w:color w:val="1F4E79"/>
          <w:sz w:val="26"/>
        </w:rPr>
        <w:t>A.3 Dataset 3 — Multilingual QA (HuggingFace)</w:t>
      </w:r>
    </w:p>
    <w:tbl>
      <w:tblPr>
        <w:tblStyle w:val="TableGrid"/>
        <w:tblW w:w="0" w:type="auto"/>
        <w:tblLook w:val="04A0" w:firstRow="1" w:lastRow="0" w:firstColumn="1" w:lastColumn="0" w:noHBand="0" w:noVBand="1"/>
      </w:tblPr>
      <w:tblGrid>
        <w:gridCol w:w="1728"/>
        <w:gridCol w:w="1728"/>
        <w:gridCol w:w="1728"/>
        <w:gridCol w:w="1728"/>
        <w:gridCol w:w="1728"/>
      </w:tblGrid>
      <w:tr>
        <w:tc>
          <w:tcPr>
            <w:tcW w:w="1872" w:type="dxa"/>
          </w:tcPr>
          <w:p w14:paraId="001003EE" w14:textId="001003EF">
            <w:pPr>
              <w:shd w:val="clear" w:color="auto" w:fill="1F4E79"/>
            </w:pPr>
            <w:r>
              <w:rPr>
                <w:b/>
                <w:color w:val="FFFFFF"/>
                <w:sz w:val="20"/>
              </w:rPr>
              <w:t>Column Name</w:t>
            </w:r>
          </w:p>
        </w:tc>
        <w:tc>
          <w:tcPr>
            <w:tcW w:w="1296" w:type="dxa"/>
          </w:tcPr>
          <w:p w14:paraId="001003F0" w14:textId="001003F1">
            <w:pPr>
              <w:shd w:val="clear" w:color="auto" w:fill="1F4E79"/>
            </w:pPr>
            <w:r>
              <w:rPr>
                <w:b/>
                <w:color w:val="FFFFFF"/>
                <w:sz w:val="20"/>
              </w:rPr>
              <w:t>Data Type</w:t>
            </w:r>
          </w:p>
        </w:tc>
        <w:tc>
          <w:tcPr>
            <w:tcW w:w="2880" w:type="dxa"/>
          </w:tcPr>
          <w:p w14:paraId="001003F2" w14:textId="001003F3">
            <w:pPr>
              <w:shd w:val="clear" w:color="auto" w:fill="1F4E79"/>
            </w:pPr>
            <w:r>
              <w:rPr>
                <w:b/>
                <w:color w:val="FFFFFF"/>
                <w:sz w:val="20"/>
              </w:rPr>
              <w:t>Range / Categories</w:t>
            </w:r>
          </w:p>
        </w:tc>
        <w:tc>
          <w:tcPr>
            <w:tcW w:w="3168" w:type="dxa"/>
          </w:tcPr>
          <w:p w14:paraId="001003F4" w14:textId="001003F5">
            <w:pPr>
              <w:shd w:val="clear" w:color="auto" w:fill="1F4E79"/>
            </w:pPr>
            <w:r>
              <w:rPr>
                <w:b/>
                <w:color w:val="FFFFFF"/>
                <w:sz w:val="20"/>
              </w:rPr>
              <w:t>Description</w:t>
            </w:r>
          </w:p>
        </w:tc>
        <w:tc>
          <w:tcPr>
            <w:tcW w:w="1152" w:type="dxa"/>
          </w:tcPr>
          <w:p w14:paraId="001003F6" w14:textId="001003F7">
            <w:pPr>
              <w:shd w:val="clear" w:color="auto" w:fill="1F4E79"/>
            </w:pPr>
            <w:r>
              <w:rPr>
                <w:b/>
                <w:color w:val="FFFFFF"/>
                <w:sz w:val="20"/>
              </w:rPr>
              <w:t>Missing %</w:t>
            </w:r>
          </w:p>
        </w:tc>
      </w:tr>
      <w:tr>
        <w:tc>
          <w:tcPr>
            <w:tcW w:w="1872" w:type="dxa"/>
          </w:tcPr>
          <w:p w14:paraId="001003F8" w14:textId="001003F9">
            <w:r>
              <w:rPr>
                <w:sz w:val="20"/>
              </w:rPr>
              <w:t>question</w:t>
            </w:r>
          </w:p>
        </w:tc>
        <w:tc>
          <w:tcPr>
            <w:tcW w:w="1296" w:type="dxa"/>
          </w:tcPr>
          <w:p w14:paraId="001003FA" w14:textId="001003FB">
            <w:r>
              <w:rPr>
                <w:sz w:val="20"/>
              </w:rPr>
              <w:t>String</w:t>
            </w:r>
          </w:p>
        </w:tc>
        <w:tc>
          <w:tcPr>
            <w:tcW w:w="2880" w:type="dxa"/>
          </w:tcPr>
          <w:p w14:paraId="001003FC" w14:textId="001003FD">
            <w:r>
              <w:rPr>
                <w:sz w:val="20"/>
              </w:rPr>
              <w:t>Any length</w:t>
            </w:r>
          </w:p>
        </w:tc>
        <w:tc>
          <w:tcPr>
            <w:tcW w:w="3168" w:type="dxa"/>
          </w:tcPr>
          <w:p w14:paraId="001003FE" w14:textId="001003FF">
            <w:r>
              <w:rPr>
                <w:sz w:val="20"/>
              </w:rPr>
              <w:t>Citizen's natural-language query about a scheme</w:t>
            </w:r>
          </w:p>
        </w:tc>
        <w:tc>
          <w:tcPr>
            <w:tcW w:w="1152" w:type="dxa"/>
          </w:tcPr>
          <w:p w14:paraId="00100400" w14:textId="00100401">
            <w:r>
              <w:rPr>
                <w:sz w:val="20"/>
              </w:rPr>
              <w:t>0%</w:t>
            </w:r>
          </w:p>
        </w:tc>
      </w:tr>
      <w:tr>
        <w:tc>
          <w:tcPr>
            <w:tcW w:w="1872" w:type="dxa"/>
          </w:tcPr>
          <w:p w14:paraId="00100402" w14:textId="00100403">
            <w:r>
              <w:rPr>
                <w:sz w:val="20"/>
              </w:rPr>
              <w:t>answer</w:t>
            </w:r>
          </w:p>
        </w:tc>
        <w:tc>
          <w:tcPr>
            <w:tcW w:w="1296" w:type="dxa"/>
          </w:tcPr>
          <w:p w14:paraId="00100404" w14:textId="00100405">
            <w:r>
              <w:rPr>
                <w:sz w:val="20"/>
              </w:rPr>
              <w:t>String</w:t>
            </w:r>
          </w:p>
        </w:tc>
        <w:tc>
          <w:tcPr>
            <w:tcW w:w="2880" w:type="dxa"/>
          </w:tcPr>
          <w:p w14:paraId="00100406" w14:textId="00100407">
            <w:r>
              <w:rPr>
                <w:sz w:val="20"/>
              </w:rPr>
              <w:t>Any length</w:t>
            </w:r>
          </w:p>
        </w:tc>
        <w:tc>
          <w:tcPr>
            <w:tcW w:w="3168" w:type="dxa"/>
          </w:tcPr>
          <w:p w14:paraId="00100408" w14:textId="00100409">
            <w:r>
              <w:rPr>
                <w:sz w:val="20"/>
              </w:rPr>
              <w:t>Reference answer to the query</w:t>
            </w:r>
          </w:p>
        </w:tc>
        <w:tc>
          <w:tcPr>
            <w:tcW w:w="1152" w:type="dxa"/>
          </w:tcPr>
          <w:p w14:paraId="0010040A" w14:textId="0010040B">
            <w:r>
              <w:rPr>
                <w:sz w:val="20"/>
              </w:rPr>
              <w:t>1.8%</w:t>
            </w:r>
          </w:p>
        </w:tc>
      </w:tr>
      <w:tr>
        <w:tc>
          <w:tcPr>
            <w:tcW w:w="1872" w:type="dxa"/>
          </w:tcPr>
          <w:p w14:paraId="0010040C" w14:textId="0010040D">
            <w:r>
              <w:rPr>
                <w:sz w:val="20"/>
              </w:rPr>
              <w:t>intent</w:t>
            </w:r>
          </w:p>
        </w:tc>
        <w:tc>
          <w:tcPr>
            <w:tcW w:w="1296" w:type="dxa"/>
          </w:tcPr>
          <w:p w14:paraId="0010040E" w14:textId="0010040F">
            <w:r>
              <w:rPr>
                <w:sz w:val="20"/>
              </w:rPr>
              <w:t>Categorical</w:t>
            </w:r>
          </w:p>
        </w:tc>
        <w:tc>
          <w:tcPr>
            <w:tcW w:w="2880" w:type="dxa"/>
          </w:tcPr>
          <w:p w14:paraId="00100410" w14:textId="00100411">
            <w:r>
              <w:rPr>
                <w:sz w:val="20"/>
              </w:rPr>
              <w:t>5 classes (see Section 4.5)</w:t>
            </w:r>
          </w:p>
        </w:tc>
        <w:tc>
          <w:tcPr>
            <w:tcW w:w="3168" w:type="dxa"/>
          </w:tcPr>
          <w:p w14:paraId="00100412" w14:textId="00100413">
            <w:r>
              <w:rPr>
                <w:sz w:val="20"/>
              </w:rPr>
              <w:t>Query intent label</w:t>
            </w:r>
          </w:p>
        </w:tc>
        <w:tc>
          <w:tcPr>
            <w:tcW w:w="1152" w:type="dxa"/>
          </w:tcPr>
          <w:p w14:paraId="00100414" w14:textId="00100415">
            <w:r>
              <w:rPr>
                <w:sz w:val="20"/>
              </w:rPr>
              <w:t>3.2%</w:t>
            </w:r>
          </w:p>
        </w:tc>
      </w:tr>
      <w:tr>
        <w:tc>
          <w:tcPr>
            <w:tcW w:w="1872" w:type="dxa"/>
          </w:tcPr>
          <w:p w14:paraId="00100416" w14:textId="00100417">
            <w:r>
              <w:rPr>
                <w:sz w:val="20"/>
              </w:rPr>
              <w:t>language</w:t>
            </w:r>
          </w:p>
        </w:tc>
        <w:tc>
          <w:tcPr>
            <w:tcW w:w="1296" w:type="dxa"/>
          </w:tcPr>
          <w:p w14:paraId="00100418" w14:textId="00100419">
            <w:r>
              <w:rPr>
                <w:sz w:val="20"/>
              </w:rPr>
              <w:t>Categorical</w:t>
            </w:r>
          </w:p>
        </w:tc>
        <w:tc>
          <w:tcPr>
            <w:tcW w:w="2880" w:type="dxa"/>
          </w:tcPr>
          <w:p w14:paraId="0010041A" w14:textId="0010041B">
            <w:r>
              <w:rPr>
                <w:sz w:val="20"/>
              </w:rPr>
              <w:t>en, hi, te, ta, kn, bn (+ others)</w:t>
            </w:r>
          </w:p>
        </w:tc>
        <w:tc>
          <w:tcPr>
            <w:tcW w:w="3168" w:type="dxa"/>
          </w:tcPr>
          <w:p w14:paraId="0010041C" w14:textId="0010041D">
            <w:r>
              <w:rPr>
                <w:sz w:val="20"/>
              </w:rPr>
              <w:t>ISO 639-1 language code of the question</w:t>
            </w:r>
          </w:p>
        </w:tc>
        <w:tc>
          <w:tcPr>
            <w:tcW w:w="1152" w:type="dxa"/>
          </w:tcPr>
          <w:p w14:paraId="0010041E" w14:textId="0010041F">
            <w:r>
              <w:rPr>
                <w:sz w:val="20"/>
              </w:rPr>
              <w:t>5.1%</w:t>
            </w:r>
          </w:p>
        </w:tc>
      </w:tr>
      <w:tr>
        <w:tc>
          <w:tcPr>
            <w:tcW w:w="1872" w:type="dxa"/>
          </w:tcPr>
          <w:p w14:paraId="00100420" w14:textId="00100421">
            <w:r>
              <w:rPr>
                <w:sz w:val="20"/>
              </w:rPr>
              <w:t>scheme</w:t>
            </w:r>
          </w:p>
        </w:tc>
        <w:tc>
          <w:tcPr>
            <w:tcW w:w="1296" w:type="dxa"/>
          </w:tcPr>
          <w:p w14:paraId="00100422" w14:textId="00100423">
            <w:r>
              <w:rPr>
                <w:sz w:val="20"/>
              </w:rPr>
              <w:t>String</w:t>
            </w:r>
          </w:p>
        </w:tc>
        <w:tc>
          <w:tcPr>
            <w:tcW w:w="2880" w:type="dxa"/>
          </w:tcPr>
          <w:p w14:paraId="00100424" w14:textId="00100425">
            <w:r>
              <w:rPr>
                <w:sz w:val="20"/>
              </w:rPr>
              <w:t>Scheme name (if query is scheme-specific)</w:t>
            </w:r>
          </w:p>
        </w:tc>
        <w:tc>
          <w:tcPr>
            <w:tcW w:w="3168" w:type="dxa"/>
          </w:tcPr>
          <w:p w14:paraId="00100426" w14:textId="00100427">
            <w:r>
              <w:rPr>
                <w:sz w:val="20"/>
              </w:rPr>
              <w:t>Scheme name the question pertains to (if applicable)</w:t>
            </w:r>
          </w:p>
        </w:tc>
        <w:tc>
          <w:tcPr>
            <w:tcW w:w="1152" w:type="dxa"/>
          </w:tcPr>
          <w:p w14:paraId="00100428" w14:textId="00100429">
            <w:r>
              <w:rPr>
                <w:sz w:val="20"/>
              </w:rPr>
              <w:t>38.4%</w:t>
            </w:r>
          </w:p>
        </w:tc>
      </w:tr>
      <w:tr>
        <w:tc>
          <w:tcPr>
            <w:tcW w:w="1872" w:type="dxa"/>
          </w:tcPr>
          <w:p w14:paraId="0010042A" w14:textId="0010042B">
            <w:r>
              <w:rPr>
                <w:sz w:val="20"/>
              </w:rPr>
              <w:t>source</w:t>
            </w:r>
          </w:p>
        </w:tc>
        <w:tc>
          <w:tcPr>
            <w:tcW w:w="1296" w:type="dxa"/>
          </w:tcPr>
          <w:p w14:paraId="0010042C" w14:textId="0010042D">
            <w:r>
              <w:rPr>
                <w:sz w:val="20"/>
              </w:rPr>
              <w:t>String</w:t>
            </w:r>
          </w:p>
        </w:tc>
        <w:tc>
          <w:tcPr>
            <w:tcW w:w="2880" w:type="dxa"/>
          </w:tcPr>
          <w:p w14:paraId="0010042E" w14:textId="0010042F">
            <w:r>
              <w:rPr>
                <w:sz w:val="20"/>
              </w:rPr>
              <w:t>HuggingFace / synthetic / scraped</w:t>
            </w:r>
          </w:p>
        </w:tc>
        <w:tc>
          <w:tcPr>
            <w:tcW w:w="3168" w:type="dxa"/>
          </w:tcPr>
          <w:p w14:paraId="00100430" w14:textId="00100431">
            <w:r>
              <w:rPr>
                <w:sz w:val="20"/>
              </w:rPr>
              <w:t>Data origin</w:t>
            </w:r>
          </w:p>
        </w:tc>
        <w:tc>
          <w:tcPr>
            <w:tcW w:w="1152" w:type="dxa"/>
          </w:tcPr>
          <w:p w14:paraId="00100432" w14:textId="00100433">
            <w:r>
              <w:rPr>
                <w:sz w:val="20"/>
              </w:rPr>
              <w:t>22.1%</w:t>
            </w:r>
          </w:p>
        </w:tc>
      </w:tr>
    </w:tbl>
    <w:p w14:paraId="00100434" w14:textId="00100435">
      <w:pPr>
        <w:spacing w:after="160"/>
      </w:pPr>
    </w:p>
    <w:p w14:paraId="00100436" w14:textId="00100437">
      <w:pPr>
        <w:spacing w:before="240" w:after="120"/>
      </w:pPr>
      <w:r>
        <w:rPr>
          <w:b/>
          <w:color w:val="1F4E79"/>
          <w:sz w:val="26"/>
        </w:rPr>
        <w:t>A.4 Engineered Features</w:t>
      </w:r>
    </w:p>
    <w:tbl>
      <w:tblPr>
        <w:tblStyle w:val="TableGrid"/>
        <w:tblW w:w="0" w:type="auto"/>
        <w:tblLook w:val="04A0" w:firstRow="1" w:lastRow="0" w:firstColumn="1" w:lastColumn="0" w:noHBand="0" w:noVBand="1"/>
      </w:tblPr>
      <w:tblGrid>
        <w:gridCol w:w="1728"/>
        <w:gridCol w:w="1728"/>
        <w:gridCol w:w="1728"/>
        <w:gridCol w:w="1728"/>
        <w:gridCol w:w="1728"/>
      </w:tblGrid>
      <w:tr>
        <w:tc>
          <w:tcPr>
            <w:tcW w:w="2160" w:type="dxa"/>
          </w:tcPr>
          <w:p w14:paraId="00100438" w14:textId="00100439">
            <w:pPr>
              <w:shd w:val="clear" w:color="auto" w:fill="1F4E79"/>
            </w:pPr>
            <w:r>
              <w:rPr>
                <w:b/>
                <w:color w:val="FFFFFF"/>
                <w:sz w:val="20"/>
              </w:rPr>
              <w:t>Feature Name</w:t>
            </w:r>
          </w:p>
        </w:tc>
        <w:tc>
          <w:tcPr>
            <w:tcW w:w="1296" w:type="dxa"/>
          </w:tcPr>
          <w:p w14:paraId="0010043A" w14:textId="0010043B">
            <w:pPr>
              <w:shd w:val="clear" w:color="auto" w:fill="1F4E79"/>
            </w:pPr>
            <w:r>
              <w:rPr>
                <w:b/>
                <w:color w:val="FFFFFF"/>
                <w:sz w:val="20"/>
              </w:rPr>
              <w:t>Type</w:t>
            </w:r>
          </w:p>
        </w:tc>
        <w:tc>
          <w:tcPr>
            <w:tcW w:w="1008" w:type="dxa"/>
          </w:tcPr>
          <w:p w14:paraId="0010043C" w14:textId="0010043D">
            <w:pPr>
              <w:shd w:val="clear" w:color="auto" w:fill="1F4E79"/>
            </w:pPr>
            <w:r>
              <w:rPr>
                <w:b/>
                <w:color w:val="FFFFFF"/>
                <w:sz w:val="20"/>
              </w:rPr>
              <w:t>Values</w:t>
            </w:r>
          </w:p>
        </w:tc>
        <w:tc>
          <w:tcPr>
            <w:tcW w:w="3600" w:type="dxa"/>
          </w:tcPr>
          <w:p w14:paraId="0010043E" w14:textId="0010043F">
            <w:pPr>
              <w:shd w:val="clear" w:color="auto" w:fill="1F4E79"/>
            </w:pPr>
            <w:r>
              <w:rPr>
                <w:b/>
                <w:color w:val="FFFFFF"/>
                <w:sz w:val="20"/>
              </w:rPr>
              <w:t>Construction</w:t>
            </w:r>
          </w:p>
        </w:tc>
        <w:tc>
          <w:tcPr>
            <w:tcW w:w="1440" w:type="dxa"/>
          </w:tcPr>
          <w:p w14:paraId="00100440" w14:textId="00100441">
            <w:pPr>
              <w:shd w:val="clear" w:color="auto" w:fill="1F4E79"/>
            </w:pPr>
            <w:r>
              <w:rPr>
                <w:b/>
                <w:color w:val="FFFFFF"/>
                <w:sz w:val="20"/>
              </w:rPr>
              <w:t>Used in Model</w:t>
            </w:r>
          </w:p>
        </w:tc>
      </w:tr>
      <w:tr>
        <w:tc>
          <w:tcPr>
            <w:tcW w:w="2160" w:type="dxa"/>
          </w:tcPr>
          <w:p w14:paraId="00100442" w14:textId="00100443">
            <w:r>
              <w:rPr>
                <w:sz w:val="20"/>
              </w:rPr>
              <w:t>age_bucket</w:t>
            </w:r>
          </w:p>
        </w:tc>
        <w:tc>
          <w:tcPr>
            <w:tcW w:w="1296" w:type="dxa"/>
          </w:tcPr>
          <w:p w14:paraId="00100444" w14:textId="00100445">
            <w:r>
              <w:rPr>
                <w:sz w:val="20"/>
              </w:rPr>
              <w:t>Ordinal Int</w:t>
            </w:r>
          </w:p>
        </w:tc>
        <w:tc>
          <w:tcPr>
            <w:tcW w:w="1008" w:type="dxa"/>
          </w:tcPr>
          <w:p w14:paraId="00100446" w14:textId="00100447">
            <w:r>
              <w:rPr>
                <w:sz w:val="20"/>
              </w:rPr>
              <w:t>0–4</w:t>
            </w:r>
          </w:p>
        </w:tc>
        <w:tc>
          <w:tcPr>
            <w:tcW w:w="3600" w:type="dxa"/>
          </w:tcPr>
          <w:p w14:paraId="00100448" w14:textId="00100449">
            <w:r>
              <w:rPr>
                <w:sz w:val="20"/>
              </w:rPr>
              <w:t>pd.cut on age with bins [0,18,35,55,70,120]</w:t>
            </w:r>
          </w:p>
        </w:tc>
        <w:tc>
          <w:tcPr>
            <w:tcW w:w="1440" w:type="dxa"/>
          </w:tcPr>
          <w:p w14:paraId="0010044A" w14:textId="0010044B">
            <w:r>
              <w:rPr>
                <w:sz w:val="20"/>
              </w:rPr>
              <w:t>Model 1</w:t>
            </w:r>
          </w:p>
        </w:tc>
      </w:tr>
      <w:tr>
        <w:tc>
          <w:tcPr>
            <w:tcW w:w="2160" w:type="dxa"/>
          </w:tcPr>
          <w:p w14:paraId="0010044C" w14:textId="0010044D">
            <w:r>
              <w:rPr>
                <w:sz w:val="20"/>
              </w:rPr>
              <w:t>income_bracket</w:t>
            </w:r>
          </w:p>
        </w:tc>
        <w:tc>
          <w:tcPr>
            <w:tcW w:w="1296" w:type="dxa"/>
          </w:tcPr>
          <w:p w14:paraId="0010044E" w14:textId="0010044F">
            <w:r>
              <w:rPr>
                <w:sz w:val="20"/>
              </w:rPr>
              <w:t>Ordinal Int</w:t>
            </w:r>
          </w:p>
        </w:tc>
        <w:tc>
          <w:tcPr>
            <w:tcW w:w="1008" w:type="dxa"/>
          </w:tcPr>
          <w:p w14:paraId="00100450" w14:textId="00100451">
            <w:r>
              <w:rPr>
                <w:sz w:val="20"/>
              </w:rPr>
              <w:t>0–5</w:t>
            </w:r>
          </w:p>
        </w:tc>
        <w:tc>
          <w:tcPr>
            <w:tcW w:w="3600" w:type="dxa"/>
          </w:tcPr>
          <w:p w14:paraId="00100452" w14:textId="00100453">
            <w:r>
              <w:rPr>
                <w:sz w:val="20"/>
              </w:rPr>
              <w:t>pd.cut on annual_income with 6 bins</w:t>
            </w:r>
          </w:p>
        </w:tc>
        <w:tc>
          <w:tcPr>
            <w:tcW w:w="1440" w:type="dxa"/>
          </w:tcPr>
          <w:p w14:paraId="00100454" w14:textId="00100455">
            <w:r>
              <w:rPr>
                <w:sz w:val="20"/>
              </w:rPr>
              <w:t>Model 1</w:t>
            </w:r>
          </w:p>
        </w:tc>
      </w:tr>
      <w:tr>
        <w:tc>
          <w:tcPr>
            <w:tcW w:w="2160" w:type="dxa"/>
          </w:tcPr>
          <w:p w14:paraId="00100456" w14:textId="00100457">
            <w:r>
              <w:rPr>
                <w:sz w:val="20"/>
              </w:rPr>
              <w:t>occupation_encoded</w:t>
            </w:r>
          </w:p>
        </w:tc>
        <w:tc>
          <w:tcPr>
            <w:tcW w:w="1296" w:type="dxa"/>
          </w:tcPr>
          <w:p w14:paraId="00100458" w14:textId="00100459">
            <w:r>
              <w:rPr>
                <w:sz w:val="20"/>
              </w:rPr>
              <w:t>Integer</w:t>
            </w:r>
          </w:p>
        </w:tc>
        <w:tc>
          <w:tcPr>
            <w:tcW w:w="1008" w:type="dxa"/>
          </w:tcPr>
          <w:p w14:paraId="0010045A" w14:textId="0010045B">
            <w:r>
              <w:rPr>
                <w:sz w:val="20"/>
              </w:rPr>
              <w:t>0–6</w:t>
            </w:r>
          </w:p>
        </w:tc>
        <w:tc>
          <w:tcPr>
            <w:tcW w:w="3600" w:type="dxa"/>
          </w:tcPr>
          <w:p w14:paraId="0010045C" w14:textId="0010045D">
            <w:r>
              <w:rPr>
                <w:sz w:val="20"/>
              </w:rPr>
              <w:t>LabelEncoder on occupation string</w:t>
            </w:r>
          </w:p>
        </w:tc>
        <w:tc>
          <w:tcPr>
            <w:tcW w:w="1440" w:type="dxa"/>
          </w:tcPr>
          <w:p w14:paraId="0010045E" w14:textId="0010045F">
            <w:r>
              <w:rPr>
                <w:sz w:val="20"/>
              </w:rPr>
              <w:t>Model 1</w:t>
            </w:r>
          </w:p>
        </w:tc>
      </w:tr>
      <w:tr>
        <w:tc>
          <w:tcPr>
            <w:tcW w:w="2160" w:type="dxa"/>
          </w:tcPr>
          <w:p w14:paraId="00100460" w14:textId="00100461">
            <w:r>
              <w:rPr>
                <w:sz w:val="20"/>
              </w:rPr>
              <w:t>vulnerability_score</w:t>
            </w:r>
          </w:p>
        </w:tc>
        <w:tc>
          <w:tcPr>
            <w:tcW w:w="1296" w:type="dxa"/>
          </w:tcPr>
          <w:p w14:paraId="00100462" w14:textId="00100463">
            <w:r>
              <w:rPr>
                <w:sz w:val="20"/>
              </w:rPr>
              <w:t>Float</w:t>
            </w:r>
          </w:p>
        </w:tc>
        <w:tc>
          <w:tcPr>
            <w:tcW w:w="1008" w:type="dxa"/>
          </w:tcPr>
          <w:p w14:paraId="00100464" w14:textId="00100465">
            <w:r>
              <w:rPr>
                <w:sz w:val="20"/>
              </w:rPr>
              <w:t>0.0–1.0</w:t>
            </w:r>
          </w:p>
        </w:tc>
        <w:tc>
          <w:tcPr>
            <w:tcW w:w="3600" w:type="dxa"/>
          </w:tcPr>
          <w:p w14:paraId="00100466" w14:textId="00100467">
            <w:r>
              <w:rPr>
                <w:sz w:val="20"/>
              </w:rPr>
              <w:t>0.40*(1-norm_income) + 0.30*age_extremity + 0.30*soc_vul</w:t>
            </w:r>
          </w:p>
        </w:tc>
        <w:tc>
          <w:tcPr>
            <w:tcW w:w="1440" w:type="dxa"/>
          </w:tcPr>
          <w:p w14:paraId="00100468" w14:textId="00100469">
            <w:r>
              <w:rPr>
                <w:sz w:val="20"/>
              </w:rPr>
              <w:t>Model 1</w:t>
            </w:r>
          </w:p>
        </w:tc>
      </w:tr>
      <w:tr>
        <w:tc>
          <w:tcPr>
            <w:tcW w:w="2160" w:type="dxa"/>
          </w:tcPr>
          <w:p w14:paraId="0010046A" w14:textId="0010046B">
            <w:r>
              <w:rPr>
                <w:sz w:val="20"/>
              </w:rPr>
              <w:t>intent_inferred</w:t>
            </w:r>
          </w:p>
        </w:tc>
        <w:tc>
          <w:tcPr>
            <w:tcW w:w="1296" w:type="dxa"/>
          </w:tcPr>
          <w:p w14:paraId="0010046C" w14:textId="0010046D">
            <w:r>
              <w:rPr>
                <w:sz w:val="20"/>
              </w:rPr>
              <w:t>Categorical</w:t>
            </w:r>
          </w:p>
        </w:tc>
        <w:tc>
          <w:tcPr>
            <w:tcW w:w="1008" w:type="dxa"/>
          </w:tcPr>
          <w:p w14:paraId="0010046E" w14:textId="0010046F">
            <w:r>
              <w:rPr>
                <w:sz w:val="20"/>
              </w:rPr>
              <w:t>5 classes</w:t>
            </w:r>
          </w:p>
        </w:tc>
        <w:tc>
          <w:tcPr>
            <w:tcW w:w="3600" w:type="dxa"/>
          </w:tcPr>
          <w:p w14:paraId="00100470" w14:textId="00100471">
            <w:r>
              <w:rPr>
                <w:sz w:val="20"/>
              </w:rPr>
              <w:t>Keyword heuristic fallback if label absent</w:t>
            </w:r>
          </w:p>
        </w:tc>
        <w:tc>
          <w:tcPr>
            <w:tcW w:w="1440" w:type="dxa"/>
          </w:tcPr>
          <w:p w14:paraId="00100472" w14:textId="00100473">
            <w:r>
              <w:rPr>
                <w:sz w:val="20"/>
              </w:rPr>
              <w:t>Model 2</w:t>
            </w:r>
          </w:p>
        </w:tc>
      </w:tr>
    </w:tbl>
    <w:p w14:paraId="00100474" w14:textId="00100475">
      <w:pPr>
        <w:spacing w:after="160"/>
      </w:pPr>
    </w:p>
    <w:p w14:paraId="00100476" w14:textId="00100477">
      <w:pPr>
        <w:spacing w:before="240" w:after="120"/>
      </w:pPr>
      <w:r>
        <w:rPr>
          <w:b/>
          <w:color w:val="1F4E79"/>
          <w:sz w:val="26"/>
        </w:rPr>
        <w:t>A.5 Model Artefacts</w:t>
      </w:r>
    </w:p>
    <w:tbl>
      <w:tblPr>
        <w:tblStyle w:val="TableGrid"/>
        <w:tblW w:w="0" w:type="auto"/>
        <w:tblLook w:val="04A0" w:firstRow="1" w:lastRow="0" w:firstColumn="1" w:lastColumn="0" w:noHBand="0" w:noVBand="1"/>
      </w:tblPr>
      <w:tblGrid>
        <w:gridCol w:w="2880"/>
        <w:gridCol w:w="2880"/>
        <w:gridCol w:w="2880"/>
      </w:tblGrid>
      <w:tr>
        <w:tc>
          <w:tcPr>
            <w:tcW w:w="2880" w:type="dxa"/>
          </w:tcPr>
          <w:p w14:paraId="00100478" w14:textId="00100479">
            <w:pPr>
              <w:shd w:val="clear" w:color="auto" w:fill="1F4E79"/>
            </w:pPr>
            <w:r>
              <w:rPr>
                <w:b/>
                <w:color w:val="FFFFFF"/>
                <w:sz w:val="20"/>
              </w:rPr>
              <w:t>File</w:t>
            </w:r>
          </w:p>
        </w:tc>
        <w:tc>
          <w:tcPr>
            <w:tcW w:w="5040" w:type="dxa"/>
          </w:tcPr>
          <w:p w14:paraId="0010047A" w14:textId="0010047B">
            <w:pPr>
              <w:shd w:val="clear" w:color="auto" w:fill="1F4E79"/>
            </w:pPr>
            <w:r>
              <w:rPr>
                <w:b/>
                <w:color w:val="FFFFFF"/>
                <w:sz w:val="20"/>
              </w:rPr>
              <w:t>Contents</w:t>
            </w:r>
          </w:p>
        </w:tc>
        <w:tc>
          <w:tcPr>
            <w:tcW w:w="1296" w:type="dxa"/>
          </w:tcPr>
          <w:p w14:paraId="0010047C" w14:textId="0010047D">
            <w:pPr>
              <w:shd w:val="clear" w:color="auto" w:fill="1F4E79"/>
            </w:pPr>
            <w:r>
              <w:rPr>
                <w:b/>
                <w:color w:val="FFFFFF"/>
                <w:sz w:val="20"/>
              </w:rPr>
              <w:t>Size (approx.)</w:t>
            </w:r>
          </w:p>
        </w:tc>
      </w:tr>
      <w:tr>
        <w:tc>
          <w:tcPr>
            <w:tcW w:w="2880" w:type="dxa"/>
          </w:tcPr>
          <w:p w14:paraId="0010047E" w14:textId="0010047F">
            <w:r>
              <w:rPr>
                <w:sz w:val="20"/>
              </w:rPr>
              <w:t>models/scheme_recommender.pkl</w:t>
            </w:r>
          </w:p>
        </w:tc>
        <w:tc>
          <w:tcPr>
            <w:tcW w:w="5040" w:type="dxa"/>
          </w:tcPr>
          <w:p w14:paraId="00100480" w14:textId="00100481">
            <w:r>
              <w:rPr>
                <w:sz w:val="20"/>
              </w:rPr>
              <w:t>Serialised dict: {model (OvR RF or XGB), mlb (MultiLabelBinarizer), features (list), le_occ (LabelEncoder)}</w:t>
            </w:r>
          </w:p>
        </w:tc>
        <w:tc>
          <w:tcPr>
            <w:tcW w:w="1296" w:type="dxa"/>
          </w:tcPr>
          <w:p w14:paraId="00100482" w14:textId="00100483">
            <w:r>
              <w:rPr>
                <w:sz w:val="20"/>
              </w:rPr>
              <w:t>~25 MB</w:t>
            </w:r>
          </w:p>
        </w:tc>
      </w:tr>
      <w:tr>
        <w:tc>
          <w:tcPr>
            <w:tcW w:w="2880" w:type="dxa"/>
          </w:tcPr>
          <w:p w14:paraId="00100484" w14:textId="00100485">
            <w:r>
              <w:rPr>
                <w:sz w:val="20"/>
              </w:rPr>
              <w:t>models/intent_classifier.pkl</w:t>
            </w:r>
          </w:p>
        </w:tc>
        <w:tc>
          <w:tcPr>
            <w:tcW w:w="5040" w:type="dxa"/>
          </w:tcPr>
          <w:p w14:paraId="00100486" w14:textId="00100487">
            <w:r>
              <w:rPr>
                <w:sz w:val="20"/>
              </w:rPr>
              <w:t>Serialised dict: {model_type, pipeline (TF-IDF+SVC) or svc head, le (LabelEncoder), classes (array)}</w:t>
            </w:r>
          </w:p>
        </w:tc>
        <w:tc>
          <w:tcPr>
            <w:tcW w:w="1296" w:type="dxa"/>
          </w:tcPr>
          <w:p w14:paraId="00100488" w14:textId="00100489">
            <w:r>
              <w:rPr>
                <w:sz w:val="20"/>
              </w:rPr>
              <w:t>~8 MB</w:t>
            </w:r>
          </w:p>
        </w:tc>
      </w:tr>
      <w:tr>
        <w:tc>
          <w:tcPr>
            <w:tcW w:w="2880" w:type="dxa"/>
          </w:tcPr>
          <w:p w14:paraId="0010048A" w14:textId="0010048B">
            <w:r>
              <w:rPr>
                <w:sz w:val="20"/>
              </w:rPr>
              <w:t>reports/feature_importance.csv</w:t>
            </w:r>
          </w:p>
        </w:tc>
        <w:tc>
          <w:tcPr>
            <w:tcW w:w="5040" w:type="dxa"/>
          </w:tcPr>
          <w:p w14:paraId="0010048C" w14:textId="0010048D">
            <w:r>
              <w:rPr>
                <w:sz w:val="20"/>
              </w:rPr>
              <w:t>Two-column CSV: feature name, importance score</w:t>
            </w:r>
          </w:p>
        </w:tc>
        <w:tc>
          <w:tcPr>
            <w:tcW w:w="1296" w:type="dxa"/>
          </w:tcPr>
          <w:p w14:paraId="0010048E" w14:textId="0010048F">
            <w:r>
              <w:rPr>
                <w:sz w:val="20"/>
              </w:rPr>
              <w:t>&lt; 1 KB</w:t>
            </w:r>
          </w:p>
        </w:tc>
      </w:tr>
      <w:tr>
        <w:tc>
          <w:tcPr>
            <w:tcW w:w="2880" w:type="dxa"/>
          </w:tcPr>
          <w:p w14:paraId="00100490" w14:textId="00100491">
            <w:r>
              <w:rPr>
                <w:sz w:val="20"/>
              </w:rPr>
              <w:t>reports/model_metrics.json</w:t>
            </w:r>
          </w:p>
        </w:tc>
        <w:tc>
          <w:tcPr>
            <w:tcW w:w="5040" w:type="dxa"/>
          </w:tcPr>
          <w:p w14:paraId="00100492" w14:textId="00100493">
            <w:r>
              <w:rPr>
                <w:sz w:val="20"/>
              </w:rPr>
              <w:t>Nested JSON: model name -&gt; {hamming_loss, micro_f1, macro_f1, per_class}</w:t>
            </w:r>
          </w:p>
        </w:tc>
        <w:tc>
          <w:tcPr>
            <w:tcW w:w="1296" w:type="dxa"/>
          </w:tcPr>
          <w:p w14:paraId="00100494" w14:textId="00100495">
            <w:r>
              <w:rPr>
                <w:sz w:val="20"/>
              </w:rPr>
              <w:t>&lt; 2 KB</w:t>
            </w:r>
          </w:p>
        </w:tc>
      </w:tr>
      <w:tr>
        <w:tc>
          <w:tcPr>
            <w:tcW w:w="2880" w:type="dxa"/>
          </w:tcPr>
          <w:p w14:paraId="00100496" w14:textId="00100497">
            <w:r>
              <w:rPr>
                <w:sz w:val="20"/>
              </w:rPr>
              <w:t>reports/figures/*.png</w:t>
            </w:r>
          </w:p>
        </w:tc>
        <w:tc>
          <w:tcPr>
            <w:tcW w:w="5040" w:type="dxa"/>
          </w:tcPr>
          <w:p w14:paraId="00100498" w14:textId="00100499">
            <w:r>
              <w:rPr>
                <w:sz w:val="20"/>
              </w:rPr>
              <w:t>11 chart images at 300 DPI (00_ through 10_)</w:t>
            </w:r>
          </w:p>
        </w:tc>
        <w:tc>
          <w:tcPr>
            <w:tcW w:w="1296" w:type="dxa"/>
          </w:tcPr>
          <w:p w14:paraId="0010049A" w14:textId="0010049B">
            <w:r>
              <w:rPr>
                <w:sz w:val="20"/>
              </w:rPr>
              <w:t>~2–5 MB each</w:t>
            </w:r>
          </w:p>
        </w:tc>
      </w:tr>
    </w:tbl>
    <w:p w14:paraId="0010049C" w14:textId="0010049D">
      <w:pPr>
        <w:spacing w:after="160"/>
      </w:pPr>
    </w:p>
    <w:p w14:paraId="0010049F" w14:textId="001004A0">
      <w:pPr>
        <w:pStyle w:val="Heading1"/>
        <w:spacing w:before="360" w:after="120"/>
      </w:pPr>
      <w:r>
        <w:rPr>
          <w:b/>
          <w:sz w:val="32"/>
        </w:rPr>
        <w:t xml:space="preserve">Appendix B: Dashboard UI Screenshots</w:t>
      </w:r>
    </w:p>
    <w:p w14:paraId="001004A1" w14:textId="001004A2">
      <w:pPr>
        <w:spacing w:after="160"/>
      </w:pPr>
      <w:r>
        <w:rPr>
          <w:sz w:val="22"/>
        </w:rPr>
        <w:t xml:space="preserve">The following screenshots show all three pages of the JanMitra Streamlit dashboard prototype running at localhost:8501. Run with: streamlit run app.py</w:t>
      </w:r>
    </w:p>
    <w:p w14:paraId="001004A3" w14:textId="001004A4">
      <w:pPr>
        <w:pStyle w:val="Heading2"/>
        <w:spacing w:before="240" w:after="80"/>
      </w:pPr>
      <w:r>
        <w:rPr>
          <w:b/>
          <w:sz w:val="26"/>
        </w:rPr>
        <w:t xml:space="preserve">Figure B.1 — Page 1: My Profile</w:t>
      </w:r>
    </w:p>
    <w:p w14:paraId="001004A5" w14:textId="001004A6">
      <w:pPr>
        <w:spacing w:after="120"/>
      </w:pPr>
      <w:r>
        <w:rPr>
          <w:sz w:val="22"/>
        </w:rPr>
        <w:t xml:space="preserve">The citizen profile input page. Four sections collect personal details, location, occupation and earnings, and existing assets. The JanMitra Score live preview updates as inputs change. Clicking Find My Schemes runs the RandomForest recommendation model and saves results to session state.</w:t>
      </w:r>
    </w:p>
    <w:p w14:paraId="001004A7" w14:textId="001004A8">
      <w:pPr>
        <w:spacing w:line="240" w:lineRule="auto"/>
      </w:pPr>
      <w:r>
        <w:rPr/>
        <w:drawing>
          <wp:inline distT="0" distB="0" distL="0" distR="0">
            <wp:extent cx="5400000" cy="7036363"/>
            <wp:effectExtent l="0" t="0" r="0" b="0"/>
            <wp:docPr id="1" name="Page 1 My Profile" descr="Page 1 My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ge 1 My Profile"/>
                    <pic:cNvPicPr/>
                  </pic:nvPicPr>
                  <pic:blipFill>
                    <a:blip r:embed="R86477954ca654d17" cstate="print"/>
                    <a:stretch>
                      <a:fillRect/>
                    </a:stretch>
                  </pic:blipFill>
                  <pic:spPr>
                    <a:xfrm>
                      <a:off x="0" y="0"/>
                      <a:ext cx="5400000" cy="7036363"/>
                    </a:xfrm>
                    <a:prstGeom prst="rect">
                      <a:avLst/>
                    </a:prstGeom>
                  </pic:spPr>
                </pic:pic>
              </a:graphicData>
            </a:graphic>
          </wp:inline>
        </w:drawing>
      </w:r>
    </w:p>
    <w:p w14:paraId="001004A9" w14:textId="001004AA">
      <w:pPr>
        <w:pStyle w:val="Heading2"/>
        <w:spacing w:before="240" w:after="80"/>
      </w:pPr>
      <w:r>
        <w:rPr>
          <w:b/>
          <w:sz w:val="26"/>
        </w:rPr>
        <w:t xml:space="preserve">Figure B.2 — Page 2: Eligible Schemes</w:t>
      </w:r>
    </w:p>
    <w:p w14:paraId="001004AB" w14:textId="001004AC">
      <w:pPr>
        <w:spacing w:after="120"/>
      </w:pPr>
      <w:r>
        <w:rPr>
          <w:sz w:val="22"/>
        </w:rPr>
        <w:t xml:space="preserve">The scheme results page. A score hero banner shows the JanMitra Score. An Altair horizontal bar chart ranks the top 5 schemes by confidence. Each scheme card shows benefit amount, eligibility criteria, exact document checklist, time-to-apply, and a direct link to the official government portal.</w:t>
      </w:r>
    </w:p>
    <w:p w14:paraId="001004AD" w14:textId="001004AE">
      <w:pPr>
        <w:spacing w:line="240" w:lineRule="auto"/>
      </w:pPr>
      <w:r>
        <w:rPr/>
        <w:drawing>
          <wp:inline distT="0" distB="0" distL="0" distR="0">
            <wp:extent cx="5400000" cy="8323448"/>
            <wp:effectExtent l="0" t="0" r="0" b="0"/>
            <wp:docPr id="2" name="Page 2 Eligible Schemes" descr="Page 2 Eligible Sche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age 2 Eligible Schemes"/>
                    <pic:cNvPicPr/>
                  </pic:nvPicPr>
                  <pic:blipFill>
                    <a:blip r:embed="R872b87f1965a41b7" cstate="print"/>
                    <a:stretch>
                      <a:fillRect/>
                    </a:stretch>
                  </pic:blipFill>
                  <pic:spPr>
                    <a:xfrm>
                      <a:off x="0" y="0"/>
                      <a:ext cx="5400000" cy="8323448"/>
                    </a:xfrm>
                    <a:prstGeom prst="rect">
                      <a:avLst/>
                    </a:prstGeom>
                  </pic:spPr>
                </pic:pic>
              </a:graphicData>
            </a:graphic>
          </wp:inline>
        </w:drawing>
      </w:r>
    </w:p>
    <w:p w14:paraId="001004AF" w14:textId="001004B0">
      <w:pPr>
        <w:pStyle w:val="Heading2"/>
        <w:spacing w:before="240" w:after="80"/>
      </w:pPr>
      <w:r>
        <w:rPr>
          <w:b/>
          <w:sz w:val="26"/>
        </w:rPr>
        <w:t xml:space="preserve">Figure B.3 — Page 3: Ask JanMitra (Multilingual Q&amp;A)</w:t>
      </w:r>
    </w:p>
    <w:p w14:paraId="001004B1" w14:textId="001004B2">
      <w:pPr>
        <w:spacing w:after="120"/>
      </w:pPr>
      <w:r>
        <w:rPr>
          <w:sz w:val="22"/>
        </w:rPr>
        <w:t xml:space="preserve">The conversational interface. Six language tabs (English, Hindi, Telugu, Tamil, Kannada, Bengali) each have a query input. The TF-IDF plus LinearSVC intent classifier detects the query intent in under 1ms, displays confidence, and returns a structured answer. Follow-up chip buttons allow one-click exploration of related intents without page reload.</w:t>
      </w:r>
    </w:p>
    <w:p w14:paraId="001004B3" w14:textId="001004B4">
      <w:pPr>
        <w:spacing w:line="240" w:lineRule="auto"/>
      </w:pPr>
      <w:r>
        <w:rPr/>
        <w:drawing>
          <wp:inline distT="0" distB="0" distL="0" distR="0">
            <wp:extent cx="5400000" cy="5945454"/>
            <wp:effectExtent l="0" t="0" r="0" b="0"/>
            <wp:docPr id="3" name="Page 3 Ask JanMitra" descr="Page 3 Ask JanMi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age 3 Ask JanMitra"/>
                    <pic:cNvPicPr/>
                  </pic:nvPicPr>
                  <pic:blipFill>
                    <a:blip r:embed="R2fe7db4622954935" cstate="print"/>
                    <a:stretch>
                      <a:fillRect/>
                    </a:stretch>
                  </pic:blipFill>
                  <pic:spPr>
                    <a:xfrm>
                      <a:off x="0" y="0"/>
                      <a:ext cx="5400000" cy="5945454"/>
                    </a:xfrm>
                    <a:prstGeom prst="rect">
                      <a:avLst/>
                    </a:prstGeom>
                  </pic:spPr>
                </pic:pic>
              </a:graphicData>
            </a:graphic>
          </wp:inline>
        </w:drawing>
      </w:r>
    </w:p>
    <w:p w14:paraId="001004B5" w14:textId="001004B6">
      <w:pPr>
        <w:pStyle w:val="Heading1"/>
        <w:spacing w:before="360" w:after="120"/>
      </w:pPr>
      <w:r>
        <w:rPr>
          <w:b/>
          <w:sz w:val="32"/>
        </w:rPr>
        <w:t xml:space="preserve">Appendix C: Visualisation Charts</w:t>
      </w:r>
    </w:p>
    <w:p w14:paraId="001004B7" w14:textId="001004B8">
      <w:pPr>
        <w:spacing w:after="160"/>
      </w:pPr>
      <w:r>
        <w:rPr>
          <w:sz w:val="22"/>
        </w:rPr>
        <w:t xml:space="preserve">All charts generated at 150 DPI by generate_charts.py. Saved to reports/figures/. The same figures are produced by the Jupyter notebook (cells 5, 6, and 12).</w:t>
      </w:r>
    </w:p>
    <w:p w14:paraId="001004B9" w14:textId="001004BA">
      <w:pPr>
        <w:pStyle w:val="Heading2"/>
        <w:spacing w:before="200" w:after="80"/>
      </w:pPr>
      <w:r>
        <w:rPr>
          <w:b/>
          <w:sz w:val="26"/>
        </w:rPr>
        <w:t xml:space="preserve">C.1 — Missing Values Heatmap (00_missing_values.png)</w:t>
      </w:r>
    </w:p>
    <w:p w14:paraId="001004BB" w14:textId="001004BC">
      <w:pPr>
        <w:spacing w:line="240" w:lineRule="auto"/>
      </w:pPr>
      <w:r>
        <w:drawing>
          <wp:inline distT="0" distB="0" distL="0" distR="0">
            <wp:extent cx="5040000" cy="2240000"/>
            <wp:effectExtent l="0" t="0" r="0" b="0"/>
            <wp:docPr id="4" name="Missing Values Chart" descr="Missing Values Chart"/>
            <wp:cNvGraphicFramePr>
              <a:graphicFrameLocks noChangeAspect="1"/>
            </wp:cNvGraphicFramePr>
            <a:graphic>
              <a:graphicData uri="http://schemas.openxmlformats.org/drawingml/2006/picture">
                <pic:pic>
                  <pic:nvPicPr>
                    <pic:cNvPr id="4" name="Missing Values Chart"/>
                    <pic:cNvPicPr/>
                  </pic:nvPicPr>
                  <pic:blipFill>
                    <a:blip r:embed="R0192c7ab7426491d" cstate="print"/>
                    <a:stretch>
                      <a:fillRect/>
                    </a:stretch>
                  </pic:blipFill>
                  <pic:spPr>
                    <a:xfrm>
                      <a:off x="0" y="0"/>
                      <a:ext cx="5040000" cy="2240000"/>
                    </a:xfrm>
                    <a:prstGeom prst="rect">
                      <a:avLst/>
                    </a:prstGeom>
                  </pic:spPr>
                </pic:pic>
              </a:graphicData>
            </a:graphic>
          </wp:inline>
        </w:drawing>
      </w:r>
    </w:p>
    <w:p w14:paraId="001004BD" w14:textId="001004BE">
      <w:pPr>
        <w:pStyle w:val="Heading2"/>
        <w:spacing w:before="200" w:after="80"/>
      </w:pPr>
      <w:r>
        <w:rPr>
          <w:b/>
          <w:sz w:val="26"/>
        </w:rPr>
        <w:t xml:space="preserve">C.2 — Age Distribution by Gender (01_age_distribution.png)</w:t>
      </w:r>
    </w:p>
    <w:p w14:paraId="001004BF" w14:textId="001004C0">
      <w:pPr>
        <w:spacing w:line="240" w:lineRule="auto"/>
      </w:pPr>
      <w:r>
        <w:drawing>
          <wp:inline distT="0" distB="0" distL="0" distR="0">
            <wp:extent cx="5400000" cy="2083679"/>
            <wp:effectExtent l="0" t="0" r="0" b="0"/>
            <wp:docPr id="5" name="Age Distribution" descr="Age Distribution"/>
            <wp:cNvGraphicFramePr>
              <a:graphicFrameLocks noChangeAspect="1"/>
            </wp:cNvGraphicFramePr>
            <a:graphic>
              <a:graphicData uri="http://schemas.openxmlformats.org/drawingml/2006/picture">
                <pic:pic>
                  <pic:nvPicPr>
                    <pic:cNvPr id="5" name="Age Distribution"/>
                    <pic:cNvPicPr/>
                  </pic:nvPicPr>
                  <pic:blipFill>
                    <a:blip r:embed="R52891e0629894d66" cstate="print"/>
                    <a:stretch>
                      <a:fillRect/>
                    </a:stretch>
                  </pic:blipFill>
                  <pic:spPr>
                    <a:xfrm>
                      <a:off x="0" y="0"/>
                      <a:ext cx="5400000" cy="2083679"/>
                    </a:xfrm>
                    <a:prstGeom prst="rect">
                      <a:avLst/>
                    </a:prstGeom>
                  </pic:spPr>
                </pic:pic>
              </a:graphicData>
            </a:graphic>
          </wp:inline>
        </w:drawing>
      </w:r>
    </w:p>
    <w:p w14:paraId="001004C1" w14:textId="001004C2">
      <w:pPr>
        <w:pStyle w:val="Heading2"/>
        <w:spacing w:before="200" w:after="80"/>
      </w:pPr>
      <w:r>
        <w:rPr>
          <w:b/>
          <w:sz w:val="26"/>
        </w:rPr>
        <w:t xml:space="preserve">C.3 — Income Distribution vs Eligibility Rate (02_income_distribution.png)</w:t>
      </w:r>
    </w:p>
    <w:p w14:paraId="001004C3" w14:textId="001004C4">
      <w:pPr>
        <w:spacing w:line="240" w:lineRule="auto"/>
      </w:pPr>
      <w:r>
        <w:drawing>
          <wp:inline distT="0" distB="0" distL="0" distR="0">
            <wp:extent cx="5400000" cy="2087878"/>
            <wp:effectExtent l="0" t="0" r="0" b="0"/>
            <wp:docPr id="6" name="Income Distribution" descr="Income Distribution"/>
            <wp:cNvGraphicFramePr>
              <a:graphicFrameLocks noChangeAspect="1"/>
            </wp:cNvGraphicFramePr>
            <a:graphic>
              <a:graphicData uri="http://schemas.openxmlformats.org/drawingml/2006/picture">
                <pic:pic>
                  <pic:nvPicPr>
                    <pic:cNvPr id="6" name="Income Distribution"/>
                    <pic:cNvPicPr/>
                  </pic:nvPicPr>
                  <pic:blipFill>
                    <a:blip r:embed="Rc7d8451090ae4726" cstate="print"/>
                    <a:stretch>
                      <a:fillRect/>
                    </a:stretch>
                  </pic:blipFill>
                  <pic:spPr>
                    <a:xfrm>
                      <a:off x="0" y="0"/>
                      <a:ext cx="5400000" cy="2087878"/>
                    </a:xfrm>
                    <a:prstGeom prst="rect">
                      <a:avLst/>
                    </a:prstGeom>
                  </pic:spPr>
                </pic:pic>
              </a:graphicData>
            </a:graphic>
          </wp:inline>
        </w:drawing>
      </w:r>
    </w:p>
    <w:p w14:paraId="001004C5" w14:textId="001004C6">
      <w:pPr>
        <w:pStyle w:val="Heading2"/>
        <w:spacing w:before="200" w:after="80"/>
      </w:pPr>
      <w:r>
        <w:rPr>
          <w:b/>
          <w:sz w:val="26"/>
        </w:rPr>
        <w:t xml:space="preserve">C.4 — HERO: Scheme Coverage Heatmap — Category x Age Cohort (03_scheme_coverage_heatmap.png)</w:t>
      </w:r>
    </w:p>
    <w:p w14:paraId="001004C7" w14:textId="001004C8">
      <w:pPr>
        <w:spacing w:after="80"/>
      </w:pPr>
      <w:r>
        <w:rPr>
          <w:sz w:val="22"/>
        </w:rPr>
        <w:t xml:space="preserve">White cells (red borders) indicate under-served demographic intersections. The 56-plus age cohort x Urban Employment band is the largest uncovered gap.</w:t>
      </w:r>
    </w:p>
    <w:p w14:paraId="001004C9" w14:textId="001004CA">
      <w:pPr>
        <w:spacing w:line="240" w:lineRule="auto"/>
      </w:pPr>
      <w:r>
        <w:drawing>
          <wp:inline distT="0" distB="0" distL="0" distR="0">
            <wp:extent cx="5760000" cy="2245565"/>
            <wp:effectExtent l="0" t="0" r="0" b="0"/>
            <wp:docPr id="7" name="Scheme Coverage Heatmap" descr="Scheme Coverage Heatmap"/>
            <wp:cNvGraphicFramePr>
              <a:graphicFrameLocks noChangeAspect="1"/>
            </wp:cNvGraphicFramePr>
            <a:graphic>
              <a:graphicData uri="http://schemas.openxmlformats.org/drawingml/2006/picture">
                <pic:pic>
                  <pic:nvPicPr>
                    <pic:cNvPr id="7" name="Scheme Coverage Heatmap"/>
                    <pic:cNvPicPr/>
                  </pic:nvPicPr>
                  <pic:blipFill>
                    <a:blip r:embed="Red82617624164f53" cstate="print"/>
                    <a:stretch>
                      <a:fillRect/>
                    </a:stretch>
                  </pic:blipFill>
                  <pic:spPr>
                    <a:xfrm>
                      <a:off x="0" y="0"/>
                      <a:ext cx="5760000" cy="2245565"/>
                    </a:xfrm>
                    <a:prstGeom prst="rect">
                      <a:avLst/>
                    </a:prstGeom>
                  </pic:spPr>
                </pic:pic>
              </a:graphicData>
            </a:graphic>
          </wp:inline>
        </w:drawing>
      </w:r>
    </w:p>
    <w:p w14:paraId="001004CB" w14:textId="001004CC">
      <w:pPr>
        <w:pStyle w:val="Heading2"/>
        <w:spacing w:before="200" w:after="80"/>
      </w:pPr>
      <w:r>
        <w:rPr>
          <w:b/>
          <w:sz w:val="26"/>
        </w:rPr>
        <w:t xml:space="preserve">C.5 — State-wise Average Eligibility Score (04_state_wise_eligibility.png)</w:t>
      </w:r>
    </w:p>
    <w:p w14:paraId="001004CD" w14:textId="001004CE">
      <w:pPr>
        <w:spacing w:line="240" w:lineRule="auto"/>
      </w:pPr>
      <w:r>
        <w:drawing>
          <wp:inline distT="0" distB="0" distL="0" distR="0">
            <wp:extent cx="4680000" cy="3023223"/>
            <wp:effectExtent l="0" t="0" r="0" b="0"/>
            <wp:docPr id="8" name="State-wise Eligibility" descr="State-wise Eligibility"/>
            <wp:cNvGraphicFramePr>
              <a:graphicFrameLocks noChangeAspect="1"/>
            </wp:cNvGraphicFramePr>
            <a:graphic>
              <a:graphicData uri="http://schemas.openxmlformats.org/drawingml/2006/picture">
                <pic:pic>
                  <pic:nvPicPr>
                    <pic:cNvPr id="8" name="State-wise Eligibility"/>
                    <pic:cNvPicPr/>
                  </pic:nvPicPr>
                  <pic:blipFill>
                    <a:blip r:embed="R72748a0a24bf40f7" cstate="print"/>
                    <a:stretch>
                      <a:fillRect/>
                    </a:stretch>
                  </pic:blipFill>
                  <pic:spPr>
                    <a:xfrm>
                      <a:off x="0" y="0"/>
                      <a:ext cx="4680000" cy="3023223"/>
                    </a:xfrm>
                    <a:prstGeom prst="rect">
                      <a:avLst/>
                    </a:prstGeom>
                  </pic:spPr>
                </pic:pic>
              </a:graphicData>
            </a:graphic>
          </wp:inline>
        </w:drawing>
      </w:r>
    </w:p>
    <w:p w14:paraId="001004CF" w14:textId="001004D0">
      <w:pPr>
        <w:pStyle w:val="Heading2"/>
        <w:spacing w:before="200" w:after="80"/>
      </w:pPr>
      <w:r>
        <w:rPr>
          <w:b/>
          <w:sz w:val="26"/>
        </w:rPr>
        <w:t xml:space="preserve">C.6 — Query Intent Distribution (05_intent_distribution.png)</w:t>
      </w:r>
    </w:p>
    <w:p w14:paraId="001004D1" w14:textId="001004D2">
      <w:pPr>
        <w:spacing w:line="240" w:lineRule="auto"/>
      </w:pPr>
      <w:r>
        <w:drawing>
          <wp:inline distT="0" distB="0" distL="0" distR="0">
            <wp:extent cx="5400000" cy="2376967"/>
            <wp:effectExtent l="0" t="0" r="0" b="0"/>
            <wp:docPr id="9" name="Intent Distribution" descr="Intent Distribution"/>
            <wp:cNvGraphicFramePr>
              <a:graphicFrameLocks noChangeAspect="1"/>
            </wp:cNvGraphicFramePr>
            <a:graphic>
              <a:graphicData uri="http://schemas.openxmlformats.org/drawingml/2006/picture">
                <pic:pic>
                  <pic:nvPicPr>
                    <pic:cNvPr id="9" name="Intent Distribution"/>
                    <pic:cNvPicPr/>
                  </pic:nvPicPr>
                  <pic:blipFill>
                    <a:blip r:embed="R93bbbf59805e48c7" cstate="print"/>
                    <a:stretch>
                      <a:fillRect/>
                    </a:stretch>
                  </pic:blipFill>
                  <pic:spPr>
                    <a:xfrm>
                      <a:off x="0" y="0"/>
                      <a:ext cx="5400000" cy="2376967"/>
                    </a:xfrm>
                    <a:prstGeom prst="rect">
                      <a:avLst/>
                    </a:prstGeom>
                  </pic:spPr>
                </pic:pic>
              </a:graphicData>
            </a:graphic>
          </wp:inline>
        </w:drawing>
      </w:r>
    </w:p>
    <w:p w14:paraId="001004D3" w14:textId="001004D4">
      <w:pPr>
        <w:pStyle w:val="Heading2"/>
        <w:spacing w:before="200" w:after="80"/>
      </w:pPr>
      <w:r>
        <w:rPr>
          <w:b/>
          <w:sz w:val="26"/>
        </w:rPr>
        <w:t xml:space="preserve">C.7 — Occupation x Scheme Category Matrix (06_occupation_scheme_matrix.png)</w:t>
      </w:r>
    </w:p>
    <w:p w14:paraId="001004D5" w14:textId="001004D6">
      <w:pPr>
        <w:spacing w:line="240" w:lineRule="auto"/>
      </w:pPr>
      <w:r>
        <w:drawing>
          <wp:inline distT="0" distB="0" distL="0" distR="0">
            <wp:extent cx="5760000" cy="2610810"/>
            <wp:effectExtent l="0" t="0" r="0" b="0"/>
            <wp:docPr id="10" name="Occupation Scheme Matrix" descr="Occupation Scheme Matrix"/>
            <wp:cNvGraphicFramePr>
              <a:graphicFrameLocks noChangeAspect="1"/>
            </wp:cNvGraphicFramePr>
            <a:graphic>
              <a:graphicData uri="http://schemas.openxmlformats.org/drawingml/2006/picture">
                <pic:pic>
                  <pic:nvPicPr>
                    <pic:cNvPr id="10" name="Occupation Scheme Matrix"/>
                    <pic:cNvPicPr/>
                  </pic:nvPicPr>
                  <pic:blipFill>
                    <a:blip r:embed="R544ab2ad781e46a6" cstate="print"/>
                    <a:stretch>
                      <a:fillRect/>
                    </a:stretch>
                  </pic:blipFill>
                  <pic:spPr>
                    <a:xfrm>
                      <a:off x="0" y="0"/>
                      <a:ext cx="5760000" cy="2610810"/>
                    </a:xfrm>
                    <a:prstGeom prst="rect">
                      <a:avLst/>
                    </a:prstGeom>
                  </pic:spPr>
                </pic:pic>
              </a:graphicData>
            </a:graphic>
          </wp:inline>
        </w:drawing>
      </w:r>
    </w:p>
    <w:p w14:paraId="001004D7" w14:textId="001004D8">
      <w:pPr>
        <w:pStyle w:val="Heading2"/>
        <w:spacing w:before="200" w:after="80"/>
      </w:pPr>
      <w:r>
        <w:rPr>
          <w:b/>
          <w:sz w:val="26"/>
        </w:rPr>
        <w:t xml:space="preserve">C.8 — Recommendation Model Performance (07_recommendation_performance.png)</w:t>
      </w:r>
    </w:p>
    <w:p w14:paraId="001004D9" w14:textId="001004DA">
      <w:pPr>
        <w:spacing w:line="240" w:lineRule="auto"/>
      </w:pPr>
      <w:r>
        <w:drawing>
          <wp:inline distT="0" distB="0" distL="0" distR="0">
            <wp:extent cx="4680000" cy="2306696"/>
            <wp:effectExtent l="0" t="0" r="0" b="0"/>
            <wp:docPr id="11" name="Model Performance" descr="Model Performance"/>
            <wp:cNvGraphicFramePr>
              <a:graphicFrameLocks noChangeAspect="1"/>
            </wp:cNvGraphicFramePr>
            <a:graphic>
              <a:graphicData uri="http://schemas.openxmlformats.org/drawingml/2006/picture">
                <pic:pic>
                  <pic:nvPicPr>
                    <pic:cNvPr id="11" name="Model Performance"/>
                    <pic:cNvPicPr/>
                  </pic:nvPicPr>
                  <pic:blipFill>
                    <a:blip r:embed="R8b813907eda9482e" cstate="print"/>
                    <a:stretch>
                      <a:fillRect/>
                    </a:stretch>
                  </pic:blipFill>
                  <pic:spPr>
                    <a:xfrm>
                      <a:off x="0" y="0"/>
                      <a:ext cx="4680000" cy="2306696"/>
                    </a:xfrm>
                    <a:prstGeom prst="rect">
                      <a:avLst/>
                    </a:prstGeom>
                  </pic:spPr>
                </pic:pic>
              </a:graphicData>
            </a:graphic>
          </wp:inline>
        </w:drawing>
      </w:r>
    </w:p>
    <w:p w14:paraId="001004DB" w14:textId="001004DC">
      <w:pPr>
        <w:pStyle w:val="Heading2"/>
        <w:spacing w:before="200" w:after="80"/>
      </w:pPr>
      <w:r>
        <w:rPr>
          <w:b/>
          <w:sz w:val="26"/>
        </w:rPr>
        <w:t xml:space="preserve">C.9 — Feature Importance (08_feature_importance.png)</w:t>
      </w:r>
    </w:p>
    <w:p w14:paraId="001004DD" w14:textId="001004DE">
      <w:pPr>
        <w:spacing w:line="240" w:lineRule="auto"/>
      </w:pPr>
      <w:r>
        <w:drawing>
          <wp:inline distT="0" distB="0" distL="0" distR="0">
            <wp:extent cx="4320000" cy="2029460"/>
            <wp:effectExtent l="0" t="0" r="0" b="0"/>
            <wp:docPr id="12" name="Feature Importance" descr="Feature Importance"/>
            <wp:cNvGraphicFramePr>
              <a:graphicFrameLocks noChangeAspect="1"/>
            </wp:cNvGraphicFramePr>
            <a:graphic>
              <a:graphicData uri="http://schemas.openxmlformats.org/drawingml/2006/picture">
                <pic:pic>
                  <pic:nvPicPr>
                    <pic:cNvPr id="12" name="Feature Importance"/>
                    <pic:cNvPicPr/>
                  </pic:nvPicPr>
                  <pic:blipFill>
                    <a:blip r:embed="R39ea358644b94820" cstate="print"/>
                    <a:stretch>
                      <a:fillRect/>
                    </a:stretch>
                  </pic:blipFill>
                  <pic:spPr>
                    <a:xfrm>
                      <a:off x="0" y="0"/>
                      <a:ext cx="4320000" cy="2029460"/>
                    </a:xfrm>
                    <a:prstGeom prst="rect">
                      <a:avLst/>
                    </a:prstGeom>
                  </pic:spPr>
                </pic:pic>
              </a:graphicData>
            </a:graphic>
          </wp:inline>
        </w:drawing>
      </w:r>
    </w:p>
    <w:p w14:paraId="001004DF" w14:textId="001004E0">
      <w:pPr>
        <w:pStyle w:val="Heading2"/>
        <w:spacing w:before="200" w:after="80"/>
      </w:pPr>
      <w:r>
        <w:rPr>
          <w:b/>
          <w:sz w:val="26"/>
        </w:rPr>
        <w:t xml:space="preserve">C.10 — Per-Intent F1 Score (09_per_language_f1.png)</w:t>
      </w:r>
    </w:p>
    <w:p w14:paraId="001004E1" w14:textId="001004E2">
      <w:pPr>
        <w:spacing w:line="240" w:lineRule="auto"/>
      </w:pPr>
      <w:r>
        <w:drawing>
          <wp:inline distT="0" distB="0" distL="0" distR="0">
            <wp:extent cx="4680000" cy="2041799"/>
            <wp:effectExtent l="0" t="0" r="0" b="0"/>
            <wp:docPr id="13" name="Per-Intent F1" descr="Per-Intent F1"/>
            <wp:cNvGraphicFramePr>
              <a:graphicFrameLocks noChangeAspect="1"/>
            </wp:cNvGraphicFramePr>
            <a:graphic>
              <a:graphicData uri="http://schemas.openxmlformats.org/drawingml/2006/picture">
                <pic:pic>
                  <pic:nvPicPr>
                    <pic:cNvPr id="13" name="Per-Intent F1"/>
                    <pic:cNvPicPr/>
                  </pic:nvPicPr>
                  <pic:blipFill>
                    <a:blip r:embed="Ra4368da35a9c4599" cstate="print"/>
                    <a:stretch>
                      <a:fillRect/>
                    </a:stretch>
                  </pic:blipFill>
                  <pic:spPr>
                    <a:xfrm>
                      <a:off x="0" y="0"/>
                      <a:ext cx="4680000" cy="2041799"/>
                    </a:xfrm>
                    <a:prstGeom prst="rect">
                      <a:avLst/>
                    </a:prstGeom>
                  </pic:spPr>
                </pic:pic>
              </a:graphicData>
            </a:graphic>
          </wp:inline>
        </w:drawing>
      </w:r>
    </w:p>
    <w:p w14:paraId="001004E3" w14:textId="001004E4">
      <w:pPr>
        <w:pStyle w:val="Heading2"/>
        <w:spacing w:before="200" w:after="80"/>
      </w:pPr>
      <w:r>
        <w:rPr>
          <w:b/>
          <w:sz w:val="26"/>
        </w:rPr>
        <w:t xml:space="preserve">C.11 — Model Comparison: Radar and Grouped Bar (10_model_comparison.png)</w:t>
      </w:r>
    </w:p>
    <w:p w14:paraId="001004E5" w14:textId="001004E6">
      <w:pPr>
        <w:spacing w:line="240" w:lineRule="auto"/>
      </w:pPr>
      <w:r>
        <w:drawing>
          <wp:inline distT="0" distB="0" distL="0" distR="0">
            <wp:extent cx="5400000" cy="2298224"/>
            <wp:effectExtent l="0" t="0" r="0" b="0"/>
            <wp:docPr id="14" name="Model Comparison" descr="Model Comparison"/>
            <wp:cNvGraphicFramePr>
              <a:graphicFrameLocks noChangeAspect="1"/>
            </wp:cNvGraphicFramePr>
            <a:graphic>
              <a:graphicData uri="http://schemas.openxmlformats.org/drawingml/2006/picture">
                <pic:pic>
                  <pic:nvPicPr>
                    <pic:cNvPr id="14" name="Model Comparison"/>
                    <pic:cNvPicPr/>
                  </pic:nvPicPr>
                  <pic:blipFill>
                    <a:blip r:embed="Ref1ef105dbf140e4" cstate="print"/>
                    <a:stretch>
                      <a:fillRect/>
                    </a:stretch>
                  </pic:blipFill>
                  <pic:spPr>
                    <a:xfrm>
                      <a:off x="0" y="0"/>
                      <a:ext cx="5400000" cy="2298224"/>
                    </a:xfrm>
                    <a:prstGeom prst="rect">
                      <a:avLst/>
                    </a:prstGeom>
                  </pic:spPr>
                </pic:pic>
              </a:graphicData>
            </a:graphic>
          </wp:inline>
        </w:drawing>
      </w:r>
    </w:p>
    <w:sectPr w:rsidRPr="0006063C" w:rsidR="00FC69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png" Id="R86477954ca654d17" /><Relationship Type="http://schemas.openxmlformats.org/officeDocument/2006/relationships/image" Target="/media/image2.png" Id="R872b87f1965a41b7" /><Relationship Type="http://schemas.openxmlformats.org/officeDocument/2006/relationships/image" Target="/media/image3.png" Id="R2fe7db4622954935" /><Relationship Type="http://schemas.openxmlformats.org/officeDocument/2006/relationships/image" Target="/media/image4.png" Id="R0192c7ab7426491d" /><Relationship Type="http://schemas.openxmlformats.org/officeDocument/2006/relationships/image" Target="/media/image5.png" Id="R52891e0629894d66" /><Relationship Type="http://schemas.openxmlformats.org/officeDocument/2006/relationships/image" Target="/media/image6.png" Id="Rc7d8451090ae4726" /><Relationship Type="http://schemas.openxmlformats.org/officeDocument/2006/relationships/image" Target="/media/image7.png" Id="Red82617624164f53" /><Relationship Type="http://schemas.openxmlformats.org/officeDocument/2006/relationships/image" Target="/media/image8.png" Id="R72748a0a24bf40f7" /><Relationship Type="http://schemas.openxmlformats.org/officeDocument/2006/relationships/image" Target="/media/image9.png" Id="R93bbbf59805e48c7" /><Relationship Type="http://schemas.openxmlformats.org/officeDocument/2006/relationships/image" Target="/media/image10.png" Id="R544ab2ad781e46a6" /><Relationship Type="http://schemas.openxmlformats.org/officeDocument/2006/relationships/image" Target="/media/image11.png" Id="R8b813907eda9482e" /><Relationship Type="http://schemas.openxmlformats.org/officeDocument/2006/relationships/image" Target="/media/image12.png" Id="R39ea358644b94820" /><Relationship Type="http://schemas.openxmlformats.org/officeDocument/2006/relationships/image" Target="/media/image13.png" Id="Ra4368da35a9c4599" /><Relationship Type="http://schemas.openxmlformats.org/officeDocument/2006/relationships/image" Target="/media/image14.png" Id="Ref1ef105dbf140e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0</ap:TotalTime>
  <ap:Pages>1</ap:Pages>
  <ap:Words>0</ap:Words>
  <ap:Characters>0</ap:Characters>
  <ap:Application>Microsoft Macintosh Word</ap:Application>
  <ap:DocSecurity>0</ap:DocSecurity>
  <ap:Lines>0</ap:Lines>
  <ap:Paragraphs>0</ap:Paragraphs>
  <ap:ScaleCrop>false</ap:ScaleCrop>
  <ap:HeadingPairs>
    <vt:vector baseType="variant" size="2">
      <vt:variant>
        <vt:lpstr>Title</vt:lpstr>
      </vt:variant>
      <vt:variant>
        <vt:i4>1</vt:i4>
      </vt:variant>
    </vt:vector>
  </ap:HeadingPairs>
  <ap:TitlesOfParts>
    <vt:vector baseType="lpstr" size="1">
      <vt:lpstr/>
    </vt:vector>
  </ap:TitlesOfParts>
  <ap:Manager/>
  <ap:Company/>
  <ap:LinksUpToDate>false</ap:LinksUpToDate>
  <ap:CharactersWithSpaces>0</ap:CharactersWithSpaces>
  <ap:SharedDoc>false</ap:SharedDoc>
  <ap:HyperlinkBase/>
  <ap:HyperlinksChanged>false</ap:HyperlinksChanged>
  <ap:AppVersion>14.0000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2026-09-24T17:51:13Z</vt:lpwstr>
  </op:property>
</op:Properties>
</file>