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1AEE6D" w14:textId="77777777" w:rsidR="006B1671" w:rsidRDefault="006B1671" w:rsidP="006B1671">
      <w:pPr>
        <w:spacing w:after="0"/>
        <w:jc w:val="center"/>
      </w:pPr>
      <w:r>
        <w:rPr>
          <w:noProof/>
        </w:rPr>
        <w:drawing>
          <wp:inline distT="0" distB="0" distL="0" distR="0" wp14:anchorId="315F6CA4" wp14:editId="34D79E2E">
            <wp:extent cx="2797484" cy="1171596"/>
            <wp:effectExtent l="0" t="0" r="0" b="0"/>
            <wp:docPr id="6"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8"/>
                    <a:srcRect/>
                    <a:stretch>
                      <a:fillRect/>
                    </a:stretch>
                  </pic:blipFill>
                  <pic:spPr>
                    <a:xfrm>
                      <a:off x="0" y="0"/>
                      <a:ext cx="2797484" cy="1171596"/>
                    </a:xfrm>
                    <a:prstGeom prst="rect">
                      <a:avLst/>
                    </a:prstGeom>
                    <a:ln/>
                  </pic:spPr>
                </pic:pic>
              </a:graphicData>
            </a:graphic>
          </wp:inline>
        </w:drawing>
      </w:r>
    </w:p>
    <w:p w14:paraId="2A399507" w14:textId="77777777" w:rsidR="006B1671" w:rsidRDefault="006B1671" w:rsidP="006B1671">
      <w:pPr>
        <w:spacing w:after="0"/>
        <w:ind w:firstLine="720"/>
      </w:pPr>
    </w:p>
    <w:p w14:paraId="07A183A6" w14:textId="77777777" w:rsidR="006B1671" w:rsidRPr="006B1671" w:rsidRDefault="006B1671" w:rsidP="006B1671">
      <w:pPr>
        <w:spacing w:after="283"/>
        <w:jc w:val="center"/>
        <w:rPr>
          <w:rFonts w:ascii="Times New Roman" w:eastAsia="Times New Roman" w:hAnsi="Times New Roman" w:cs="Times New Roman"/>
          <w:b/>
          <w:bCs/>
          <w:sz w:val="34"/>
          <w:szCs w:val="34"/>
          <w:lang w:val="en-IN"/>
        </w:rPr>
      </w:pPr>
      <w:r w:rsidRPr="006B1671">
        <w:rPr>
          <w:rFonts w:ascii="Times New Roman" w:eastAsia="Times New Roman" w:hAnsi="Times New Roman" w:cs="Times New Roman"/>
          <w:b/>
          <w:bCs/>
          <w:sz w:val="34"/>
          <w:szCs w:val="34"/>
          <w:lang w:val="en-IN"/>
        </w:rPr>
        <w:t>AI Career Predictor</w:t>
      </w:r>
    </w:p>
    <w:p w14:paraId="7B945A87" w14:textId="4B72A144" w:rsidR="006B1671" w:rsidRDefault="006B1671" w:rsidP="006B1671">
      <w:pPr>
        <w:spacing w:after="283"/>
        <w:jc w:val="center"/>
        <w:rPr>
          <w:rFonts w:ascii="Times New Roman" w:eastAsia="Times New Roman" w:hAnsi="Times New Roman" w:cs="Times New Roman"/>
        </w:rPr>
      </w:pPr>
      <w:r>
        <w:rPr>
          <w:rFonts w:ascii="Times New Roman" w:eastAsia="Times New Roman" w:hAnsi="Times New Roman" w:cs="Times New Roman"/>
          <w:b/>
          <w:bCs/>
          <w:sz w:val="34"/>
          <w:szCs w:val="34"/>
        </w:rPr>
        <w:t xml:space="preserve"> </w:t>
      </w:r>
      <w:r>
        <w:rPr>
          <w:rFonts w:ascii="Times New Roman" w:eastAsia="Times New Roman" w:hAnsi="Times New Roman" w:cs="Times New Roman"/>
          <w:b/>
          <w:bCs/>
          <w:sz w:val="34"/>
          <w:szCs w:val="34"/>
        </w:rPr>
        <w:t>A report submitted to</w:t>
      </w:r>
    </w:p>
    <w:p w14:paraId="0561F112" w14:textId="77777777" w:rsidR="006B1671" w:rsidRDefault="006B1671" w:rsidP="006B1671">
      <w:pPr>
        <w:spacing w:after="169"/>
        <w:ind w:right="10"/>
        <w:jc w:val="center"/>
        <w:rPr>
          <w:rFonts w:ascii="Times New Roman" w:eastAsia="Times New Roman" w:hAnsi="Times New Roman" w:cs="Times New Roman"/>
        </w:rPr>
      </w:pPr>
      <w:r>
        <w:rPr>
          <w:rFonts w:ascii="Times New Roman" w:eastAsia="Times New Roman" w:hAnsi="Times New Roman" w:cs="Times New Roman"/>
          <w:b/>
          <w:bCs/>
          <w:sz w:val="34"/>
          <w:szCs w:val="34"/>
        </w:rPr>
        <w:t>RAMAIAH INSTITUTE OF TECHNOLOGY</w:t>
      </w:r>
    </w:p>
    <w:p w14:paraId="1969F51E" w14:textId="77777777" w:rsidR="006B1671" w:rsidRDefault="006B1671" w:rsidP="006B1671">
      <w:pPr>
        <w:spacing w:after="283"/>
        <w:jc w:val="center"/>
        <w:rPr>
          <w:rFonts w:ascii="Times New Roman" w:eastAsia="Times New Roman" w:hAnsi="Times New Roman" w:cs="Times New Roman"/>
        </w:rPr>
      </w:pPr>
      <w:r>
        <w:rPr>
          <w:rFonts w:ascii="Times New Roman" w:eastAsia="Times New Roman" w:hAnsi="Times New Roman" w:cs="Times New Roman"/>
          <w:b/>
          <w:bCs/>
          <w:sz w:val="34"/>
          <w:szCs w:val="34"/>
        </w:rPr>
        <w:t>Bengaluru</w:t>
      </w:r>
    </w:p>
    <w:p w14:paraId="10ED2E82" w14:textId="4FDD0DEA" w:rsidR="006B1671" w:rsidRDefault="006B1671" w:rsidP="006B1671">
      <w:pPr>
        <w:spacing w:after="283"/>
        <w:jc w:val="center"/>
        <w:rPr>
          <w:rFonts w:ascii="Times New Roman" w:eastAsia="Times New Roman" w:hAnsi="Times New Roman" w:cs="Times New Roman"/>
        </w:rPr>
      </w:pPr>
      <w:r>
        <w:rPr>
          <w:rFonts w:ascii="Times New Roman" w:eastAsia="Times New Roman" w:hAnsi="Times New Roman" w:cs="Times New Roman"/>
          <w:b/>
          <w:bCs/>
          <w:sz w:val="34"/>
          <w:szCs w:val="34"/>
        </w:rPr>
        <w:t>BUSINESS ANALYTICS</w:t>
      </w:r>
      <w:r>
        <w:rPr>
          <w:rFonts w:ascii="Times New Roman" w:eastAsia="Times New Roman" w:hAnsi="Times New Roman" w:cs="Times New Roman"/>
          <w:b/>
          <w:bCs/>
          <w:sz w:val="34"/>
          <w:szCs w:val="34"/>
        </w:rPr>
        <w:t xml:space="preserve"> (IS</w:t>
      </w:r>
      <w:r>
        <w:rPr>
          <w:rFonts w:ascii="Times New Roman" w:eastAsia="Times New Roman" w:hAnsi="Times New Roman" w:cs="Times New Roman"/>
          <w:b/>
          <w:bCs/>
          <w:sz w:val="34"/>
          <w:szCs w:val="34"/>
        </w:rPr>
        <w:t>E</w:t>
      </w:r>
      <w:r>
        <w:rPr>
          <w:rFonts w:ascii="Times New Roman" w:eastAsia="Times New Roman" w:hAnsi="Times New Roman" w:cs="Times New Roman"/>
          <w:b/>
          <w:bCs/>
          <w:sz w:val="34"/>
          <w:szCs w:val="34"/>
        </w:rPr>
        <w:t>6</w:t>
      </w:r>
      <w:r>
        <w:rPr>
          <w:rFonts w:ascii="Times New Roman" w:eastAsia="Times New Roman" w:hAnsi="Times New Roman" w:cs="Times New Roman"/>
          <w:b/>
          <w:bCs/>
          <w:sz w:val="34"/>
          <w:szCs w:val="34"/>
        </w:rPr>
        <w:t>41</w:t>
      </w:r>
      <w:r>
        <w:rPr>
          <w:rFonts w:ascii="Times New Roman" w:eastAsia="Times New Roman" w:hAnsi="Times New Roman" w:cs="Times New Roman"/>
          <w:b/>
          <w:bCs/>
          <w:sz w:val="34"/>
          <w:szCs w:val="34"/>
        </w:rPr>
        <w:t>)</w:t>
      </w:r>
    </w:p>
    <w:p w14:paraId="31CFF523" w14:textId="77777777" w:rsidR="006B1671" w:rsidRDefault="006B1671" w:rsidP="006B1671">
      <w:pPr>
        <w:spacing w:after="166"/>
        <w:ind w:right="4"/>
        <w:jc w:val="center"/>
        <w:rPr>
          <w:rFonts w:ascii="Times New Roman" w:eastAsia="Times New Roman" w:hAnsi="Times New Roman" w:cs="Times New Roman"/>
          <w:sz w:val="34"/>
          <w:szCs w:val="34"/>
        </w:rPr>
      </w:pPr>
    </w:p>
    <w:p w14:paraId="7CB1DF4B" w14:textId="6E6B9F6C" w:rsidR="006B1671" w:rsidRDefault="006B1671" w:rsidP="006B1671">
      <w:pPr>
        <w:spacing w:after="166"/>
        <w:ind w:right="4"/>
        <w:jc w:val="center"/>
        <w:rPr>
          <w:rFonts w:ascii="Times New Roman" w:eastAsia="Times New Roman" w:hAnsi="Times New Roman" w:cs="Times New Roman"/>
        </w:rPr>
      </w:pPr>
      <w:r>
        <w:rPr>
          <w:rFonts w:ascii="Times New Roman" w:eastAsia="Times New Roman" w:hAnsi="Times New Roman" w:cs="Times New Roman"/>
          <w:sz w:val="29"/>
          <w:szCs w:val="29"/>
        </w:rPr>
        <w:t>Submitted by</w:t>
      </w:r>
    </w:p>
    <w:p w14:paraId="4ED0312A" w14:textId="23143C25" w:rsidR="006B1671" w:rsidRDefault="006B1671" w:rsidP="006B1671">
      <w:pPr>
        <w:tabs>
          <w:tab w:val="center" w:pos="2882"/>
          <w:tab w:val="center" w:pos="7185"/>
        </w:tabs>
        <w:spacing w:after="35" w:line="265" w:lineRule="auto"/>
        <w:jc w:val="both"/>
        <w:rPr>
          <w:rFonts w:ascii="Times New Roman" w:eastAsia="Times New Roman" w:hAnsi="Times New Roman" w:cs="Times New Roman"/>
        </w:rPr>
      </w:pPr>
      <w:r>
        <w:rPr>
          <w:rFonts w:ascii="Times New Roman" w:eastAsia="Times New Roman" w:hAnsi="Times New Roman" w:cs="Times New Roman"/>
        </w:rPr>
        <w:tab/>
        <w:t xml:space="preserve">           </w:t>
      </w:r>
      <w:r>
        <w:rPr>
          <w:rFonts w:ascii="Times New Roman" w:eastAsia="Times New Roman" w:hAnsi="Times New Roman" w:cs="Times New Roman"/>
          <w:sz w:val="29"/>
          <w:szCs w:val="29"/>
        </w:rPr>
        <w:t>Vinamra Tiwari</w:t>
      </w:r>
      <w:r>
        <w:rPr>
          <w:rFonts w:ascii="Times New Roman" w:eastAsia="Times New Roman" w:hAnsi="Times New Roman" w:cs="Times New Roman"/>
          <w:sz w:val="29"/>
          <w:szCs w:val="29"/>
        </w:rPr>
        <w:tab/>
        <w:t>1MS2</w:t>
      </w:r>
      <w:r w:rsidR="00E37550">
        <w:rPr>
          <w:rFonts w:ascii="Times New Roman" w:eastAsia="Times New Roman" w:hAnsi="Times New Roman" w:cs="Times New Roman"/>
          <w:sz w:val="29"/>
          <w:szCs w:val="29"/>
        </w:rPr>
        <w:t>3</w:t>
      </w:r>
      <w:r>
        <w:rPr>
          <w:rFonts w:ascii="Times New Roman" w:eastAsia="Times New Roman" w:hAnsi="Times New Roman" w:cs="Times New Roman"/>
          <w:sz w:val="29"/>
          <w:szCs w:val="29"/>
        </w:rPr>
        <w:t>IS148</w:t>
      </w:r>
    </w:p>
    <w:p w14:paraId="23FAE7E9" w14:textId="658CC708" w:rsidR="006B1671" w:rsidRDefault="006B1671" w:rsidP="006B1671">
      <w:pPr>
        <w:spacing w:after="0" w:line="289" w:lineRule="auto"/>
        <w:ind w:left="2271" w:right="1022"/>
        <w:jc w:val="both"/>
        <w:rPr>
          <w:rFonts w:ascii="Times New Roman" w:eastAsia="Times New Roman" w:hAnsi="Times New Roman" w:cs="Times New Roman"/>
          <w:sz w:val="29"/>
          <w:szCs w:val="29"/>
        </w:rPr>
      </w:pPr>
      <w:r>
        <w:rPr>
          <w:rFonts w:ascii="Times New Roman" w:eastAsia="Times New Roman" w:hAnsi="Times New Roman" w:cs="Times New Roman"/>
          <w:sz w:val="29"/>
          <w:szCs w:val="29"/>
        </w:rPr>
        <w:t>Veerendra Desai                               1MS2</w:t>
      </w:r>
      <w:r w:rsidR="00E37550">
        <w:rPr>
          <w:rFonts w:ascii="Times New Roman" w:eastAsia="Times New Roman" w:hAnsi="Times New Roman" w:cs="Times New Roman"/>
          <w:sz w:val="29"/>
          <w:szCs w:val="29"/>
        </w:rPr>
        <w:t>3</w:t>
      </w:r>
      <w:r>
        <w:rPr>
          <w:rFonts w:ascii="Times New Roman" w:eastAsia="Times New Roman" w:hAnsi="Times New Roman" w:cs="Times New Roman"/>
          <w:sz w:val="29"/>
          <w:szCs w:val="29"/>
        </w:rPr>
        <w:t>IS146</w:t>
      </w:r>
    </w:p>
    <w:p w14:paraId="4C06AA97" w14:textId="77777777" w:rsidR="006B1671" w:rsidRDefault="006B1671" w:rsidP="006B1671">
      <w:pPr>
        <w:spacing w:after="99" w:line="265" w:lineRule="auto"/>
        <w:jc w:val="center"/>
        <w:rPr>
          <w:rFonts w:ascii="Times New Roman" w:eastAsia="Times New Roman" w:hAnsi="Times New Roman" w:cs="Times New Roman"/>
          <w:sz w:val="29"/>
          <w:szCs w:val="29"/>
        </w:rPr>
      </w:pPr>
    </w:p>
    <w:p w14:paraId="2DF8696F" w14:textId="77777777" w:rsidR="006B1671" w:rsidRDefault="006B1671" w:rsidP="006B1671">
      <w:pPr>
        <w:spacing w:after="99" w:line="265" w:lineRule="auto"/>
        <w:jc w:val="center"/>
        <w:rPr>
          <w:rFonts w:ascii="Times New Roman" w:eastAsia="Times New Roman" w:hAnsi="Times New Roman" w:cs="Times New Roman"/>
          <w:sz w:val="29"/>
          <w:szCs w:val="29"/>
        </w:rPr>
      </w:pPr>
    </w:p>
    <w:p w14:paraId="0D47E297" w14:textId="36CB3D38" w:rsidR="006B1671" w:rsidRDefault="006B1671" w:rsidP="006B1671">
      <w:pPr>
        <w:spacing w:after="99" w:line="265" w:lineRule="auto"/>
        <w:jc w:val="center"/>
        <w:rPr>
          <w:rFonts w:ascii="Times New Roman" w:eastAsia="Times New Roman" w:hAnsi="Times New Roman" w:cs="Times New Roman"/>
        </w:rPr>
      </w:pPr>
      <w:r>
        <w:rPr>
          <w:rFonts w:ascii="Times New Roman" w:eastAsia="Times New Roman" w:hAnsi="Times New Roman" w:cs="Times New Roman"/>
          <w:sz w:val="29"/>
          <w:szCs w:val="29"/>
        </w:rPr>
        <w:t>Under the Guidance of</w:t>
      </w:r>
    </w:p>
    <w:p w14:paraId="546950C3" w14:textId="3D4DF7DB" w:rsidR="006B1671" w:rsidRDefault="006B1671" w:rsidP="006B1671">
      <w:pPr>
        <w:spacing w:after="99" w:line="265" w:lineRule="auto"/>
        <w:jc w:val="center"/>
        <w:rPr>
          <w:rFonts w:ascii="Times New Roman" w:eastAsia="Times New Roman" w:hAnsi="Times New Roman" w:cs="Times New Roman"/>
        </w:rPr>
      </w:pPr>
      <w:r>
        <w:rPr>
          <w:rFonts w:ascii="Times New Roman" w:eastAsia="Times New Roman" w:hAnsi="Times New Roman" w:cs="Times New Roman"/>
          <w:sz w:val="29"/>
          <w:szCs w:val="29"/>
        </w:rPr>
        <w:t xml:space="preserve">Dr. </w:t>
      </w:r>
      <w:r>
        <w:rPr>
          <w:rFonts w:ascii="Times New Roman" w:eastAsia="Times New Roman" w:hAnsi="Times New Roman" w:cs="Times New Roman"/>
          <w:sz w:val="29"/>
          <w:szCs w:val="29"/>
        </w:rPr>
        <w:t xml:space="preserve">Pushpalata </w:t>
      </w:r>
      <w:r w:rsidR="00F23805">
        <w:rPr>
          <w:rFonts w:ascii="Times New Roman" w:eastAsia="Times New Roman" w:hAnsi="Times New Roman" w:cs="Times New Roman"/>
          <w:sz w:val="29"/>
          <w:szCs w:val="29"/>
        </w:rPr>
        <w:t>M N</w:t>
      </w:r>
    </w:p>
    <w:p w14:paraId="42AE021F" w14:textId="77777777" w:rsidR="006B1671" w:rsidRPr="006B1671" w:rsidRDefault="006B1671" w:rsidP="006B1671">
      <w:pPr>
        <w:spacing w:after="99" w:line="265" w:lineRule="auto"/>
        <w:jc w:val="center"/>
        <w:rPr>
          <w:rFonts w:ascii="Times New Roman" w:eastAsia="Times New Roman" w:hAnsi="Times New Roman" w:cs="Times New Roman"/>
        </w:rPr>
      </w:pPr>
    </w:p>
    <w:p w14:paraId="674C37E2" w14:textId="77777777" w:rsidR="006B1671" w:rsidRDefault="006B1671" w:rsidP="006B1671">
      <w:pPr>
        <w:spacing w:after="99" w:line="265" w:lineRule="auto"/>
        <w:jc w:val="center"/>
        <w:rPr>
          <w:rFonts w:ascii="Times New Roman" w:eastAsia="Times New Roman" w:hAnsi="Times New Roman" w:cs="Times New Roman"/>
        </w:rPr>
      </w:pPr>
      <w:r>
        <w:rPr>
          <w:rFonts w:ascii="Times New Roman" w:eastAsia="Times New Roman" w:hAnsi="Times New Roman" w:cs="Times New Roman"/>
          <w:sz w:val="29"/>
          <w:szCs w:val="29"/>
        </w:rPr>
        <w:t>DEPARTMENT OF INFORMATION SCIENCE AND ENGINEERING</w:t>
      </w:r>
    </w:p>
    <w:p w14:paraId="7208BA48" w14:textId="77777777" w:rsidR="006B1671" w:rsidRDefault="006B1671" w:rsidP="006B1671">
      <w:pPr>
        <w:spacing w:after="0" w:line="265" w:lineRule="auto"/>
        <w:jc w:val="center"/>
        <w:rPr>
          <w:rFonts w:ascii="Times New Roman" w:eastAsia="Times New Roman" w:hAnsi="Times New Roman" w:cs="Times New Roman"/>
        </w:rPr>
      </w:pPr>
      <w:r>
        <w:rPr>
          <w:rFonts w:ascii="Times New Roman" w:eastAsia="Times New Roman" w:hAnsi="Times New Roman" w:cs="Times New Roman"/>
          <w:sz w:val="29"/>
          <w:szCs w:val="29"/>
        </w:rPr>
        <w:t>RAMAIAH INSTITUTE OF TECHNOLOGY</w:t>
      </w:r>
    </w:p>
    <w:p w14:paraId="53DF4C8C" w14:textId="77777777" w:rsidR="006B1671" w:rsidRDefault="006B1671" w:rsidP="006B1671">
      <w:pPr>
        <w:spacing w:after="3"/>
        <w:jc w:val="center"/>
        <w:rPr>
          <w:rFonts w:ascii="Times New Roman" w:eastAsia="Times New Roman" w:hAnsi="Times New Roman" w:cs="Times New Roman"/>
        </w:rPr>
      </w:pPr>
      <w:r>
        <w:rPr>
          <w:rFonts w:ascii="Times New Roman" w:eastAsia="Times New Roman" w:hAnsi="Times New Roman" w:cs="Times New Roman"/>
        </w:rPr>
        <w:t>(Autonomous Institute, Affiliated to VTU)</w:t>
      </w:r>
    </w:p>
    <w:p w14:paraId="38888262" w14:textId="77777777" w:rsidR="006B1671" w:rsidRDefault="006B1671" w:rsidP="006B1671">
      <w:pPr>
        <w:spacing w:after="3"/>
        <w:jc w:val="center"/>
        <w:rPr>
          <w:rFonts w:ascii="Times New Roman" w:eastAsia="Times New Roman" w:hAnsi="Times New Roman" w:cs="Times New Roman"/>
        </w:rPr>
      </w:pPr>
      <w:r>
        <w:rPr>
          <w:rFonts w:ascii="Times New Roman" w:eastAsia="Times New Roman" w:hAnsi="Times New Roman" w:cs="Times New Roman"/>
        </w:rPr>
        <w:t>BANGALORE - 54</w:t>
      </w:r>
    </w:p>
    <w:p w14:paraId="67FEB62D" w14:textId="77777777" w:rsidR="006B1671" w:rsidRDefault="006B1671" w:rsidP="006B1671">
      <w:pPr>
        <w:spacing w:after="3"/>
        <w:jc w:val="center"/>
        <w:rPr>
          <w:rFonts w:ascii="Times New Roman" w:eastAsia="Times New Roman" w:hAnsi="Times New Roman" w:cs="Times New Roman"/>
        </w:rPr>
      </w:pPr>
      <w:r>
        <w:rPr>
          <w:rFonts w:ascii="Times New Roman" w:eastAsia="Times New Roman" w:hAnsi="Times New Roman" w:cs="Times New Roman"/>
        </w:rPr>
        <w:t>June 2025</w:t>
      </w:r>
    </w:p>
    <w:p w14:paraId="319FCE9D" w14:textId="77777777" w:rsidR="006B1671" w:rsidRDefault="006B1671" w:rsidP="006B1671">
      <w:pPr>
        <w:spacing w:after="0"/>
        <w:ind w:firstLine="720"/>
      </w:pPr>
    </w:p>
    <w:p w14:paraId="5FAD7568" w14:textId="77777777" w:rsidR="00F23805" w:rsidRDefault="00F23805" w:rsidP="006B1671">
      <w:pPr>
        <w:spacing w:after="0"/>
        <w:ind w:firstLine="720"/>
      </w:pPr>
    </w:p>
    <w:p w14:paraId="2B309FA3" w14:textId="77777777" w:rsidR="00F23805" w:rsidRDefault="00F23805" w:rsidP="006B1671">
      <w:pPr>
        <w:spacing w:after="0"/>
        <w:ind w:firstLine="720"/>
      </w:pPr>
    </w:p>
    <w:p w14:paraId="6BAE7B0E" w14:textId="77777777" w:rsidR="00F23805" w:rsidRDefault="00F23805" w:rsidP="006B1671">
      <w:pPr>
        <w:spacing w:after="0"/>
        <w:ind w:firstLine="720"/>
      </w:pPr>
    </w:p>
    <w:p w14:paraId="4BE7355C" w14:textId="77777777" w:rsidR="00F23805" w:rsidRDefault="00F23805" w:rsidP="006B1671">
      <w:pPr>
        <w:spacing w:after="0"/>
        <w:ind w:firstLine="720"/>
      </w:pPr>
    </w:p>
    <w:p w14:paraId="3BC5655A" w14:textId="77777777" w:rsidR="00F23805" w:rsidRDefault="00F23805" w:rsidP="006B1671">
      <w:pPr>
        <w:spacing w:after="0"/>
        <w:ind w:firstLine="720"/>
      </w:pPr>
    </w:p>
    <w:p w14:paraId="5F603752" w14:textId="77777777" w:rsidR="00F23805" w:rsidRDefault="00F23805" w:rsidP="006B1671">
      <w:pPr>
        <w:spacing w:after="0"/>
        <w:ind w:firstLine="720"/>
      </w:pPr>
    </w:p>
    <w:p w14:paraId="267BABAD" w14:textId="77777777" w:rsidR="00F23805" w:rsidRDefault="00F23805" w:rsidP="006B1671">
      <w:pPr>
        <w:spacing w:after="0"/>
        <w:ind w:firstLine="720"/>
      </w:pPr>
    </w:p>
    <w:p w14:paraId="76D7991A" w14:textId="77777777" w:rsidR="00F23805" w:rsidRDefault="00F23805" w:rsidP="00F23805">
      <w:pPr>
        <w:spacing w:after="0"/>
        <w:sectPr w:rsidR="00F23805" w:rsidSect="006B1671">
          <w:footerReference w:type="default" r:id="rId9"/>
          <w:pgSz w:w="11906" w:h="16838"/>
          <w:pgMar w:top="1440" w:right="1080" w:bottom="1440" w:left="1080" w:header="709" w:footer="709" w:gutter="0"/>
          <w:pgNumType w:start="1"/>
          <w:cols w:space="720"/>
          <w:titlePg/>
        </w:sectPr>
      </w:pPr>
    </w:p>
    <w:p w14:paraId="486909EE" w14:textId="77777777" w:rsidR="00F23805" w:rsidRDefault="00F23805" w:rsidP="00F23805">
      <w:pPr>
        <w:spacing w:after="0"/>
        <w:sectPr w:rsidR="00F23805" w:rsidSect="00F23805">
          <w:type w:val="continuous"/>
          <w:pgSz w:w="11906" w:h="16838"/>
          <w:pgMar w:top="1440" w:right="1080" w:bottom="1440" w:left="1080" w:header="709" w:footer="709" w:gutter="0"/>
          <w:pgNumType w:start="1"/>
          <w:cols w:space="720"/>
          <w:titlePg/>
        </w:sectPr>
      </w:pPr>
    </w:p>
    <w:p w14:paraId="0136E0EC" w14:textId="77777777" w:rsidR="006B1671" w:rsidRDefault="006B1671" w:rsidP="00F23805">
      <w:pPr>
        <w:spacing w:after="0"/>
        <w:sectPr w:rsidR="006B1671" w:rsidSect="006B1671">
          <w:pgSz w:w="11906" w:h="16838"/>
          <w:pgMar w:top="1440" w:right="1080" w:bottom="1440" w:left="1080" w:header="709" w:footer="709" w:gutter="0"/>
          <w:pgNumType w:start="1"/>
          <w:cols w:space="720"/>
          <w:titlePg/>
        </w:sectPr>
      </w:pPr>
    </w:p>
    <w:p w14:paraId="32547E8B" w14:textId="558B6B5B" w:rsidR="00A07460" w:rsidRDefault="006B1671" w:rsidP="00F23805">
      <w:pPr>
        <w:keepNext/>
        <w:spacing w:before="480" w:after="240" w:line="360" w:lineRule="auto"/>
        <w:rPr>
          <w:rFonts w:ascii="Times New Roman" w:hAnsi="Times New Roman" w:cs="Times New Roman"/>
          <w:b/>
          <w:color w:val="000000" w:themeColor="text1"/>
          <w:sz w:val="36"/>
          <w:szCs w:val="36"/>
        </w:rPr>
      </w:pPr>
      <w:r>
        <w:rPr>
          <w:rFonts w:ascii="Times New Roman" w:hAnsi="Times New Roman" w:cs="Times New Roman"/>
          <w:b/>
          <w:color w:val="000000" w:themeColor="text1"/>
          <w:sz w:val="36"/>
          <w:szCs w:val="36"/>
        </w:rPr>
        <w:lastRenderedPageBreak/>
        <w:t>I</w:t>
      </w:r>
      <w:r w:rsidR="00000000" w:rsidRPr="006B1671">
        <w:rPr>
          <w:rFonts w:ascii="Times New Roman" w:hAnsi="Times New Roman" w:cs="Times New Roman"/>
          <w:b/>
          <w:color w:val="000000" w:themeColor="text1"/>
          <w:sz w:val="36"/>
          <w:szCs w:val="36"/>
        </w:rPr>
        <w:t>ntroduction</w:t>
      </w:r>
    </w:p>
    <w:p w14:paraId="284C97C3" w14:textId="77777777" w:rsidR="006B1671" w:rsidRDefault="006B1671" w:rsidP="00F23805">
      <w:pPr>
        <w:spacing w:after="160" w:line="360" w:lineRule="auto"/>
        <w:rPr>
          <w:rFonts w:ascii="Times New Roman" w:hAnsi="Times New Roman" w:cs="Times New Roman"/>
          <w:color w:val="000000" w:themeColor="text1"/>
          <w:sz w:val="36"/>
          <w:szCs w:val="36"/>
        </w:rPr>
      </w:pPr>
    </w:p>
    <w:p w14:paraId="6E877947" w14:textId="4682F061"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In the contemporary educational and macroeconomic landscape, the transition from undergraduate academia to formal industry employment represents a critical milestone for students and institutional stakeholders alike. Universities and technical colleges are increasingly evaluated on their placement statistics, average compensation ratios, and corporate engagement depths. However, traditional placement mechanisms often operate under retrospective evaluation patterns, where interventions are executed only after the academic cycle has concluded. This lagging approach restricts the capacity of career development divisions to proactively guide struggling students or optimize corporate alignments.</w:t>
      </w:r>
    </w:p>
    <w:p w14:paraId="5E449061"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emergence of data science and predictive analytics provides a profound opportunity to transform recruitment from an unstable, reactive paradigm into an intentional, predictive science. By evaluating multi-tiered historical records including secondary school benchmarks, higher secondary specializations, undergraduate academic consistency, aptitude testing metrics, and postgraduate performance, machine learning architectures can reliably classify individual success probabilities.</w:t>
      </w:r>
    </w:p>
    <w:p w14:paraId="0763AF2F"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This report introduces the technical architecture, statistical foundations, and systemic implementation of the AI Placement Engine (Bengaluru Edition). This framework integrates a predictive artificial intelligence matrix trained on historical student profiles with a modular Business Intelligence (BI) dashboard environment. Specifically optimized to accommodate Indian multi-board grading systems, undergraduate engineering entrance pathways (such as KCET and COMEDK), and regional corporate tier structures within Bengaluru's Silicon Valley ecosystem, this implementation bridges data-driven modeling with active career mentorship.</w:t>
      </w:r>
    </w:p>
    <w:p w14:paraId="14924D59" w14:textId="77777777" w:rsidR="006B1671" w:rsidRDefault="006B1671" w:rsidP="00F23805">
      <w:pPr>
        <w:keepNext/>
        <w:spacing w:before="480" w:after="240" w:line="360" w:lineRule="auto"/>
        <w:rPr>
          <w:rFonts w:ascii="Times New Roman" w:hAnsi="Times New Roman" w:cs="Times New Roman"/>
          <w:b/>
          <w:color w:val="000000" w:themeColor="text1"/>
          <w:sz w:val="36"/>
          <w:szCs w:val="36"/>
        </w:rPr>
      </w:pPr>
    </w:p>
    <w:p w14:paraId="7F23DA7C" w14:textId="1F1FEFC2" w:rsidR="006B1671" w:rsidRPr="006B1671" w:rsidRDefault="00000000" w:rsidP="00F23805">
      <w:pPr>
        <w:keepNext/>
        <w:spacing w:before="480" w:after="240" w:line="360" w:lineRule="auto"/>
        <w:rPr>
          <w:rFonts w:ascii="Times New Roman" w:hAnsi="Times New Roman" w:cs="Times New Roman"/>
          <w:b/>
          <w:color w:val="000000" w:themeColor="text1"/>
          <w:sz w:val="36"/>
          <w:szCs w:val="36"/>
        </w:rPr>
      </w:pPr>
      <w:r w:rsidRPr="006B1671">
        <w:rPr>
          <w:rFonts w:ascii="Times New Roman" w:hAnsi="Times New Roman" w:cs="Times New Roman"/>
          <w:b/>
          <w:color w:val="000000" w:themeColor="text1"/>
          <w:sz w:val="36"/>
          <w:szCs w:val="36"/>
        </w:rPr>
        <w:t>Problem Statement</w:t>
      </w:r>
    </w:p>
    <w:p w14:paraId="57F06943"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university career counseling and corporate placement process is plagued by three distinct, systemic inefficiencies that negatively impact institutional reputation and student career trajectories:</w:t>
      </w:r>
    </w:p>
    <w:p w14:paraId="3D031073"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Information Asymmetry and Reactive Interventions: </w:t>
      </w:r>
      <w:r w:rsidRPr="006B1671">
        <w:rPr>
          <w:rFonts w:ascii="Times New Roman" w:hAnsi="Times New Roman" w:cs="Times New Roman"/>
          <w:sz w:val="24"/>
          <w:szCs w:val="24"/>
        </w:rPr>
        <w:t>Students generally remain unaware of their precise market alignment and placement vulnerabilities until formal corporate recruitment vectors begin in their final academic year. Consequently, career guidance cells are unable to identify at-risk students sufficiently early in the academic life cycle to deploy targeted upskilling and certification programs.</w:t>
      </w:r>
    </w:p>
    <w:p w14:paraId="399ACED7"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Uncalibrated Grade Inflation across Diverse Educational Boards: </w:t>
      </w:r>
      <w:r w:rsidRPr="006B1671">
        <w:rPr>
          <w:rFonts w:ascii="Times New Roman" w:hAnsi="Times New Roman" w:cs="Times New Roman"/>
          <w:sz w:val="24"/>
          <w:szCs w:val="24"/>
        </w:rPr>
        <w:t>Campus placement departments ingest academic profiles containing historical scores from distinct national (CBSE, ICSE/ISC) and localized regional state boards (e.g., Karnataka SSLC and PUC). These systems differ vastly in evaluation rigor, historical grading curves, and scoring scales (such as CGPA vs. direct percentages). Standardizing these variables to perform coherent predictive classification remains a severe mathematical challenge.</w:t>
      </w:r>
    </w:p>
    <w:p w14:paraId="02FDD764" w14:textId="77777777" w:rsidR="00A07460"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Geographic and Sector-Specific Market Disconnects: </w:t>
      </w:r>
      <w:r w:rsidRPr="006B1671">
        <w:rPr>
          <w:rFonts w:ascii="Times New Roman" w:hAnsi="Times New Roman" w:cs="Times New Roman"/>
          <w:sz w:val="24"/>
          <w:szCs w:val="24"/>
        </w:rPr>
        <w:t>Generic placement prediction architectures fail to incorporate regional compensation dynamics and structural market premiums. For instance, the technology ecosystem in Bengaluru exhibits a heavily stratified demand curve where software, circuital engineering (CS/IT/Electronics), and corporate technical management paths yield massive premiums over core fields. Failing to ingest variables like regional entrance routes (KCET, COMEDK) results in uncalibrated compensation forecasting that damages student salary expectations.</w:t>
      </w:r>
    </w:p>
    <w:p w14:paraId="0204B01A" w14:textId="77777777" w:rsidR="006B1671" w:rsidRPr="006B1671" w:rsidRDefault="006B1671" w:rsidP="00F23805">
      <w:pPr>
        <w:pStyle w:val="ListBullet"/>
        <w:numPr>
          <w:ilvl w:val="0"/>
          <w:numId w:val="0"/>
        </w:numPr>
        <w:spacing w:line="360" w:lineRule="auto"/>
        <w:rPr>
          <w:rFonts w:ascii="Times New Roman" w:hAnsi="Times New Roman" w:cs="Times New Roman"/>
          <w:sz w:val="24"/>
          <w:szCs w:val="24"/>
        </w:rPr>
      </w:pPr>
    </w:p>
    <w:p w14:paraId="5F3CBD2A" w14:textId="764AE70B" w:rsidR="00A07460" w:rsidRPr="006B1671" w:rsidRDefault="00000000" w:rsidP="00F23805">
      <w:pPr>
        <w:keepNext/>
        <w:spacing w:before="480" w:after="240" w:line="360" w:lineRule="auto"/>
        <w:rPr>
          <w:rFonts w:ascii="Times New Roman" w:hAnsi="Times New Roman" w:cs="Times New Roman"/>
          <w:color w:val="000000" w:themeColor="text1"/>
          <w:sz w:val="36"/>
          <w:szCs w:val="36"/>
        </w:rPr>
      </w:pPr>
      <w:r w:rsidRPr="006B1671">
        <w:rPr>
          <w:rFonts w:ascii="Times New Roman" w:hAnsi="Times New Roman" w:cs="Times New Roman"/>
          <w:b/>
          <w:color w:val="000000" w:themeColor="text1"/>
          <w:sz w:val="36"/>
          <w:szCs w:val="36"/>
        </w:rPr>
        <w:lastRenderedPageBreak/>
        <w:t>Objectives</w:t>
      </w:r>
    </w:p>
    <w:p w14:paraId="3831EA0C"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primary operational and technical objectives of this research and software engineering deployment are defined as follows:</w:t>
      </w:r>
    </w:p>
    <w:p w14:paraId="6DECAD84"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Develop an End-to-End Predictive Pipeline: </w:t>
      </w:r>
      <w:r w:rsidRPr="006B1671">
        <w:rPr>
          <w:rFonts w:ascii="Times New Roman" w:hAnsi="Times New Roman" w:cs="Times New Roman"/>
          <w:sz w:val="24"/>
          <w:szCs w:val="24"/>
        </w:rPr>
        <w:t>Engineer a robust data pre-processing and machine learning classification pipeline capable of predicting a student's final placement status with high analytical confidence.</w:t>
      </w:r>
    </w:p>
    <w:p w14:paraId="2BC99505"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Formulate a Robust Regression Architecture: </w:t>
      </w:r>
      <w:r w:rsidRPr="006B1671">
        <w:rPr>
          <w:rFonts w:ascii="Times New Roman" w:hAnsi="Times New Roman" w:cs="Times New Roman"/>
          <w:sz w:val="24"/>
          <w:szCs w:val="24"/>
        </w:rPr>
        <w:t>Build an accompanying regression model to project potential compensation brackets (INR package ranges) for successfully placed student profiles, enabling accurate career guidance.</w:t>
      </w:r>
    </w:p>
    <w:p w14:paraId="6F66A23A"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Quantify Critical Feature Importances: </w:t>
      </w:r>
      <w:r w:rsidRPr="006B1671">
        <w:rPr>
          <w:rFonts w:ascii="Times New Roman" w:hAnsi="Times New Roman" w:cs="Times New Roman"/>
          <w:sz w:val="24"/>
          <w:szCs w:val="24"/>
        </w:rPr>
        <w:t>Identify and weight historical academic indicators (10th grade, 12th grade, UG scores, aptitude test performance) that correlate most significantly with recruitment outcomes.</w:t>
      </w:r>
    </w:p>
    <w:p w14:paraId="4F6A7ADD"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Construct a Dual-Interface Deployment Model: </w:t>
      </w:r>
      <w:r w:rsidRPr="006B1671">
        <w:rPr>
          <w:rFonts w:ascii="Times New Roman" w:hAnsi="Times New Roman" w:cs="Times New Roman"/>
          <w:sz w:val="24"/>
          <w:szCs w:val="24"/>
        </w:rPr>
        <w:t>Deliver a full-stack architecture comprised of an interactive, ultra-rich Streamlit web dashboard for deployment, alongside a decoupled Flask-based microservice backend connected to standard web index structures.</w:t>
      </w:r>
    </w:p>
    <w:p w14:paraId="42F84A6D"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Implement Regional &amp; Conversational Enhancements: </w:t>
      </w:r>
      <w:r w:rsidRPr="006B1671">
        <w:rPr>
          <w:rFonts w:ascii="Times New Roman" w:hAnsi="Times New Roman" w:cs="Times New Roman"/>
          <w:sz w:val="24"/>
          <w:szCs w:val="24"/>
        </w:rPr>
        <w:t>Adapt the engine to account for localized factors (such as Bengaluru technology park premiums) and integrate advanced Large Language Model (LLM) agents to handle open-ended student counseling inquiries regarding cutoffs, fee structures, and career trajectories.</w:t>
      </w:r>
    </w:p>
    <w:p w14:paraId="4A4BFEC7" w14:textId="46C79EDD" w:rsidR="00A07460" w:rsidRPr="006B1671" w:rsidRDefault="00000000" w:rsidP="00F23805">
      <w:pPr>
        <w:keepNext/>
        <w:spacing w:before="480" w:after="240" w:line="360" w:lineRule="auto"/>
        <w:rPr>
          <w:rFonts w:ascii="Times New Roman" w:hAnsi="Times New Roman" w:cs="Times New Roman"/>
          <w:color w:val="000000" w:themeColor="text1"/>
          <w:sz w:val="32"/>
          <w:szCs w:val="32"/>
        </w:rPr>
      </w:pPr>
      <w:r w:rsidRPr="006B1671">
        <w:rPr>
          <w:rFonts w:ascii="Times New Roman" w:hAnsi="Times New Roman" w:cs="Times New Roman"/>
          <w:b/>
          <w:color w:val="000000" w:themeColor="text1"/>
          <w:sz w:val="32"/>
          <w:szCs w:val="32"/>
        </w:rPr>
        <w:t>Data Collection</w:t>
      </w:r>
    </w:p>
    <w:p w14:paraId="607A078F"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predictive engine is built upon a highly contextualized demographic and academic tracking dataset comprising 215 unique student profiles. Each record isolates comprehensive performance tracking metrics spanning secondary education, higher secondary streams, undergrad specializations, aptitude profiles, and postgraduate management paths.</w:t>
      </w:r>
    </w:p>
    <w:p w14:paraId="4480EF09"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underlying feature space consists of the following foundational variables collected via institutional databases:</w:t>
      </w:r>
    </w:p>
    <w:tbl>
      <w:tblPr>
        <w:tblW w:w="0" w:type="auto"/>
        <w:jc w:val="center"/>
        <w:tblLayout w:type="fixed"/>
        <w:tblLook w:val="04A0" w:firstRow="1" w:lastRow="0" w:firstColumn="1" w:lastColumn="0" w:noHBand="0" w:noVBand="1"/>
      </w:tblPr>
      <w:tblGrid>
        <w:gridCol w:w="2160"/>
        <w:gridCol w:w="1728"/>
        <w:gridCol w:w="5472"/>
      </w:tblGrid>
      <w:tr w:rsidR="00A07460" w:rsidRPr="006B1671" w14:paraId="536CD5B9" w14:textId="77777777">
        <w:trPr>
          <w:cantSplit/>
          <w:tblHeader/>
          <w:jc w:val="center"/>
        </w:trPr>
        <w:tc>
          <w:tcPr>
            <w:tcW w:w="2160" w:type="dxa"/>
            <w:shd w:val="clear" w:color="auto" w:fill="0F172A"/>
            <w:tcMar>
              <w:top w:w="140" w:type="dxa"/>
              <w:left w:w="150" w:type="dxa"/>
              <w:bottom w:w="140" w:type="dxa"/>
              <w:right w:w="150" w:type="dxa"/>
            </w:tcMar>
          </w:tcPr>
          <w:p w14:paraId="215F104D"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color w:val="FFFFFF"/>
                <w:sz w:val="24"/>
                <w:szCs w:val="24"/>
              </w:rPr>
              <w:lastRenderedPageBreak/>
              <w:t>Variable Name</w:t>
            </w:r>
          </w:p>
        </w:tc>
        <w:tc>
          <w:tcPr>
            <w:tcW w:w="1728" w:type="dxa"/>
            <w:shd w:val="clear" w:color="auto" w:fill="0F172A"/>
            <w:tcMar>
              <w:top w:w="140" w:type="dxa"/>
              <w:left w:w="150" w:type="dxa"/>
              <w:bottom w:w="140" w:type="dxa"/>
              <w:right w:w="150" w:type="dxa"/>
            </w:tcMar>
          </w:tcPr>
          <w:p w14:paraId="57012041"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color w:val="FFFFFF"/>
                <w:sz w:val="24"/>
                <w:szCs w:val="24"/>
              </w:rPr>
              <w:t>Data Type</w:t>
            </w:r>
          </w:p>
        </w:tc>
        <w:tc>
          <w:tcPr>
            <w:tcW w:w="5472" w:type="dxa"/>
            <w:shd w:val="clear" w:color="auto" w:fill="0F172A"/>
            <w:tcMar>
              <w:top w:w="140" w:type="dxa"/>
              <w:left w:w="150" w:type="dxa"/>
              <w:bottom w:w="140" w:type="dxa"/>
              <w:right w:w="150" w:type="dxa"/>
            </w:tcMar>
          </w:tcPr>
          <w:p w14:paraId="613F45FD"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color w:val="FFFFFF"/>
                <w:sz w:val="24"/>
                <w:szCs w:val="24"/>
              </w:rPr>
              <w:t>Analytical Description and Operational Coding</w:t>
            </w:r>
          </w:p>
        </w:tc>
      </w:tr>
      <w:tr w:rsidR="00A07460" w:rsidRPr="006B1671" w14:paraId="53F22F3E" w14:textId="77777777">
        <w:trPr>
          <w:cantSplit/>
          <w:jc w:val="center"/>
        </w:trPr>
        <w:tc>
          <w:tcPr>
            <w:tcW w:w="2160" w:type="dxa"/>
            <w:shd w:val="clear" w:color="auto" w:fill="FFFFFF"/>
            <w:tcMar>
              <w:top w:w="100" w:type="dxa"/>
              <w:left w:w="150" w:type="dxa"/>
              <w:bottom w:w="100" w:type="dxa"/>
              <w:right w:w="150" w:type="dxa"/>
            </w:tcMar>
          </w:tcPr>
          <w:p w14:paraId="114FF9BE"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gender</w:t>
            </w:r>
          </w:p>
        </w:tc>
        <w:tc>
          <w:tcPr>
            <w:tcW w:w="1728" w:type="dxa"/>
            <w:shd w:val="clear" w:color="auto" w:fill="FFFFFF"/>
            <w:tcMar>
              <w:top w:w="100" w:type="dxa"/>
              <w:left w:w="150" w:type="dxa"/>
              <w:bottom w:w="100" w:type="dxa"/>
              <w:right w:w="150" w:type="dxa"/>
            </w:tcMar>
          </w:tcPr>
          <w:p w14:paraId="442CB834"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Categorical / Binary</w:t>
            </w:r>
          </w:p>
        </w:tc>
        <w:tc>
          <w:tcPr>
            <w:tcW w:w="5472" w:type="dxa"/>
            <w:shd w:val="clear" w:color="auto" w:fill="FFFFFF"/>
            <w:tcMar>
              <w:top w:w="100" w:type="dxa"/>
              <w:left w:w="150" w:type="dxa"/>
              <w:bottom w:w="100" w:type="dxa"/>
              <w:right w:w="150" w:type="dxa"/>
            </w:tcMar>
          </w:tcPr>
          <w:p w14:paraId="02A375FD"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Biological sex of the candidate. Coded as 1 for Male; 0 for Female.</w:t>
            </w:r>
          </w:p>
        </w:tc>
      </w:tr>
      <w:tr w:rsidR="00A07460" w:rsidRPr="006B1671" w14:paraId="6AE738FA" w14:textId="77777777">
        <w:trPr>
          <w:cantSplit/>
          <w:jc w:val="center"/>
        </w:trPr>
        <w:tc>
          <w:tcPr>
            <w:tcW w:w="2160" w:type="dxa"/>
            <w:shd w:val="clear" w:color="auto" w:fill="F8FAFC"/>
            <w:tcMar>
              <w:top w:w="100" w:type="dxa"/>
              <w:left w:w="150" w:type="dxa"/>
              <w:bottom w:w="100" w:type="dxa"/>
              <w:right w:w="150" w:type="dxa"/>
            </w:tcMar>
          </w:tcPr>
          <w:p w14:paraId="0D0B508B"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ssc_p / ssc_b</w:t>
            </w:r>
          </w:p>
        </w:tc>
        <w:tc>
          <w:tcPr>
            <w:tcW w:w="1728" w:type="dxa"/>
            <w:shd w:val="clear" w:color="auto" w:fill="F8FAFC"/>
            <w:tcMar>
              <w:top w:w="100" w:type="dxa"/>
              <w:left w:w="150" w:type="dxa"/>
              <w:bottom w:w="100" w:type="dxa"/>
              <w:right w:w="150" w:type="dxa"/>
            </w:tcMar>
          </w:tcPr>
          <w:p w14:paraId="061DA803"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Continuous / Cat</w:t>
            </w:r>
          </w:p>
        </w:tc>
        <w:tc>
          <w:tcPr>
            <w:tcW w:w="5472" w:type="dxa"/>
            <w:shd w:val="clear" w:color="auto" w:fill="F8FAFC"/>
            <w:tcMar>
              <w:top w:w="100" w:type="dxa"/>
              <w:left w:w="150" w:type="dxa"/>
              <w:bottom w:w="100" w:type="dxa"/>
              <w:right w:w="150" w:type="dxa"/>
            </w:tcMar>
          </w:tcPr>
          <w:p w14:paraId="3AC32174"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10th Standard aggregate score (%) and Board Type (Central/CBSE/ICSE vs. Others).</w:t>
            </w:r>
          </w:p>
        </w:tc>
      </w:tr>
      <w:tr w:rsidR="00A07460" w:rsidRPr="006B1671" w14:paraId="7073A465" w14:textId="77777777">
        <w:trPr>
          <w:cantSplit/>
          <w:jc w:val="center"/>
        </w:trPr>
        <w:tc>
          <w:tcPr>
            <w:tcW w:w="2160" w:type="dxa"/>
            <w:shd w:val="clear" w:color="auto" w:fill="FFFFFF"/>
            <w:tcMar>
              <w:top w:w="100" w:type="dxa"/>
              <w:left w:w="150" w:type="dxa"/>
              <w:bottom w:w="100" w:type="dxa"/>
              <w:right w:w="150" w:type="dxa"/>
            </w:tcMar>
          </w:tcPr>
          <w:p w14:paraId="4381C6DB"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hsc_p / hsc_b</w:t>
            </w:r>
          </w:p>
        </w:tc>
        <w:tc>
          <w:tcPr>
            <w:tcW w:w="1728" w:type="dxa"/>
            <w:shd w:val="clear" w:color="auto" w:fill="FFFFFF"/>
            <w:tcMar>
              <w:top w:w="100" w:type="dxa"/>
              <w:left w:w="150" w:type="dxa"/>
              <w:bottom w:w="100" w:type="dxa"/>
              <w:right w:w="150" w:type="dxa"/>
            </w:tcMar>
          </w:tcPr>
          <w:p w14:paraId="64B69919"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Continuous / Cat</w:t>
            </w:r>
          </w:p>
        </w:tc>
        <w:tc>
          <w:tcPr>
            <w:tcW w:w="5472" w:type="dxa"/>
            <w:shd w:val="clear" w:color="auto" w:fill="FFFFFF"/>
            <w:tcMar>
              <w:top w:w="100" w:type="dxa"/>
              <w:left w:w="150" w:type="dxa"/>
              <w:bottom w:w="100" w:type="dxa"/>
              <w:right w:w="150" w:type="dxa"/>
            </w:tcMar>
          </w:tcPr>
          <w:p w14:paraId="4C1C303E"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12th Standard Higher Secondary aggregate score (%) and Board Type.</w:t>
            </w:r>
          </w:p>
        </w:tc>
      </w:tr>
      <w:tr w:rsidR="00A07460" w:rsidRPr="006B1671" w14:paraId="6BF5E296" w14:textId="77777777">
        <w:trPr>
          <w:cantSplit/>
          <w:jc w:val="center"/>
        </w:trPr>
        <w:tc>
          <w:tcPr>
            <w:tcW w:w="2160" w:type="dxa"/>
            <w:shd w:val="clear" w:color="auto" w:fill="F8FAFC"/>
            <w:tcMar>
              <w:top w:w="100" w:type="dxa"/>
              <w:left w:w="150" w:type="dxa"/>
              <w:bottom w:w="100" w:type="dxa"/>
              <w:right w:w="150" w:type="dxa"/>
            </w:tcMar>
          </w:tcPr>
          <w:p w14:paraId="1F76A9C9"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hsc_s</w:t>
            </w:r>
          </w:p>
        </w:tc>
        <w:tc>
          <w:tcPr>
            <w:tcW w:w="1728" w:type="dxa"/>
            <w:shd w:val="clear" w:color="auto" w:fill="F8FAFC"/>
            <w:tcMar>
              <w:top w:w="100" w:type="dxa"/>
              <w:left w:w="150" w:type="dxa"/>
              <w:bottom w:w="100" w:type="dxa"/>
              <w:right w:w="150" w:type="dxa"/>
            </w:tcMar>
          </w:tcPr>
          <w:p w14:paraId="265C377F"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Categorical</w:t>
            </w:r>
          </w:p>
        </w:tc>
        <w:tc>
          <w:tcPr>
            <w:tcW w:w="5472" w:type="dxa"/>
            <w:shd w:val="clear" w:color="auto" w:fill="F8FAFC"/>
            <w:tcMar>
              <w:top w:w="100" w:type="dxa"/>
              <w:left w:w="150" w:type="dxa"/>
              <w:bottom w:w="100" w:type="dxa"/>
              <w:right w:w="150" w:type="dxa"/>
            </w:tcMar>
          </w:tcPr>
          <w:p w14:paraId="3AC9D4CF"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Higher Secondary specialization stream: Science, Commerce, or Arts.</w:t>
            </w:r>
          </w:p>
        </w:tc>
      </w:tr>
      <w:tr w:rsidR="00A07460" w:rsidRPr="006B1671" w14:paraId="60E6A3A5" w14:textId="77777777">
        <w:trPr>
          <w:cantSplit/>
          <w:jc w:val="center"/>
        </w:trPr>
        <w:tc>
          <w:tcPr>
            <w:tcW w:w="2160" w:type="dxa"/>
            <w:shd w:val="clear" w:color="auto" w:fill="FFFFFF"/>
            <w:tcMar>
              <w:top w:w="100" w:type="dxa"/>
              <w:left w:w="150" w:type="dxa"/>
              <w:bottom w:w="100" w:type="dxa"/>
              <w:right w:w="150" w:type="dxa"/>
            </w:tcMar>
          </w:tcPr>
          <w:p w14:paraId="53028914"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degree_p / degree_t</w:t>
            </w:r>
          </w:p>
        </w:tc>
        <w:tc>
          <w:tcPr>
            <w:tcW w:w="1728" w:type="dxa"/>
            <w:shd w:val="clear" w:color="auto" w:fill="FFFFFF"/>
            <w:tcMar>
              <w:top w:w="100" w:type="dxa"/>
              <w:left w:w="150" w:type="dxa"/>
              <w:bottom w:w="100" w:type="dxa"/>
              <w:right w:w="150" w:type="dxa"/>
            </w:tcMar>
          </w:tcPr>
          <w:p w14:paraId="2351B662"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Continuous / Cat</w:t>
            </w:r>
          </w:p>
        </w:tc>
        <w:tc>
          <w:tcPr>
            <w:tcW w:w="5472" w:type="dxa"/>
            <w:shd w:val="clear" w:color="auto" w:fill="FFFFFF"/>
            <w:tcMar>
              <w:top w:w="100" w:type="dxa"/>
              <w:left w:w="150" w:type="dxa"/>
              <w:bottom w:w="100" w:type="dxa"/>
              <w:right w:w="150" w:type="dxa"/>
            </w:tcMar>
          </w:tcPr>
          <w:p w14:paraId="10CE9995"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Undergraduate final aggregate score (%) and technical degree grouping (Sci&amp;Tech, Comm&amp;Mgmt, Others).</w:t>
            </w:r>
          </w:p>
        </w:tc>
      </w:tr>
      <w:tr w:rsidR="00A07460" w:rsidRPr="006B1671" w14:paraId="5D8B9AED" w14:textId="77777777">
        <w:trPr>
          <w:cantSplit/>
          <w:jc w:val="center"/>
        </w:trPr>
        <w:tc>
          <w:tcPr>
            <w:tcW w:w="2160" w:type="dxa"/>
            <w:shd w:val="clear" w:color="auto" w:fill="F8FAFC"/>
            <w:tcMar>
              <w:top w:w="100" w:type="dxa"/>
              <w:left w:w="150" w:type="dxa"/>
              <w:bottom w:w="100" w:type="dxa"/>
              <w:right w:w="150" w:type="dxa"/>
            </w:tcMar>
          </w:tcPr>
          <w:p w14:paraId="0B20EBD4"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workex</w:t>
            </w:r>
          </w:p>
        </w:tc>
        <w:tc>
          <w:tcPr>
            <w:tcW w:w="1728" w:type="dxa"/>
            <w:shd w:val="clear" w:color="auto" w:fill="F8FAFC"/>
            <w:tcMar>
              <w:top w:w="100" w:type="dxa"/>
              <w:left w:w="150" w:type="dxa"/>
              <w:bottom w:w="100" w:type="dxa"/>
              <w:right w:w="150" w:type="dxa"/>
            </w:tcMar>
          </w:tcPr>
          <w:p w14:paraId="0903D34D"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Categorical / Binary</w:t>
            </w:r>
          </w:p>
        </w:tc>
        <w:tc>
          <w:tcPr>
            <w:tcW w:w="5472" w:type="dxa"/>
            <w:shd w:val="clear" w:color="auto" w:fill="F8FAFC"/>
            <w:tcMar>
              <w:top w:w="100" w:type="dxa"/>
              <w:left w:w="150" w:type="dxa"/>
              <w:bottom w:w="100" w:type="dxa"/>
              <w:right w:w="150" w:type="dxa"/>
            </w:tcMar>
          </w:tcPr>
          <w:p w14:paraId="72CDD5AF"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Prior formal corporate work experience. Coded as 1 for Yes; 0 for No.</w:t>
            </w:r>
          </w:p>
        </w:tc>
      </w:tr>
      <w:tr w:rsidR="00A07460" w:rsidRPr="006B1671" w14:paraId="1F81BB1B" w14:textId="77777777">
        <w:trPr>
          <w:cantSplit/>
          <w:jc w:val="center"/>
        </w:trPr>
        <w:tc>
          <w:tcPr>
            <w:tcW w:w="2160" w:type="dxa"/>
            <w:shd w:val="clear" w:color="auto" w:fill="FFFFFF"/>
            <w:tcMar>
              <w:top w:w="100" w:type="dxa"/>
              <w:left w:w="150" w:type="dxa"/>
              <w:bottom w:w="100" w:type="dxa"/>
              <w:right w:w="150" w:type="dxa"/>
            </w:tcMar>
          </w:tcPr>
          <w:p w14:paraId="4FC355C8"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etest_p</w:t>
            </w:r>
          </w:p>
        </w:tc>
        <w:tc>
          <w:tcPr>
            <w:tcW w:w="1728" w:type="dxa"/>
            <w:shd w:val="clear" w:color="auto" w:fill="FFFFFF"/>
            <w:tcMar>
              <w:top w:w="100" w:type="dxa"/>
              <w:left w:w="150" w:type="dxa"/>
              <w:bottom w:w="100" w:type="dxa"/>
              <w:right w:w="150" w:type="dxa"/>
            </w:tcMar>
          </w:tcPr>
          <w:p w14:paraId="13BEB1C6"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Continuous</w:t>
            </w:r>
          </w:p>
        </w:tc>
        <w:tc>
          <w:tcPr>
            <w:tcW w:w="5472" w:type="dxa"/>
            <w:shd w:val="clear" w:color="auto" w:fill="FFFFFF"/>
            <w:tcMar>
              <w:top w:w="100" w:type="dxa"/>
              <w:left w:w="150" w:type="dxa"/>
              <w:bottom w:w="100" w:type="dxa"/>
              <w:right w:w="150" w:type="dxa"/>
            </w:tcMar>
          </w:tcPr>
          <w:p w14:paraId="15B6C3C9"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Standardized institutional employability and aptitude test score percentile.</w:t>
            </w:r>
          </w:p>
        </w:tc>
      </w:tr>
      <w:tr w:rsidR="00A07460" w:rsidRPr="006B1671" w14:paraId="71677C2B" w14:textId="77777777">
        <w:trPr>
          <w:cantSplit/>
          <w:jc w:val="center"/>
        </w:trPr>
        <w:tc>
          <w:tcPr>
            <w:tcW w:w="2160" w:type="dxa"/>
            <w:shd w:val="clear" w:color="auto" w:fill="F8FAFC"/>
            <w:tcMar>
              <w:top w:w="100" w:type="dxa"/>
              <w:left w:w="150" w:type="dxa"/>
              <w:bottom w:w="100" w:type="dxa"/>
              <w:right w:w="150" w:type="dxa"/>
            </w:tcMar>
          </w:tcPr>
          <w:p w14:paraId="4EF3C06B"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mba_p / specialisation</w:t>
            </w:r>
          </w:p>
        </w:tc>
        <w:tc>
          <w:tcPr>
            <w:tcW w:w="1728" w:type="dxa"/>
            <w:shd w:val="clear" w:color="auto" w:fill="F8FAFC"/>
            <w:tcMar>
              <w:top w:w="100" w:type="dxa"/>
              <w:left w:w="150" w:type="dxa"/>
              <w:bottom w:w="100" w:type="dxa"/>
              <w:right w:w="150" w:type="dxa"/>
            </w:tcMar>
          </w:tcPr>
          <w:p w14:paraId="782998E4"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Continuous / Cat</w:t>
            </w:r>
          </w:p>
        </w:tc>
        <w:tc>
          <w:tcPr>
            <w:tcW w:w="5472" w:type="dxa"/>
            <w:shd w:val="clear" w:color="auto" w:fill="F8FAFC"/>
            <w:tcMar>
              <w:top w:w="100" w:type="dxa"/>
              <w:left w:w="150" w:type="dxa"/>
              <w:bottom w:w="100" w:type="dxa"/>
              <w:right w:w="150" w:type="dxa"/>
            </w:tcMar>
          </w:tcPr>
          <w:p w14:paraId="6EDB62BA"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Postgraduate/MBA aggregate score (%) and management domain focus (Mkt&amp;HR vs. Mkt&amp;Fin).</w:t>
            </w:r>
          </w:p>
        </w:tc>
      </w:tr>
      <w:tr w:rsidR="00A07460" w:rsidRPr="006B1671" w14:paraId="493B093F" w14:textId="77777777">
        <w:trPr>
          <w:cantSplit/>
          <w:jc w:val="center"/>
        </w:trPr>
        <w:tc>
          <w:tcPr>
            <w:tcW w:w="2160" w:type="dxa"/>
            <w:shd w:val="clear" w:color="auto" w:fill="FFFFFF"/>
            <w:tcMar>
              <w:top w:w="100" w:type="dxa"/>
              <w:left w:w="150" w:type="dxa"/>
              <w:bottom w:w="100" w:type="dxa"/>
              <w:right w:w="150" w:type="dxa"/>
            </w:tcMar>
          </w:tcPr>
          <w:p w14:paraId="2A136E8A"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t>status (Target 1)</w:t>
            </w:r>
          </w:p>
        </w:tc>
        <w:tc>
          <w:tcPr>
            <w:tcW w:w="1728" w:type="dxa"/>
            <w:shd w:val="clear" w:color="auto" w:fill="FFFFFF"/>
            <w:tcMar>
              <w:top w:w="100" w:type="dxa"/>
              <w:left w:w="150" w:type="dxa"/>
              <w:bottom w:w="100" w:type="dxa"/>
              <w:right w:w="150" w:type="dxa"/>
            </w:tcMar>
          </w:tcPr>
          <w:p w14:paraId="468473C8"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Binary Integer</w:t>
            </w:r>
          </w:p>
        </w:tc>
        <w:tc>
          <w:tcPr>
            <w:tcW w:w="5472" w:type="dxa"/>
            <w:shd w:val="clear" w:color="auto" w:fill="FFFFFF"/>
            <w:tcMar>
              <w:top w:w="100" w:type="dxa"/>
              <w:left w:w="150" w:type="dxa"/>
              <w:bottom w:w="100" w:type="dxa"/>
              <w:right w:w="150" w:type="dxa"/>
            </w:tcMar>
          </w:tcPr>
          <w:p w14:paraId="625A9CB7"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Primary classification target: 1 indicating Placed; 0 indicating Not Placed.</w:t>
            </w:r>
          </w:p>
        </w:tc>
      </w:tr>
      <w:tr w:rsidR="00A07460" w:rsidRPr="006B1671" w14:paraId="3077706E" w14:textId="77777777">
        <w:trPr>
          <w:cantSplit/>
          <w:jc w:val="center"/>
        </w:trPr>
        <w:tc>
          <w:tcPr>
            <w:tcW w:w="2160" w:type="dxa"/>
            <w:shd w:val="clear" w:color="auto" w:fill="F8FAFC"/>
            <w:tcMar>
              <w:top w:w="100" w:type="dxa"/>
              <w:left w:w="150" w:type="dxa"/>
              <w:bottom w:w="100" w:type="dxa"/>
              <w:right w:w="150" w:type="dxa"/>
            </w:tcMar>
          </w:tcPr>
          <w:p w14:paraId="78DE9DE2"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sz w:val="24"/>
                <w:szCs w:val="24"/>
              </w:rPr>
              <w:lastRenderedPageBreak/>
              <w:t>salary (Target 2)</w:t>
            </w:r>
          </w:p>
        </w:tc>
        <w:tc>
          <w:tcPr>
            <w:tcW w:w="1728" w:type="dxa"/>
            <w:shd w:val="clear" w:color="auto" w:fill="F8FAFC"/>
            <w:tcMar>
              <w:top w:w="100" w:type="dxa"/>
              <w:left w:w="150" w:type="dxa"/>
              <w:bottom w:w="100" w:type="dxa"/>
              <w:right w:w="150" w:type="dxa"/>
            </w:tcMar>
          </w:tcPr>
          <w:p w14:paraId="0F5BEBCE"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Continuous Numerical</w:t>
            </w:r>
          </w:p>
        </w:tc>
        <w:tc>
          <w:tcPr>
            <w:tcW w:w="5472" w:type="dxa"/>
            <w:shd w:val="clear" w:color="auto" w:fill="F8FAFC"/>
            <w:tcMar>
              <w:top w:w="100" w:type="dxa"/>
              <w:left w:w="150" w:type="dxa"/>
              <w:bottom w:w="100" w:type="dxa"/>
              <w:right w:w="150" w:type="dxa"/>
            </w:tcMar>
          </w:tcPr>
          <w:p w14:paraId="5471E552"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Accompanying regression target: Annual compensation package offered in INR.</w:t>
            </w:r>
          </w:p>
        </w:tc>
      </w:tr>
    </w:tbl>
    <w:p w14:paraId="7120E62D" w14:textId="77777777" w:rsidR="00A07460" w:rsidRPr="006B1671" w:rsidRDefault="00A07460" w:rsidP="00F23805">
      <w:pPr>
        <w:spacing w:line="360" w:lineRule="auto"/>
        <w:rPr>
          <w:rFonts w:ascii="Times New Roman" w:hAnsi="Times New Roman" w:cs="Times New Roman"/>
          <w:sz w:val="24"/>
          <w:szCs w:val="24"/>
        </w:rPr>
      </w:pPr>
    </w:p>
    <w:p w14:paraId="162B51B9" w14:textId="122898B6" w:rsidR="00A07460" w:rsidRPr="006B1671" w:rsidRDefault="00000000" w:rsidP="00F23805">
      <w:pPr>
        <w:keepNext/>
        <w:spacing w:before="480" w:after="240" w:line="360" w:lineRule="auto"/>
        <w:rPr>
          <w:rFonts w:ascii="Times New Roman" w:hAnsi="Times New Roman" w:cs="Times New Roman"/>
          <w:color w:val="000000" w:themeColor="text1"/>
          <w:sz w:val="36"/>
          <w:szCs w:val="36"/>
        </w:rPr>
      </w:pPr>
      <w:r w:rsidRPr="006B1671">
        <w:rPr>
          <w:rFonts w:ascii="Times New Roman" w:hAnsi="Times New Roman" w:cs="Times New Roman"/>
          <w:b/>
          <w:color w:val="000000" w:themeColor="text1"/>
          <w:sz w:val="36"/>
          <w:szCs w:val="36"/>
        </w:rPr>
        <w:t>Methodology</w:t>
      </w:r>
    </w:p>
    <w:p w14:paraId="16EAE5F9" w14:textId="45F7A57D" w:rsidR="00A07460" w:rsidRPr="006B1671" w:rsidRDefault="00000000" w:rsidP="00F23805">
      <w:pPr>
        <w:keepNext/>
        <w:spacing w:before="320" w:after="120" w:line="360" w:lineRule="auto"/>
        <w:rPr>
          <w:rFonts w:ascii="Times New Roman" w:hAnsi="Times New Roman" w:cs="Times New Roman"/>
          <w:sz w:val="24"/>
          <w:szCs w:val="24"/>
        </w:rPr>
      </w:pPr>
      <w:r w:rsidRPr="006B1671">
        <w:rPr>
          <w:rFonts w:ascii="Times New Roman" w:hAnsi="Times New Roman" w:cs="Times New Roman"/>
          <w:b/>
          <w:color w:val="2563EB"/>
          <w:sz w:val="24"/>
          <w:szCs w:val="24"/>
        </w:rPr>
        <w:t>Data Preprocessing &amp; Feature Engineering</w:t>
      </w:r>
    </w:p>
    <w:p w14:paraId="4C854B09"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Raw operational data frequently contains programmatic nulls, uncalibrated scaling structures, and categorical variables incompatible with numeric tensor mathematics. The engine executes the following discrete transformations:</w:t>
      </w:r>
    </w:p>
    <w:p w14:paraId="309C8059"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Target-Driven Missing Value Handling: </w:t>
      </w:r>
      <w:r w:rsidRPr="006B1671">
        <w:rPr>
          <w:rFonts w:ascii="Times New Roman" w:hAnsi="Times New Roman" w:cs="Times New Roman"/>
          <w:sz w:val="24"/>
          <w:szCs w:val="24"/>
        </w:rPr>
        <w:t>The continuous parameter salary contains null entries corresponding directly to unplaced student records (status = 0). To maintain mathematical alignment without distorting data distributions, these null values are explicitly filled with 0.0.</w:t>
      </w:r>
    </w:p>
    <w:p w14:paraId="7EF49545"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Structural Feature Removal: </w:t>
      </w:r>
      <w:r w:rsidRPr="006B1671">
        <w:rPr>
          <w:rFonts w:ascii="Times New Roman" w:hAnsi="Times New Roman" w:cs="Times New Roman"/>
          <w:sz w:val="24"/>
          <w:szCs w:val="24"/>
        </w:rPr>
        <w:t>Technical tracking fields such as index serial numbers (sl_no) are dropped to prevent the model from capturing spurious spatial correlations.</w:t>
      </w:r>
    </w:p>
    <w:p w14:paraId="080F6817"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Binary Mapping &amp; Categorical Expansion: </w:t>
      </w:r>
      <w:r w:rsidRPr="006B1671">
        <w:rPr>
          <w:rFonts w:ascii="Times New Roman" w:hAnsi="Times New Roman" w:cs="Times New Roman"/>
          <w:sz w:val="24"/>
          <w:szCs w:val="24"/>
        </w:rPr>
        <w:t>Categorical binary parameters (gender, workex, ssc_b, hsc_b, status) are mapped directly to numeric values. Complex multi-categorical features (hsc_s, degree_t, specialisation) undergo strict One-Hot Encoding to expand the dimensionality safely, generating independent columns like degree_t_Sci&amp;Tech and specialisation_Mkt&amp;HR, which are then cast to integer indicators.</w:t>
      </w:r>
    </w:p>
    <w:p w14:paraId="5218DCBF" w14:textId="08977CD9" w:rsidR="00A07460" w:rsidRPr="006B1671" w:rsidRDefault="00000000" w:rsidP="00F23805">
      <w:pPr>
        <w:keepNext/>
        <w:spacing w:before="320" w:after="120" w:line="360" w:lineRule="auto"/>
        <w:rPr>
          <w:rFonts w:ascii="Times New Roman" w:hAnsi="Times New Roman" w:cs="Times New Roman"/>
          <w:sz w:val="24"/>
          <w:szCs w:val="24"/>
        </w:rPr>
      </w:pPr>
      <w:r w:rsidRPr="006B1671">
        <w:rPr>
          <w:rFonts w:ascii="Times New Roman" w:hAnsi="Times New Roman" w:cs="Times New Roman"/>
          <w:b/>
          <w:color w:val="2563EB"/>
          <w:sz w:val="24"/>
          <w:szCs w:val="24"/>
        </w:rPr>
        <w:t>Predictive Intelligence Modeling &amp; Adjustments</w:t>
      </w:r>
    </w:p>
    <w:p w14:paraId="1ED9738A"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To ensure stability against grade scale switching, the system implements a dynamic input conversion matrix that natively transforms CGPA inputs into percentages using the standard linear conversion function:</w:t>
      </w:r>
    </w:p>
    <w:p w14:paraId="17323B0B"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1E3A8A"/>
          <w:sz w:val="24"/>
          <w:szCs w:val="24"/>
        </w:rPr>
        <w:lastRenderedPageBreak/>
        <w:t>Percentage (%) = CGPA × 9.5</w:t>
      </w:r>
    </w:p>
    <w:p w14:paraId="7D0FDA87"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classification pipeline evaluates a standardized 80-20 train-test distribution. A Random Forest Classifier utilizing 200 independent decision trees restricted to a maximum depth of 10 is trained to handle non-linear interactions across variables. Simultaneously, a parallel Random Forest Regressor is isolated and trained exclusively on the active subset of placed candidate profiles (status = 1) to output an annual compensation package estimation.</w:t>
      </w:r>
    </w:p>
    <w:p w14:paraId="643F5C76"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To adapt to real-world technological labor shifts in the Bengaluru geography, the engine injects a dynamic post-modeling adjustment layer. If a student's entrance admission route is specified as KCET or COMEDK and their undergraduate degree falls under B.E/B.Tech (CS/IT/Circuital), a bonus factor is applied to their core prediction probability:</w:t>
      </w:r>
    </w:p>
    <w:p w14:paraId="6DCAF89A"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1E3A8A"/>
          <w:sz w:val="24"/>
          <w:szCs w:val="24"/>
        </w:rPr>
        <w:t xml:space="preserve">P_final = </w:t>
      </w:r>
      <w:proofErr w:type="gramStart"/>
      <w:r w:rsidRPr="006B1671">
        <w:rPr>
          <w:rFonts w:ascii="Times New Roman" w:hAnsi="Times New Roman" w:cs="Times New Roman"/>
          <w:b/>
          <w:color w:val="1E3A8A"/>
          <w:sz w:val="24"/>
          <w:szCs w:val="24"/>
        </w:rPr>
        <w:t>min(</w:t>
      </w:r>
      <w:proofErr w:type="gramEnd"/>
      <w:r w:rsidRPr="006B1671">
        <w:rPr>
          <w:rFonts w:ascii="Times New Roman" w:hAnsi="Times New Roman" w:cs="Times New Roman"/>
          <w:b/>
          <w:color w:val="1E3A8A"/>
          <w:sz w:val="24"/>
          <w:szCs w:val="24"/>
        </w:rPr>
        <w:t>1.0, P_model + 0.08)</w:t>
      </w:r>
    </w:p>
    <w:p w14:paraId="1EB00EB4"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Concurrently, their estimated salary undergoes an optimization scaling to reflect the high-density tech sector realities of local technology parks:</w:t>
      </w:r>
    </w:p>
    <w:p w14:paraId="6330D273"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1E3A8A"/>
          <w:sz w:val="24"/>
          <w:szCs w:val="24"/>
        </w:rPr>
        <w:t>Salary_final = Salary_base × 1.45</w:t>
      </w:r>
    </w:p>
    <w:p w14:paraId="6306756B" w14:textId="77777777" w:rsidR="00A07460"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For profiles hailing from localized Karnataka boards (SSLC/PUC), a regional stabilization multiplier of 1.15 is applied to ensure local market alignment.</w:t>
      </w:r>
    </w:p>
    <w:p w14:paraId="2E269EE1" w14:textId="77777777" w:rsidR="00F23805" w:rsidRPr="006B1671" w:rsidRDefault="00F23805" w:rsidP="00F23805">
      <w:pPr>
        <w:spacing w:after="160" w:line="360" w:lineRule="auto"/>
        <w:rPr>
          <w:rFonts w:ascii="Times New Roman" w:hAnsi="Times New Roman" w:cs="Times New Roman"/>
          <w:sz w:val="24"/>
          <w:szCs w:val="24"/>
        </w:rPr>
      </w:pPr>
    </w:p>
    <w:p w14:paraId="09D37C71" w14:textId="451A0A12" w:rsidR="00A07460" w:rsidRPr="00F23805" w:rsidRDefault="00000000" w:rsidP="00F23805">
      <w:pPr>
        <w:keepNext/>
        <w:spacing w:before="480" w:after="240" w:line="360" w:lineRule="auto"/>
        <w:rPr>
          <w:rFonts w:ascii="Times New Roman" w:hAnsi="Times New Roman" w:cs="Times New Roman"/>
          <w:color w:val="000000" w:themeColor="text1"/>
          <w:sz w:val="36"/>
          <w:szCs w:val="36"/>
        </w:rPr>
      </w:pPr>
      <w:r w:rsidRPr="00F23805">
        <w:rPr>
          <w:rFonts w:ascii="Times New Roman" w:hAnsi="Times New Roman" w:cs="Times New Roman"/>
          <w:b/>
          <w:color w:val="000000" w:themeColor="text1"/>
          <w:sz w:val="36"/>
          <w:szCs w:val="36"/>
        </w:rPr>
        <w:t>Data Analysis</w:t>
      </w:r>
    </w:p>
    <w:p w14:paraId="1159A41D"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Exploratory data analysis reveals deep statistical relationships within the cohort of 215 students. The dataset manifests an overall placement rate of 68.84% (148 students placed), leaving a 31.16% unplaced subset (67 students). The gender split comprises 139 male records and 76 female records.</w:t>
      </w:r>
    </w:p>
    <w:p w14:paraId="36F9B4B1" w14:textId="77777777" w:rsidR="00A07460" w:rsidRPr="006B1671" w:rsidRDefault="00000000" w:rsidP="00F23805">
      <w:pPr>
        <w:keepNext/>
        <w:spacing w:before="320" w:after="120" w:line="360" w:lineRule="auto"/>
        <w:rPr>
          <w:rFonts w:ascii="Times New Roman" w:hAnsi="Times New Roman" w:cs="Times New Roman"/>
          <w:sz w:val="24"/>
          <w:szCs w:val="24"/>
        </w:rPr>
      </w:pPr>
      <w:r w:rsidRPr="006B1671">
        <w:rPr>
          <w:rFonts w:ascii="Times New Roman" w:hAnsi="Times New Roman" w:cs="Times New Roman"/>
          <w:b/>
          <w:color w:val="2563EB"/>
          <w:sz w:val="24"/>
          <w:szCs w:val="24"/>
        </w:rPr>
        <w:t>7.1 Impact of Professional Experience</w:t>
      </w:r>
    </w:p>
    <w:p w14:paraId="2495C112"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 xml:space="preserve">Cross-tabulation analysis isolates prior formal work experience as a massive catalyst for recruitment success. Students possessing prior professional exposure achieve an exceptional </w:t>
      </w:r>
      <w:r w:rsidRPr="006B1671">
        <w:rPr>
          <w:rFonts w:ascii="Times New Roman" w:hAnsi="Times New Roman" w:cs="Times New Roman"/>
          <w:sz w:val="24"/>
          <w:szCs w:val="24"/>
        </w:rPr>
        <w:lastRenderedPageBreak/>
        <w:t>placement rate of 86.49%, whereas candidates lacking experience struggle with an increased attrition rate, exhibiting a lower placement probability of 59.57%.</w:t>
      </w:r>
    </w:p>
    <w:tbl>
      <w:tblPr>
        <w:tblW w:w="0" w:type="auto"/>
        <w:jc w:val="center"/>
        <w:tblLayout w:type="fixed"/>
        <w:tblLook w:val="04A0" w:firstRow="1" w:lastRow="0" w:firstColumn="1" w:lastColumn="0" w:noHBand="0" w:noVBand="1"/>
      </w:tblPr>
      <w:tblGrid>
        <w:gridCol w:w="3024"/>
        <w:gridCol w:w="3312"/>
        <w:gridCol w:w="3024"/>
      </w:tblGrid>
      <w:tr w:rsidR="00A07460" w:rsidRPr="006B1671" w14:paraId="20AEAAF3" w14:textId="77777777">
        <w:trPr>
          <w:cantSplit/>
          <w:jc w:val="center"/>
        </w:trPr>
        <w:tc>
          <w:tcPr>
            <w:tcW w:w="3024" w:type="dxa"/>
            <w:shd w:val="clear" w:color="auto" w:fill="F0FDF4"/>
            <w:tcMar>
              <w:top w:w="160" w:type="dxa"/>
              <w:left w:w="150" w:type="dxa"/>
              <w:bottom w:w="160" w:type="dxa"/>
              <w:right w:w="150" w:type="dxa"/>
            </w:tcMar>
          </w:tcPr>
          <w:p w14:paraId="201C900E" w14:textId="77777777" w:rsidR="00A07460" w:rsidRPr="006B1671" w:rsidRDefault="00000000" w:rsidP="00F23805">
            <w:pPr>
              <w:spacing w:after="40" w:line="360" w:lineRule="auto"/>
              <w:jc w:val="center"/>
              <w:rPr>
                <w:rFonts w:ascii="Times New Roman" w:hAnsi="Times New Roman" w:cs="Times New Roman"/>
                <w:sz w:val="24"/>
                <w:szCs w:val="24"/>
              </w:rPr>
            </w:pPr>
            <w:r w:rsidRPr="006B1671">
              <w:rPr>
                <w:rFonts w:ascii="Times New Roman" w:hAnsi="Times New Roman" w:cs="Times New Roman"/>
                <w:b/>
                <w:color w:val="16A34A"/>
                <w:sz w:val="24"/>
                <w:szCs w:val="24"/>
              </w:rPr>
              <w:t>68.8%</w:t>
            </w:r>
          </w:p>
          <w:p w14:paraId="02CF2BA0"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475569"/>
                <w:sz w:val="24"/>
                <w:szCs w:val="24"/>
              </w:rPr>
              <w:t>Overall Placement Rate</w:t>
            </w:r>
          </w:p>
        </w:tc>
        <w:tc>
          <w:tcPr>
            <w:tcW w:w="3312" w:type="dxa"/>
            <w:shd w:val="clear" w:color="auto" w:fill="F0FDF4"/>
            <w:tcMar>
              <w:top w:w="160" w:type="dxa"/>
              <w:left w:w="150" w:type="dxa"/>
              <w:bottom w:w="160" w:type="dxa"/>
              <w:right w:w="150" w:type="dxa"/>
            </w:tcMar>
          </w:tcPr>
          <w:p w14:paraId="60C957FD" w14:textId="77777777" w:rsidR="00A07460" w:rsidRPr="006B1671" w:rsidRDefault="00000000" w:rsidP="00F23805">
            <w:pPr>
              <w:spacing w:after="40" w:line="360" w:lineRule="auto"/>
              <w:jc w:val="center"/>
              <w:rPr>
                <w:rFonts w:ascii="Times New Roman" w:hAnsi="Times New Roman" w:cs="Times New Roman"/>
                <w:sz w:val="24"/>
                <w:szCs w:val="24"/>
              </w:rPr>
            </w:pPr>
            <w:r w:rsidRPr="006B1671">
              <w:rPr>
                <w:rFonts w:ascii="Times New Roman" w:hAnsi="Times New Roman" w:cs="Times New Roman"/>
                <w:b/>
                <w:color w:val="16A34A"/>
                <w:sz w:val="24"/>
                <w:szCs w:val="24"/>
              </w:rPr>
              <w:t>86.5%</w:t>
            </w:r>
          </w:p>
          <w:p w14:paraId="27416DF7"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475569"/>
                <w:sz w:val="24"/>
                <w:szCs w:val="24"/>
              </w:rPr>
              <w:t>WorkEx Placement Odds</w:t>
            </w:r>
          </w:p>
        </w:tc>
        <w:tc>
          <w:tcPr>
            <w:tcW w:w="3024" w:type="dxa"/>
            <w:shd w:val="clear" w:color="auto" w:fill="F0FDF4"/>
            <w:tcMar>
              <w:top w:w="160" w:type="dxa"/>
              <w:left w:w="150" w:type="dxa"/>
              <w:bottom w:w="160" w:type="dxa"/>
              <w:right w:w="150" w:type="dxa"/>
            </w:tcMar>
          </w:tcPr>
          <w:p w14:paraId="14245A2D" w14:textId="77777777" w:rsidR="00A07460" w:rsidRPr="006B1671" w:rsidRDefault="00000000" w:rsidP="00F23805">
            <w:pPr>
              <w:spacing w:after="40" w:line="360" w:lineRule="auto"/>
              <w:jc w:val="center"/>
              <w:rPr>
                <w:rFonts w:ascii="Times New Roman" w:hAnsi="Times New Roman" w:cs="Times New Roman"/>
                <w:sz w:val="24"/>
                <w:szCs w:val="24"/>
              </w:rPr>
            </w:pPr>
            <w:r w:rsidRPr="006B1671">
              <w:rPr>
                <w:rFonts w:ascii="Times New Roman" w:hAnsi="Times New Roman" w:cs="Times New Roman"/>
                <w:b/>
                <w:color w:val="16A34A"/>
                <w:sz w:val="24"/>
                <w:szCs w:val="24"/>
              </w:rPr>
              <w:t>₹2.88L</w:t>
            </w:r>
          </w:p>
          <w:p w14:paraId="51A421BA"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475569"/>
                <w:sz w:val="24"/>
                <w:szCs w:val="24"/>
              </w:rPr>
              <w:t>Average Base Salary</w:t>
            </w:r>
          </w:p>
        </w:tc>
      </w:tr>
    </w:tbl>
    <w:p w14:paraId="67E0DF9A" w14:textId="77777777" w:rsidR="00A07460" w:rsidRPr="006B1671" w:rsidRDefault="00A07460" w:rsidP="00F23805">
      <w:pPr>
        <w:spacing w:line="360" w:lineRule="auto"/>
        <w:rPr>
          <w:rFonts w:ascii="Times New Roman" w:hAnsi="Times New Roman" w:cs="Times New Roman"/>
          <w:sz w:val="24"/>
          <w:szCs w:val="24"/>
        </w:rPr>
      </w:pPr>
    </w:p>
    <w:p w14:paraId="38EF010B" w14:textId="59524238" w:rsidR="00A07460" w:rsidRPr="006B1671" w:rsidRDefault="00000000" w:rsidP="00F23805">
      <w:pPr>
        <w:keepNext/>
        <w:spacing w:before="320" w:after="120" w:line="360" w:lineRule="auto"/>
        <w:rPr>
          <w:rFonts w:ascii="Times New Roman" w:hAnsi="Times New Roman" w:cs="Times New Roman"/>
          <w:sz w:val="24"/>
          <w:szCs w:val="24"/>
        </w:rPr>
      </w:pPr>
      <w:r w:rsidRPr="006B1671">
        <w:rPr>
          <w:rFonts w:ascii="Times New Roman" w:hAnsi="Times New Roman" w:cs="Times New Roman"/>
          <w:b/>
          <w:color w:val="2563EB"/>
          <w:sz w:val="24"/>
          <w:szCs w:val="24"/>
        </w:rPr>
        <w:t>Machine Learning Benchmarking</w:t>
      </w:r>
    </w:p>
    <w:p w14:paraId="4407E4A1"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predictive dataset was evaluated using two distinct paradigms: a linear Logistic Regression model with Standard Scaling and an unscaled ensemble Random Forest Classifier. The comparative results demonstrate a strong validation footprint on the test sample:</w:t>
      </w:r>
    </w:p>
    <w:tbl>
      <w:tblPr>
        <w:tblW w:w="0" w:type="auto"/>
        <w:jc w:val="center"/>
        <w:tblLayout w:type="fixed"/>
        <w:tblLook w:val="04A0" w:firstRow="1" w:lastRow="0" w:firstColumn="1" w:lastColumn="0" w:noHBand="0" w:noVBand="1"/>
      </w:tblPr>
      <w:tblGrid>
        <w:gridCol w:w="3600"/>
        <w:gridCol w:w="1584"/>
        <w:gridCol w:w="1584"/>
        <w:gridCol w:w="1584"/>
        <w:gridCol w:w="1584"/>
      </w:tblGrid>
      <w:tr w:rsidR="00A07460" w:rsidRPr="006B1671" w14:paraId="7AEDD968" w14:textId="77777777">
        <w:trPr>
          <w:cantSplit/>
          <w:tblHeader/>
          <w:jc w:val="center"/>
        </w:trPr>
        <w:tc>
          <w:tcPr>
            <w:tcW w:w="3600" w:type="dxa"/>
            <w:shd w:val="clear" w:color="auto" w:fill="0F172A"/>
            <w:tcMar>
              <w:top w:w="120" w:type="dxa"/>
              <w:left w:w="100" w:type="dxa"/>
              <w:bottom w:w="120" w:type="dxa"/>
              <w:right w:w="100" w:type="dxa"/>
            </w:tcMar>
          </w:tcPr>
          <w:p w14:paraId="7DDAC1F6"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color w:val="FFFFFF"/>
                <w:sz w:val="24"/>
                <w:szCs w:val="24"/>
              </w:rPr>
              <w:t>Classification Model Architecture</w:t>
            </w:r>
          </w:p>
        </w:tc>
        <w:tc>
          <w:tcPr>
            <w:tcW w:w="1584" w:type="dxa"/>
            <w:shd w:val="clear" w:color="auto" w:fill="0F172A"/>
            <w:tcMar>
              <w:top w:w="120" w:type="dxa"/>
              <w:left w:w="100" w:type="dxa"/>
              <w:bottom w:w="120" w:type="dxa"/>
              <w:right w:w="100" w:type="dxa"/>
            </w:tcMar>
          </w:tcPr>
          <w:p w14:paraId="4C4FF387"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FFFFFF"/>
                <w:sz w:val="24"/>
                <w:szCs w:val="24"/>
              </w:rPr>
              <w:t>Validation Accuracy</w:t>
            </w:r>
          </w:p>
        </w:tc>
        <w:tc>
          <w:tcPr>
            <w:tcW w:w="1584" w:type="dxa"/>
            <w:shd w:val="clear" w:color="auto" w:fill="0F172A"/>
            <w:tcMar>
              <w:top w:w="120" w:type="dxa"/>
              <w:left w:w="100" w:type="dxa"/>
              <w:bottom w:w="120" w:type="dxa"/>
              <w:right w:w="100" w:type="dxa"/>
            </w:tcMar>
          </w:tcPr>
          <w:p w14:paraId="323E50F2"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FFFFFF"/>
                <w:sz w:val="24"/>
                <w:szCs w:val="24"/>
              </w:rPr>
              <w:t>Precision (Placed)</w:t>
            </w:r>
          </w:p>
        </w:tc>
        <w:tc>
          <w:tcPr>
            <w:tcW w:w="1584" w:type="dxa"/>
            <w:shd w:val="clear" w:color="auto" w:fill="0F172A"/>
            <w:tcMar>
              <w:top w:w="120" w:type="dxa"/>
              <w:left w:w="100" w:type="dxa"/>
              <w:bottom w:w="120" w:type="dxa"/>
              <w:right w:w="100" w:type="dxa"/>
            </w:tcMar>
          </w:tcPr>
          <w:p w14:paraId="1BB411A8"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FFFFFF"/>
                <w:sz w:val="24"/>
                <w:szCs w:val="24"/>
              </w:rPr>
              <w:t>Recall (Placed)</w:t>
            </w:r>
          </w:p>
        </w:tc>
        <w:tc>
          <w:tcPr>
            <w:tcW w:w="1584" w:type="dxa"/>
            <w:shd w:val="clear" w:color="auto" w:fill="0F172A"/>
            <w:tcMar>
              <w:top w:w="120" w:type="dxa"/>
              <w:left w:w="100" w:type="dxa"/>
              <w:bottom w:w="120" w:type="dxa"/>
              <w:right w:w="100" w:type="dxa"/>
            </w:tcMar>
          </w:tcPr>
          <w:p w14:paraId="66162748"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FFFFFF"/>
                <w:sz w:val="24"/>
                <w:szCs w:val="24"/>
              </w:rPr>
              <w:t>F1-Score (Placed)</w:t>
            </w:r>
          </w:p>
        </w:tc>
      </w:tr>
      <w:tr w:rsidR="00A07460" w:rsidRPr="006B1671" w14:paraId="7E9B9C22" w14:textId="77777777">
        <w:trPr>
          <w:cantSplit/>
          <w:jc w:val="center"/>
        </w:trPr>
        <w:tc>
          <w:tcPr>
            <w:tcW w:w="3600" w:type="dxa"/>
            <w:shd w:val="clear" w:color="auto" w:fill="FFFFFF"/>
            <w:tcMar>
              <w:top w:w="100" w:type="dxa"/>
              <w:left w:w="100" w:type="dxa"/>
              <w:bottom w:w="100" w:type="dxa"/>
              <w:right w:w="100" w:type="dxa"/>
            </w:tcMar>
          </w:tcPr>
          <w:p w14:paraId="11BA6C56"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Logistic Regression (Scaled)</w:t>
            </w:r>
          </w:p>
        </w:tc>
        <w:tc>
          <w:tcPr>
            <w:tcW w:w="1584" w:type="dxa"/>
            <w:shd w:val="clear" w:color="auto" w:fill="FFFFFF"/>
            <w:tcMar>
              <w:top w:w="100" w:type="dxa"/>
              <w:left w:w="100" w:type="dxa"/>
              <w:bottom w:w="100" w:type="dxa"/>
              <w:right w:w="100" w:type="dxa"/>
            </w:tcMar>
          </w:tcPr>
          <w:p w14:paraId="37DAD4F7"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sz w:val="24"/>
                <w:szCs w:val="24"/>
              </w:rPr>
              <w:t>88.37%</w:t>
            </w:r>
          </w:p>
        </w:tc>
        <w:tc>
          <w:tcPr>
            <w:tcW w:w="1584" w:type="dxa"/>
            <w:shd w:val="clear" w:color="auto" w:fill="FFFFFF"/>
            <w:tcMar>
              <w:top w:w="100" w:type="dxa"/>
              <w:left w:w="100" w:type="dxa"/>
              <w:bottom w:w="100" w:type="dxa"/>
              <w:right w:w="100" w:type="dxa"/>
            </w:tcMar>
          </w:tcPr>
          <w:p w14:paraId="6128EAA2"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0.89</w:t>
            </w:r>
          </w:p>
        </w:tc>
        <w:tc>
          <w:tcPr>
            <w:tcW w:w="1584" w:type="dxa"/>
            <w:shd w:val="clear" w:color="auto" w:fill="FFFFFF"/>
            <w:tcMar>
              <w:top w:w="100" w:type="dxa"/>
              <w:left w:w="100" w:type="dxa"/>
              <w:bottom w:w="100" w:type="dxa"/>
              <w:right w:w="100" w:type="dxa"/>
            </w:tcMar>
          </w:tcPr>
          <w:p w14:paraId="79BE400F"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0.94</w:t>
            </w:r>
          </w:p>
        </w:tc>
        <w:tc>
          <w:tcPr>
            <w:tcW w:w="1584" w:type="dxa"/>
            <w:shd w:val="clear" w:color="auto" w:fill="FFFFFF"/>
            <w:tcMar>
              <w:top w:w="100" w:type="dxa"/>
              <w:left w:w="100" w:type="dxa"/>
              <w:bottom w:w="100" w:type="dxa"/>
              <w:right w:w="100" w:type="dxa"/>
            </w:tcMar>
          </w:tcPr>
          <w:p w14:paraId="12AC7F48"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0.91</w:t>
            </w:r>
          </w:p>
        </w:tc>
      </w:tr>
      <w:tr w:rsidR="00A07460" w:rsidRPr="006B1671" w14:paraId="3C17FD89" w14:textId="77777777">
        <w:trPr>
          <w:cantSplit/>
          <w:jc w:val="center"/>
        </w:trPr>
        <w:tc>
          <w:tcPr>
            <w:tcW w:w="3600" w:type="dxa"/>
            <w:shd w:val="clear" w:color="auto" w:fill="F8FAFC"/>
            <w:tcMar>
              <w:top w:w="100" w:type="dxa"/>
              <w:left w:w="100" w:type="dxa"/>
              <w:bottom w:w="100" w:type="dxa"/>
              <w:right w:w="100" w:type="dxa"/>
            </w:tcMar>
          </w:tcPr>
          <w:p w14:paraId="32C1C049"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Random Forest Classifier</w:t>
            </w:r>
          </w:p>
        </w:tc>
        <w:tc>
          <w:tcPr>
            <w:tcW w:w="1584" w:type="dxa"/>
            <w:shd w:val="clear" w:color="auto" w:fill="F8FAFC"/>
            <w:tcMar>
              <w:top w:w="100" w:type="dxa"/>
              <w:left w:w="100" w:type="dxa"/>
              <w:bottom w:w="100" w:type="dxa"/>
              <w:right w:w="100" w:type="dxa"/>
            </w:tcMar>
          </w:tcPr>
          <w:p w14:paraId="4DFA74C7"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sz w:val="24"/>
                <w:szCs w:val="24"/>
              </w:rPr>
              <w:t>81.40%</w:t>
            </w:r>
          </w:p>
        </w:tc>
        <w:tc>
          <w:tcPr>
            <w:tcW w:w="1584" w:type="dxa"/>
            <w:shd w:val="clear" w:color="auto" w:fill="F8FAFC"/>
            <w:tcMar>
              <w:top w:w="100" w:type="dxa"/>
              <w:left w:w="100" w:type="dxa"/>
              <w:bottom w:w="100" w:type="dxa"/>
              <w:right w:w="100" w:type="dxa"/>
            </w:tcMar>
          </w:tcPr>
          <w:p w14:paraId="1C5EE258"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0.83</w:t>
            </w:r>
          </w:p>
        </w:tc>
        <w:tc>
          <w:tcPr>
            <w:tcW w:w="1584" w:type="dxa"/>
            <w:shd w:val="clear" w:color="auto" w:fill="F8FAFC"/>
            <w:tcMar>
              <w:top w:w="100" w:type="dxa"/>
              <w:left w:w="100" w:type="dxa"/>
              <w:bottom w:w="100" w:type="dxa"/>
              <w:right w:w="100" w:type="dxa"/>
            </w:tcMar>
          </w:tcPr>
          <w:p w14:paraId="7F1DFA98"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0.94</w:t>
            </w:r>
          </w:p>
        </w:tc>
        <w:tc>
          <w:tcPr>
            <w:tcW w:w="1584" w:type="dxa"/>
            <w:shd w:val="clear" w:color="auto" w:fill="F8FAFC"/>
            <w:tcMar>
              <w:top w:w="100" w:type="dxa"/>
              <w:left w:w="100" w:type="dxa"/>
              <w:bottom w:w="100" w:type="dxa"/>
              <w:right w:w="100" w:type="dxa"/>
            </w:tcMar>
          </w:tcPr>
          <w:p w14:paraId="3C239500"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0.88</w:t>
            </w:r>
          </w:p>
        </w:tc>
      </w:tr>
    </w:tbl>
    <w:p w14:paraId="7F66571E" w14:textId="77777777" w:rsidR="00A07460" w:rsidRPr="006B1671" w:rsidRDefault="00A07460" w:rsidP="00F23805">
      <w:pPr>
        <w:spacing w:line="360" w:lineRule="auto"/>
        <w:rPr>
          <w:rFonts w:ascii="Times New Roman" w:hAnsi="Times New Roman" w:cs="Times New Roman"/>
          <w:sz w:val="24"/>
          <w:szCs w:val="24"/>
        </w:rPr>
      </w:pPr>
    </w:p>
    <w:p w14:paraId="14291EC0" w14:textId="08620A24" w:rsidR="00A07460" w:rsidRPr="00F23805" w:rsidRDefault="00000000" w:rsidP="00F23805">
      <w:pPr>
        <w:keepNext/>
        <w:spacing w:before="480" w:after="240" w:line="360" w:lineRule="auto"/>
        <w:rPr>
          <w:rFonts w:ascii="Times New Roman" w:hAnsi="Times New Roman" w:cs="Times New Roman"/>
          <w:color w:val="000000" w:themeColor="text1"/>
          <w:sz w:val="36"/>
          <w:szCs w:val="36"/>
        </w:rPr>
      </w:pPr>
      <w:r w:rsidRPr="00F23805">
        <w:rPr>
          <w:rFonts w:ascii="Times New Roman" w:hAnsi="Times New Roman" w:cs="Times New Roman"/>
          <w:b/>
          <w:color w:val="000000" w:themeColor="text1"/>
          <w:sz w:val="36"/>
          <w:szCs w:val="36"/>
        </w:rPr>
        <w:t>Findings</w:t>
      </w:r>
    </w:p>
    <w:p w14:paraId="088D612D" w14:textId="77777777" w:rsidR="00A07460" w:rsidRPr="006B1671" w:rsidRDefault="00000000" w:rsidP="00F23805">
      <w:pPr>
        <w:keepNext/>
        <w:spacing w:before="320" w:after="120" w:line="360" w:lineRule="auto"/>
        <w:rPr>
          <w:rFonts w:ascii="Times New Roman" w:hAnsi="Times New Roman" w:cs="Times New Roman"/>
          <w:sz w:val="24"/>
          <w:szCs w:val="24"/>
        </w:rPr>
      </w:pPr>
      <w:r w:rsidRPr="006B1671">
        <w:rPr>
          <w:rFonts w:ascii="Times New Roman" w:hAnsi="Times New Roman" w:cs="Times New Roman"/>
          <w:b/>
          <w:color w:val="2563EB"/>
          <w:sz w:val="24"/>
          <w:szCs w:val="24"/>
        </w:rPr>
        <w:t>8.1 Algorithmic Feature Importance Spectrum</w:t>
      </w:r>
    </w:p>
    <w:p w14:paraId="32D5C261"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Deep inspection of the algorithmic models reveals critical structural parameters governing candidate employability profiles. The calculated ensemble feature weight distribution is detailed below:</w:t>
      </w:r>
    </w:p>
    <w:tbl>
      <w:tblPr>
        <w:tblW w:w="0" w:type="auto"/>
        <w:jc w:val="center"/>
        <w:tblLayout w:type="fixed"/>
        <w:tblLook w:val="04A0" w:firstRow="1" w:lastRow="0" w:firstColumn="1" w:lastColumn="0" w:noHBand="0" w:noVBand="1"/>
      </w:tblPr>
      <w:tblGrid>
        <w:gridCol w:w="1152"/>
        <w:gridCol w:w="4896"/>
        <w:gridCol w:w="3312"/>
      </w:tblGrid>
      <w:tr w:rsidR="00A07460" w:rsidRPr="006B1671" w14:paraId="67FA8157" w14:textId="77777777">
        <w:trPr>
          <w:cantSplit/>
          <w:tblHeader/>
          <w:jc w:val="center"/>
        </w:trPr>
        <w:tc>
          <w:tcPr>
            <w:tcW w:w="1152" w:type="dxa"/>
            <w:shd w:val="clear" w:color="auto" w:fill="0F172A"/>
            <w:tcMar>
              <w:top w:w="120" w:type="dxa"/>
              <w:left w:w="120" w:type="dxa"/>
              <w:bottom w:w="120" w:type="dxa"/>
              <w:right w:w="120" w:type="dxa"/>
            </w:tcMar>
          </w:tcPr>
          <w:p w14:paraId="4D8EE492"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b/>
                <w:color w:val="FFFFFF"/>
                <w:sz w:val="24"/>
                <w:szCs w:val="24"/>
              </w:rPr>
              <w:t>Rank</w:t>
            </w:r>
          </w:p>
        </w:tc>
        <w:tc>
          <w:tcPr>
            <w:tcW w:w="4896" w:type="dxa"/>
            <w:shd w:val="clear" w:color="auto" w:fill="0F172A"/>
            <w:tcMar>
              <w:top w:w="120" w:type="dxa"/>
              <w:left w:w="120" w:type="dxa"/>
              <w:bottom w:w="120" w:type="dxa"/>
              <w:right w:w="120" w:type="dxa"/>
            </w:tcMar>
          </w:tcPr>
          <w:p w14:paraId="7DE38D00"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b/>
                <w:color w:val="FFFFFF"/>
                <w:sz w:val="24"/>
                <w:szCs w:val="24"/>
              </w:rPr>
              <w:t>Evaluated Feature Parameter</w:t>
            </w:r>
          </w:p>
        </w:tc>
        <w:tc>
          <w:tcPr>
            <w:tcW w:w="3312" w:type="dxa"/>
            <w:shd w:val="clear" w:color="auto" w:fill="0F172A"/>
            <w:tcMar>
              <w:top w:w="120" w:type="dxa"/>
              <w:left w:w="120" w:type="dxa"/>
              <w:bottom w:w="120" w:type="dxa"/>
              <w:right w:w="120" w:type="dxa"/>
            </w:tcMar>
          </w:tcPr>
          <w:p w14:paraId="1DA542A5"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FFFFFF"/>
                <w:sz w:val="24"/>
                <w:szCs w:val="24"/>
              </w:rPr>
              <w:t>Relative Model Importance</w:t>
            </w:r>
          </w:p>
        </w:tc>
      </w:tr>
      <w:tr w:rsidR="00A07460" w:rsidRPr="006B1671" w14:paraId="63A1DFB9" w14:textId="77777777">
        <w:trPr>
          <w:cantSplit/>
          <w:jc w:val="center"/>
        </w:trPr>
        <w:tc>
          <w:tcPr>
            <w:tcW w:w="1152" w:type="dxa"/>
            <w:shd w:val="clear" w:color="auto" w:fill="FFFFFF"/>
            <w:tcMar>
              <w:top w:w="90" w:type="dxa"/>
              <w:left w:w="120" w:type="dxa"/>
              <w:bottom w:w="90" w:type="dxa"/>
              <w:right w:w="120" w:type="dxa"/>
            </w:tcMar>
          </w:tcPr>
          <w:p w14:paraId="1040D8CD"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lastRenderedPageBreak/>
              <w:t>1</w:t>
            </w:r>
          </w:p>
        </w:tc>
        <w:tc>
          <w:tcPr>
            <w:tcW w:w="4896" w:type="dxa"/>
            <w:shd w:val="clear" w:color="auto" w:fill="FFFFFF"/>
            <w:tcMar>
              <w:top w:w="90" w:type="dxa"/>
              <w:left w:w="120" w:type="dxa"/>
              <w:bottom w:w="90" w:type="dxa"/>
              <w:right w:w="120" w:type="dxa"/>
            </w:tcMar>
          </w:tcPr>
          <w:p w14:paraId="22C9DD0F"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Secondary School Percentage (ssc_p)</w:t>
            </w:r>
          </w:p>
        </w:tc>
        <w:tc>
          <w:tcPr>
            <w:tcW w:w="3312" w:type="dxa"/>
            <w:shd w:val="clear" w:color="auto" w:fill="FFFFFF"/>
            <w:tcMar>
              <w:top w:w="90" w:type="dxa"/>
              <w:left w:w="120" w:type="dxa"/>
              <w:bottom w:w="90" w:type="dxa"/>
              <w:right w:w="120" w:type="dxa"/>
            </w:tcMar>
          </w:tcPr>
          <w:p w14:paraId="35323ED9"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30.22%</w:t>
            </w:r>
          </w:p>
        </w:tc>
      </w:tr>
      <w:tr w:rsidR="00A07460" w:rsidRPr="006B1671" w14:paraId="7089ACC3" w14:textId="77777777">
        <w:trPr>
          <w:cantSplit/>
          <w:jc w:val="center"/>
        </w:trPr>
        <w:tc>
          <w:tcPr>
            <w:tcW w:w="1152" w:type="dxa"/>
            <w:shd w:val="clear" w:color="auto" w:fill="F8FAFC"/>
            <w:tcMar>
              <w:top w:w="90" w:type="dxa"/>
              <w:left w:w="120" w:type="dxa"/>
              <w:bottom w:w="90" w:type="dxa"/>
              <w:right w:w="120" w:type="dxa"/>
            </w:tcMar>
          </w:tcPr>
          <w:p w14:paraId="5410B4B1"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2</w:t>
            </w:r>
          </w:p>
        </w:tc>
        <w:tc>
          <w:tcPr>
            <w:tcW w:w="4896" w:type="dxa"/>
            <w:shd w:val="clear" w:color="auto" w:fill="F8FAFC"/>
            <w:tcMar>
              <w:top w:w="90" w:type="dxa"/>
              <w:left w:w="120" w:type="dxa"/>
              <w:bottom w:w="90" w:type="dxa"/>
              <w:right w:w="120" w:type="dxa"/>
            </w:tcMar>
          </w:tcPr>
          <w:p w14:paraId="1FF0C724"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Undergraduate Final Percentage (degree_p)</w:t>
            </w:r>
          </w:p>
        </w:tc>
        <w:tc>
          <w:tcPr>
            <w:tcW w:w="3312" w:type="dxa"/>
            <w:shd w:val="clear" w:color="auto" w:fill="F8FAFC"/>
            <w:tcMar>
              <w:top w:w="90" w:type="dxa"/>
              <w:left w:w="120" w:type="dxa"/>
              <w:bottom w:w="90" w:type="dxa"/>
              <w:right w:w="120" w:type="dxa"/>
            </w:tcMar>
          </w:tcPr>
          <w:p w14:paraId="73146593"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19.87%</w:t>
            </w:r>
          </w:p>
        </w:tc>
      </w:tr>
      <w:tr w:rsidR="00A07460" w:rsidRPr="006B1671" w14:paraId="2D3B0FE8" w14:textId="77777777">
        <w:trPr>
          <w:cantSplit/>
          <w:jc w:val="center"/>
        </w:trPr>
        <w:tc>
          <w:tcPr>
            <w:tcW w:w="1152" w:type="dxa"/>
            <w:shd w:val="clear" w:color="auto" w:fill="FFFFFF"/>
            <w:tcMar>
              <w:top w:w="90" w:type="dxa"/>
              <w:left w:w="120" w:type="dxa"/>
              <w:bottom w:w="90" w:type="dxa"/>
              <w:right w:w="120" w:type="dxa"/>
            </w:tcMar>
          </w:tcPr>
          <w:p w14:paraId="6CB5B87D"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3</w:t>
            </w:r>
          </w:p>
        </w:tc>
        <w:tc>
          <w:tcPr>
            <w:tcW w:w="4896" w:type="dxa"/>
            <w:shd w:val="clear" w:color="auto" w:fill="FFFFFF"/>
            <w:tcMar>
              <w:top w:w="90" w:type="dxa"/>
              <w:left w:w="120" w:type="dxa"/>
              <w:bottom w:w="90" w:type="dxa"/>
              <w:right w:w="120" w:type="dxa"/>
            </w:tcMar>
          </w:tcPr>
          <w:p w14:paraId="127372CC"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Higher Secondary Percentage (hsc_p)</w:t>
            </w:r>
          </w:p>
        </w:tc>
        <w:tc>
          <w:tcPr>
            <w:tcW w:w="3312" w:type="dxa"/>
            <w:shd w:val="clear" w:color="auto" w:fill="FFFFFF"/>
            <w:tcMar>
              <w:top w:w="90" w:type="dxa"/>
              <w:left w:w="120" w:type="dxa"/>
              <w:bottom w:w="90" w:type="dxa"/>
              <w:right w:w="120" w:type="dxa"/>
            </w:tcMar>
          </w:tcPr>
          <w:p w14:paraId="7207B86D"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16.57%</w:t>
            </w:r>
          </w:p>
        </w:tc>
      </w:tr>
      <w:tr w:rsidR="00A07460" w:rsidRPr="006B1671" w14:paraId="608281D5" w14:textId="77777777">
        <w:trPr>
          <w:cantSplit/>
          <w:jc w:val="center"/>
        </w:trPr>
        <w:tc>
          <w:tcPr>
            <w:tcW w:w="1152" w:type="dxa"/>
            <w:shd w:val="clear" w:color="auto" w:fill="F8FAFC"/>
            <w:tcMar>
              <w:top w:w="90" w:type="dxa"/>
              <w:left w:w="120" w:type="dxa"/>
              <w:bottom w:w="90" w:type="dxa"/>
              <w:right w:w="120" w:type="dxa"/>
            </w:tcMar>
          </w:tcPr>
          <w:p w14:paraId="4DDDF6BF"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4</w:t>
            </w:r>
          </w:p>
        </w:tc>
        <w:tc>
          <w:tcPr>
            <w:tcW w:w="4896" w:type="dxa"/>
            <w:shd w:val="clear" w:color="auto" w:fill="F8FAFC"/>
            <w:tcMar>
              <w:top w:w="90" w:type="dxa"/>
              <w:left w:w="120" w:type="dxa"/>
              <w:bottom w:w="90" w:type="dxa"/>
              <w:right w:w="120" w:type="dxa"/>
            </w:tcMar>
          </w:tcPr>
          <w:p w14:paraId="574FD175"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Postgraduate Management Percentage (mba_p)</w:t>
            </w:r>
          </w:p>
        </w:tc>
        <w:tc>
          <w:tcPr>
            <w:tcW w:w="3312" w:type="dxa"/>
            <w:shd w:val="clear" w:color="auto" w:fill="F8FAFC"/>
            <w:tcMar>
              <w:top w:w="90" w:type="dxa"/>
              <w:left w:w="120" w:type="dxa"/>
              <w:bottom w:w="90" w:type="dxa"/>
              <w:right w:w="120" w:type="dxa"/>
            </w:tcMar>
          </w:tcPr>
          <w:p w14:paraId="2C2347B4"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11.06%</w:t>
            </w:r>
          </w:p>
        </w:tc>
      </w:tr>
      <w:tr w:rsidR="00A07460" w:rsidRPr="006B1671" w14:paraId="15626118" w14:textId="77777777">
        <w:trPr>
          <w:cantSplit/>
          <w:jc w:val="center"/>
        </w:trPr>
        <w:tc>
          <w:tcPr>
            <w:tcW w:w="1152" w:type="dxa"/>
            <w:shd w:val="clear" w:color="auto" w:fill="FFFFFF"/>
            <w:tcMar>
              <w:top w:w="90" w:type="dxa"/>
              <w:left w:w="120" w:type="dxa"/>
              <w:bottom w:w="90" w:type="dxa"/>
              <w:right w:w="120" w:type="dxa"/>
            </w:tcMar>
          </w:tcPr>
          <w:p w14:paraId="09BBA020"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5</w:t>
            </w:r>
          </w:p>
        </w:tc>
        <w:tc>
          <w:tcPr>
            <w:tcW w:w="4896" w:type="dxa"/>
            <w:shd w:val="clear" w:color="auto" w:fill="FFFFFF"/>
            <w:tcMar>
              <w:top w:w="90" w:type="dxa"/>
              <w:left w:w="120" w:type="dxa"/>
              <w:bottom w:w="90" w:type="dxa"/>
              <w:right w:w="120" w:type="dxa"/>
            </w:tcMar>
          </w:tcPr>
          <w:p w14:paraId="7DFA93A2"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Employability &amp; Aptitude Score Percentile (etest_p)</w:t>
            </w:r>
          </w:p>
        </w:tc>
        <w:tc>
          <w:tcPr>
            <w:tcW w:w="3312" w:type="dxa"/>
            <w:shd w:val="clear" w:color="auto" w:fill="FFFFFF"/>
            <w:tcMar>
              <w:top w:w="90" w:type="dxa"/>
              <w:left w:w="120" w:type="dxa"/>
              <w:bottom w:w="90" w:type="dxa"/>
              <w:right w:w="120" w:type="dxa"/>
            </w:tcMar>
          </w:tcPr>
          <w:p w14:paraId="10FEADE8"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7.21%</w:t>
            </w:r>
          </w:p>
        </w:tc>
      </w:tr>
      <w:tr w:rsidR="00A07460" w:rsidRPr="006B1671" w14:paraId="72509164" w14:textId="77777777">
        <w:trPr>
          <w:cantSplit/>
          <w:jc w:val="center"/>
        </w:trPr>
        <w:tc>
          <w:tcPr>
            <w:tcW w:w="1152" w:type="dxa"/>
            <w:shd w:val="clear" w:color="auto" w:fill="F8FAFC"/>
            <w:tcMar>
              <w:top w:w="90" w:type="dxa"/>
              <w:left w:w="120" w:type="dxa"/>
              <w:bottom w:w="90" w:type="dxa"/>
              <w:right w:w="120" w:type="dxa"/>
            </w:tcMar>
          </w:tcPr>
          <w:p w14:paraId="7A3397F4"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6</w:t>
            </w:r>
          </w:p>
        </w:tc>
        <w:tc>
          <w:tcPr>
            <w:tcW w:w="4896" w:type="dxa"/>
            <w:shd w:val="clear" w:color="auto" w:fill="F8FAFC"/>
            <w:tcMar>
              <w:top w:w="90" w:type="dxa"/>
              <w:left w:w="120" w:type="dxa"/>
              <w:bottom w:w="90" w:type="dxa"/>
              <w:right w:w="120" w:type="dxa"/>
            </w:tcMar>
          </w:tcPr>
          <w:p w14:paraId="28595B5C"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Prior Formal Work Experience (workex)</w:t>
            </w:r>
          </w:p>
        </w:tc>
        <w:tc>
          <w:tcPr>
            <w:tcW w:w="3312" w:type="dxa"/>
            <w:shd w:val="clear" w:color="auto" w:fill="F8FAFC"/>
            <w:tcMar>
              <w:top w:w="90" w:type="dxa"/>
              <w:left w:w="120" w:type="dxa"/>
              <w:bottom w:w="90" w:type="dxa"/>
              <w:right w:w="120" w:type="dxa"/>
            </w:tcMar>
          </w:tcPr>
          <w:p w14:paraId="0712ABAC"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3.51%</w:t>
            </w:r>
          </w:p>
        </w:tc>
      </w:tr>
      <w:tr w:rsidR="00A07460" w:rsidRPr="006B1671" w14:paraId="5C3D9B28" w14:textId="77777777">
        <w:trPr>
          <w:cantSplit/>
          <w:jc w:val="center"/>
        </w:trPr>
        <w:tc>
          <w:tcPr>
            <w:tcW w:w="1152" w:type="dxa"/>
            <w:shd w:val="clear" w:color="auto" w:fill="FFFFFF"/>
            <w:tcMar>
              <w:top w:w="90" w:type="dxa"/>
              <w:left w:w="120" w:type="dxa"/>
              <w:bottom w:w="90" w:type="dxa"/>
              <w:right w:w="120" w:type="dxa"/>
            </w:tcMar>
          </w:tcPr>
          <w:p w14:paraId="17E6941B"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7</w:t>
            </w:r>
          </w:p>
        </w:tc>
        <w:tc>
          <w:tcPr>
            <w:tcW w:w="4896" w:type="dxa"/>
            <w:shd w:val="clear" w:color="auto" w:fill="FFFFFF"/>
            <w:tcMar>
              <w:top w:w="90" w:type="dxa"/>
              <w:left w:w="120" w:type="dxa"/>
              <w:bottom w:w="90" w:type="dxa"/>
              <w:right w:w="120" w:type="dxa"/>
            </w:tcMar>
          </w:tcPr>
          <w:p w14:paraId="03CC7D25"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Specialization Path Selection (Marketing &amp; HR Focus)</w:t>
            </w:r>
          </w:p>
        </w:tc>
        <w:tc>
          <w:tcPr>
            <w:tcW w:w="3312" w:type="dxa"/>
            <w:shd w:val="clear" w:color="auto" w:fill="FFFFFF"/>
            <w:tcMar>
              <w:top w:w="90" w:type="dxa"/>
              <w:left w:w="120" w:type="dxa"/>
              <w:bottom w:w="90" w:type="dxa"/>
              <w:right w:w="120" w:type="dxa"/>
            </w:tcMar>
          </w:tcPr>
          <w:p w14:paraId="56E9A3CC"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2.75%</w:t>
            </w:r>
          </w:p>
        </w:tc>
      </w:tr>
      <w:tr w:rsidR="00A07460" w:rsidRPr="006B1671" w14:paraId="29BE9DB6" w14:textId="77777777">
        <w:trPr>
          <w:cantSplit/>
          <w:jc w:val="center"/>
        </w:trPr>
        <w:tc>
          <w:tcPr>
            <w:tcW w:w="1152" w:type="dxa"/>
            <w:shd w:val="clear" w:color="auto" w:fill="F8FAFC"/>
            <w:tcMar>
              <w:top w:w="90" w:type="dxa"/>
              <w:left w:w="120" w:type="dxa"/>
              <w:bottom w:w="90" w:type="dxa"/>
              <w:right w:w="120" w:type="dxa"/>
            </w:tcMar>
          </w:tcPr>
          <w:p w14:paraId="42762366" w14:textId="77777777" w:rsidR="00A07460" w:rsidRPr="006B1671" w:rsidRDefault="00000000" w:rsidP="00F23805">
            <w:pPr>
              <w:spacing w:line="360" w:lineRule="auto"/>
              <w:jc w:val="center"/>
              <w:rPr>
                <w:rFonts w:ascii="Times New Roman" w:hAnsi="Times New Roman" w:cs="Times New Roman"/>
                <w:sz w:val="24"/>
                <w:szCs w:val="24"/>
              </w:rPr>
            </w:pPr>
            <w:r w:rsidRPr="006B1671">
              <w:rPr>
                <w:rFonts w:ascii="Times New Roman" w:hAnsi="Times New Roman" w:cs="Times New Roman"/>
                <w:sz w:val="24"/>
                <w:szCs w:val="24"/>
              </w:rPr>
              <w:t>8</w:t>
            </w:r>
          </w:p>
        </w:tc>
        <w:tc>
          <w:tcPr>
            <w:tcW w:w="4896" w:type="dxa"/>
            <w:shd w:val="clear" w:color="auto" w:fill="F8FAFC"/>
            <w:tcMar>
              <w:top w:w="90" w:type="dxa"/>
              <w:left w:w="120" w:type="dxa"/>
              <w:bottom w:w="90" w:type="dxa"/>
              <w:right w:w="120" w:type="dxa"/>
            </w:tcMar>
          </w:tcPr>
          <w:p w14:paraId="4938E00A" w14:textId="77777777" w:rsidR="00A07460" w:rsidRPr="006B1671" w:rsidRDefault="00000000" w:rsidP="00F23805">
            <w:pPr>
              <w:spacing w:line="360" w:lineRule="auto"/>
              <w:rPr>
                <w:rFonts w:ascii="Times New Roman" w:hAnsi="Times New Roman" w:cs="Times New Roman"/>
                <w:sz w:val="24"/>
                <w:szCs w:val="24"/>
              </w:rPr>
            </w:pPr>
            <w:r w:rsidRPr="006B1671">
              <w:rPr>
                <w:rFonts w:ascii="Times New Roman" w:hAnsi="Times New Roman" w:cs="Times New Roman"/>
                <w:sz w:val="24"/>
                <w:szCs w:val="24"/>
              </w:rPr>
              <w:t>Candidate Demographic Gender Label</w:t>
            </w:r>
          </w:p>
        </w:tc>
        <w:tc>
          <w:tcPr>
            <w:tcW w:w="3312" w:type="dxa"/>
            <w:shd w:val="clear" w:color="auto" w:fill="F8FAFC"/>
            <w:tcMar>
              <w:top w:w="90" w:type="dxa"/>
              <w:left w:w="120" w:type="dxa"/>
              <w:bottom w:w="90" w:type="dxa"/>
              <w:right w:w="120" w:type="dxa"/>
            </w:tcMar>
          </w:tcPr>
          <w:p w14:paraId="25F7AD43" w14:textId="77777777" w:rsidR="00A07460" w:rsidRPr="006B1671" w:rsidRDefault="00000000" w:rsidP="00F23805">
            <w:pPr>
              <w:spacing w:line="360" w:lineRule="auto"/>
              <w:jc w:val="right"/>
              <w:rPr>
                <w:rFonts w:ascii="Times New Roman" w:hAnsi="Times New Roman" w:cs="Times New Roman"/>
                <w:sz w:val="24"/>
                <w:szCs w:val="24"/>
              </w:rPr>
            </w:pPr>
            <w:r w:rsidRPr="006B1671">
              <w:rPr>
                <w:rFonts w:ascii="Times New Roman" w:hAnsi="Times New Roman" w:cs="Times New Roman"/>
                <w:b/>
                <w:color w:val="1E3A8A"/>
                <w:sz w:val="24"/>
                <w:szCs w:val="24"/>
              </w:rPr>
              <w:t>1.95%</w:t>
            </w:r>
          </w:p>
        </w:tc>
      </w:tr>
    </w:tbl>
    <w:p w14:paraId="10B515B4" w14:textId="77777777" w:rsidR="00A07460" w:rsidRPr="006B1671" w:rsidRDefault="00A07460" w:rsidP="00F23805">
      <w:pPr>
        <w:spacing w:line="360" w:lineRule="auto"/>
        <w:rPr>
          <w:rFonts w:ascii="Times New Roman" w:hAnsi="Times New Roman" w:cs="Times New Roman"/>
          <w:sz w:val="24"/>
          <w:szCs w:val="24"/>
        </w:rPr>
      </w:pPr>
    </w:p>
    <w:tbl>
      <w:tblPr>
        <w:tblW w:w="0" w:type="auto"/>
        <w:jc w:val="center"/>
        <w:tblLook w:val="04A0" w:firstRow="1" w:lastRow="0" w:firstColumn="1" w:lastColumn="0" w:noHBand="0" w:noVBand="1"/>
      </w:tblPr>
      <w:tblGrid>
        <w:gridCol w:w="9360"/>
      </w:tblGrid>
      <w:tr w:rsidR="00A07460" w:rsidRPr="006B1671" w14:paraId="56694856" w14:textId="77777777">
        <w:trPr>
          <w:cantSplit/>
          <w:jc w:val="center"/>
        </w:trPr>
        <w:tc>
          <w:tcPr>
            <w:tcW w:w="9360" w:type="dxa"/>
            <w:shd w:val="clear" w:color="auto" w:fill="F0FDF4"/>
            <w:tcMar>
              <w:top w:w="140" w:type="dxa"/>
              <w:left w:w="160" w:type="dxa"/>
              <w:bottom w:w="140" w:type="dxa"/>
              <w:right w:w="160" w:type="dxa"/>
            </w:tcMar>
          </w:tcPr>
          <w:p w14:paraId="0E0E51EA" w14:textId="77777777" w:rsidR="00A07460" w:rsidRPr="006B1671" w:rsidRDefault="00000000" w:rsidP="00F23805">
            <w:pPr>
              <w:spacing w:after="80" w:line="360" w:lineRule="auto"/>
              <w:rPr>
                <w:rFonts w:ascii="Times New Roman" w:hAnsi="Times New Roman" w:cs="Times New Roman"/>
                <w:sz w:val="24"/>
                <w:szCs w:val="24"/>
              </w:rPr>
            </w:pPr>
            <w:r w:rsidRPr="006B1671">
              <w:rPr>
                <w:rFonts w:ascii="Times New Roman" w:hAnsi="Times New Roman" w:cs="Times New Roman"/>
                <w:b/>
                <w:color w:val="14532D"/>
                <w:sz w:val="24"/>
                <w:szCs w:val="24"/>
              </w:rPr>
              <w:t xml:space="preserve">Operational Insight: </w:t>
            </w:r>
            <w:r w:rsidRPr="006B1671">
              <w:rPr>
                <w:rFonts w:ascii="Times New Roman" w:hAnsi="Times New Roman" w:cs="Times New Roman"/>
                <w:sz w:val="24"/>
                <w:szCs w:val="24"/>
              </w:rPr>
              <w:t>Cumulatively, early academic milestones (ssc_p, degree_p, hsc_p) control over 66.6% of the model's predictive power. This proves that recruiters heavily weight consistent long-term academic tracking over short-term aptitude testing percentiles or demographic indicators.</w:t>
            </w:r>
          </w:p>
        </w:tc>
      </w:tr>
    </w:tbl>
    <w:p w14:paraId="2008EC47" w14:textId="77777777" w:rsidR="00A07460" w:rsidRPr="006B1671" w:rsidRDefault="00A07460" w:rsidP="00F23805">
      <w:pPr>
        <w:spacing w:line="360" w:lineRule="auto"/>
        <w:rPr>
          <w:rFonts w:ascii="Times New Roman" w:hAnsi="Times New Roman" w:cs="Times New Roman"/>
          <w:sz w:val="24"/>
          <w:szCs w:val="24"/>
        </w:rPr>
      </w:pPr>
    </w:p>
    <w:p w14:paraId="115D1BE3" w14:textId="075C010B" w:rsidR="00A07460" w:rsidRPr="006B1671" w:rsidRDefault="00000000" w:rsidP="00F23805">
      <w:pPr>
        <w:keepNext/>
        <w:spacing w:before="320" w:after="120" w:line="360" w:lineRule="auto"/>
        <w:rPr>
          <w:rFonts w:ascii="Times New Roman" w:hAnsi="Times New Roman" w:cs="Times New Roman"/>
          <w:sz w:val="24"/>
          <w:szCs w:val="24"/>
        </w:rPr>
      </w:pPr>
      <w:r w:rsidRPr="006B1671">
        <w:rPr>
          <w:rFonts w:ascii="Times New Roman" w:hAnsi="Times New Roman" w:cs="Times New Roman"/>
          <w:b/>
          <w:color w:val="2563EB"/>
          <w:sz w:val="24"/>
          <w:szCs w:val="24"/>
        </w:rPr>
        <w:t>Framework Integration and Ecosystem Architecture</w:t>
      </w:r>
    </w:p>
    <w:p w14:paraId="3C03A0DE"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architectural deployment establishes a highly integrated ecosystem. The user interaction layer is served via a Streamlit UI presenting a three-tier execution panel: Predictor Matrix, Real-</w:t>
      </w:r>
      <w:r w:rsidRPr="006B1671">
        <w:rPr>
          <w:rFonts w:ascii="Times New Roman" w:hAnsi="Times New Roman" w:cs="Times New Roman"/>
          <w:sz w:val="24"/>
          <w:szCs w:val="24"/>
        </w:rPr>
        <w:lastRenderedPageBreak/>
        <w:t>Time Analytics, and AI Counselor. This is coupled to a high-throughput Flask web server running cross-origin resource filters (CORS).</w:t>
      </w:r>
    </w:p>
    <w:p w14:paraId="723F3079" w14:textId="77777777" w:rsidR="00A07460"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Analytics tab ingests live job openings utilizing The Muse API framework, offering students immediate context regarding technical roles available within regional tech clusters. To bypass rigid algorithmic limits, the Counselor tab embeds a Google Gemini API integration, shifting queries dynamically to a localized context agent when no API key is present. This architecture delivers instantaneous, automated support regarding complex regional issues, such as fee tiers (₹80K–1L/year via KCET vs. ₹2.5–3L/year via COMEDK) and rank cutoffs for elite local colleges like RVCE, BMSCE, and MSRIT.</w:t>
      </w:r>
    </w:p>
    <w:p w14:paraId="63F53674" w14:textId="77777777" w:rsidR="00F23805" w:rsidRPr="006B1671" w:rsidRDefault="00F23805" w:rsidP="00F23805">
      <w:pPr>
        <w:spacing w:after="160" w:line="360" w:lineRule="auto"/>
        <w:rPr>
          <w:rFonts w:ascii="Times New Roman" w:hAnsi="Times New Roman" w:cs="Times New Roman"/>
          <w:sz w:val="24"/>
          <w:szCs w:val="24"/>
        </w:rPr>
      </w:pPr>
    </w:p>
    <w:p w14:paraId="7D338B43" w14:textId="42E5C555" w:rsidR="00A07460" w:rsidRPr="00F23805" w:rsidRDefault="00000000" w:rsidP="00F23805">
      <w:pPr>
        <w:keepNext/>
        <w:spacing w:before="480" w:after="240" w:line="360" w:lineRule="auto"/>
        <w:rPr>
          <w:rFonts w:ascii="Times New Roman" w:hAnsi="Times New Roman" w:cs="Times New Roman"/>
          <w:color w:val="000000" w:themeColor="text1"/>
          <w:sz w:val="36"/>
          <w:szCs w:val="36"/>
        </w:rPr>
      </w:pPr>
      <w:r w:rsidRPr="00F23805">
        <w:rPr>
          <w:rFonts w:ascii="Times New Roman" w:hAnsi="Times New Roman" w:cs="Times New Roman"/>
          <w:b/>
          <w:color w:val="000000" w:themeColor="text1"/>
          <w:sz w:val="36"/>
          <w:szCs w:val="36"/>
        </w:rPr>
        <w:t>Conclusion</w:t>
      </w:r>
    </w:p>
    <w:p w14:paraId="3D728C8A"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implementation of the AI Placement Engine (Bengaluru Edition) demonstrates that machine learning models can accurately predict campus recruitment outcomes and salary tiers. By combining historical academic profiles with regional data modifiers (such as admission paths and engineering branch weightings), the system successfully transforms raw institutional data into active, forward-looking insights.</w:t>
      </w:r>
    </w:p>
    <w:p w14:paraId="6E866611" w14:textId="77777777" w:rsidR="00A07460"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Methodologically, the predictive superiority of historical marks over isolated aptitude testing emphasizes the need for continuous student support from early academic stages. From a system architecture perspective, combining a lightweight Flask microservice with an analytical Streamlit web interface creates an elegant, highly scalable tool for academic settings. Ultimately, this framework provides career development cells with a robust, automated methodology to eliminate information gaps, optimize institutional resource allocation, and strategically enhance graduate employment outcomes.</w:t>
      </w:r>
    </w:p>
    <w:p w14:paraId="22298786" w14:textId="77777777" w:rsidR="00F23805" w:rsidRPr="006B1671" w:rsidRDefault="00F23805" w:rsidP="00F23805">
      <w:pPr>
        <w:spacing w:after="160" w:line="360" w:lineRule="auto"/>
        <w:rPr>
          <w:rFonts w:ascii="Times New Roman" w:hAnsi="Times New Roman" w:cs="Times New Roman"/>
          <w:sz w:val="24"/>
          <w:szCs w:val="24"/>
        </w:rPr>
      </w:pPr>
    </w:p>
    <w:p w14:paraId="35069582" w14:textId="5567B787" w:rsidR="00A07460" w:rsidRPr="00F23805" w:rsidRDefault="00000000" w:rsidP="00F23805">
      <w:pPr>
        <w:keepNext/>
        <w:spacing w:before="480" w:after="240" w:line="360" w:lineRule="auto"/>
        <w:rPr>
          <w:rFonts w:ascii="Times New Roman" w:hAnsi="Times New Roman" w:cs="Times New Roman"/>
          <w:color w:val="000000" w:themeColor="text1"/>
          <w:sz w:val="36"/>
          <w:szCs w:val="36"/>
        </w:rPr>
      </w:pPr>
      <w:r w:rsidRPr="00F23805">
        <w:rPr>
          <w:rFonts w:ascii="Times New Roman" w:hAnsi="Times New Roman" w:cs="Times New Roman"/>
          <w:b/>
          <w:color w:val="000000" w:themeColor="text1"/>
          <w:sz w:val="36"/>
          <w:szCs w:val="36"/>
        </w:rPr>
        <w:lastRenderedPageBreak/>
        <w:t>Limitations</w:t>
      </w:r>
    </w:p>
    <w:p w14:paraId="58A27577"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Despite demonstrating high statistical validation scores, several core technical limitations must be acknowledged to guide appropriate institutional interpretation:</w:t>
      </w:r>
    </w:p>
    <w:p w14:paraId="6B813CE1"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Sample Set Dimensionality Limits: </w:t>
      </w:r>
      <w:r w:rsidRPr="006B1671">
        <w:rPr>
          <w:rFonts w:ascii="Times New Roman" w:hAnsi="Times New Roman" w:cs="Times New Roman"/>
          <w:sz w:val="24"/>
          <w:szCs w:val="24"/>
        </w:rPr>
        <w:t>The underlying dataset is restricted to 215 unique student records. This thin footprint can amplify structural biases and lead to overfitting when processing extreme outlier profiles, such as highly atypical academic trajectories.</w:t>
      </w:r>
    </w:p>
    <w:p w14:paraId="58097E18" w14:textId="77777777" w:rsidR="00A07460" w:rsidRPr="006B1671"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Absence of Multi-Dimensional Qualitative Vectors: </w:t>
      </w:r>
      <w:r w:rsidRPr="006B1671">
        <w:rPr>
          <w:rFonts w:ascii="Times New Roman" w:hAnsi="Times New Roman" w:cs="Times New Roman"/>
          <w:sz w:val="24"/>
          <w:szCs w:val="24"/>
        </w:rPr>
        <w:t>The classification matrix relies exclusively on structured numeric records. It lacks fields to capture critical qualitative indicators, including technical portfolio depth, GitHub repository activity, hackathon rankings, or communication skills evaluated during mock interviews.</w:t>
      </w:r>
    </w:p>
    <w:p w14:paraId="7F375062" w14:textId="77777777" w:rsidR="00A07460" w:rsidRDefault="00000000" w:rsidP="00F23805">
      <w:pPr>
        <w:pStyle w:val="ListBullet"/>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Geographic and Temporal Bias: </w:t>
      </w:r>
      <w:r w:rsidRPr="006B1671">
        <w:rPr>
          <w:rFonts w:ascii="Times New Roman" w:hAnsi="Times New Roman" w:cs="Times New Roman"/>
          <w:sz w:val="24"/>
          <w:szCs w:val="24"/>
        </w:rPr>
        <w:t>The custom post-modeling multiplier layer is heavily optimized for Bengaluru's technology market conditions as of 2026. Consequently, the engine cannot be deployed in other educational zones or distinct industrial sectors without thoroughly recalibrating the underlying weights and compensation constants.</w:t>
      </w:r>
    </w:p>
    <w:p w14:paraId="334228D9" w14:textId="77777777" w:rsidR="00F23805" w:rsidRPr="006B1671" w:rsidRDefault="00F23805" w:rsidP="00F23805">
      <w:pPr>
        <w:pStyle w:val="ListBullet"/>
        <w:numPr>
          <w:ilvl w:val="0"/>
          <w:numId w:val="0"/>
        </w:numPr>
        <w:spacing w:line="360" w:lineRule="auto"/>
        <w:ind w:left="360"/>
        <w:rPr>
          <w:rFonts w:ascii="Times New Roman" w:hAnsi="Times New Roman" w:cs="Times New Roman"/>
          <w:sz w:val="24"/>
          <w:szCs w:val="24"/>
        </w:rPr>
      </w:pPr>
    </w:p>
    <w:p w14:paraId="0813AE80" w14:textId="1669E5A3" w:rsidR="00A07460" w:rsidRPr="00F23805" w:rsidRDefault="00000000" w:rsidP="00F23805">
      <w:pPr>
        <w:keepNext/>
        <w:spacing w:before="480" w:after="240" w:line="360" w:lineRule="auto"/>
        <w:rPr>
          <w:rFonts w:ascii="Times New Roman" w:hAnsi="Times New Roman" w:cs="Times New Roman"/>
          <w:color w:val="000000" w:themeColor="text1"/>
          <w:sz w:val="36"/>
          <w:szCs w:val="36"/>
        </w:rPr>
      </w:pPr>
      <w:r w:rsidRPr="00F23805">
        <w:rPr>
          <w:rFonts w:ascii="Times New Roman" w:hAnsi="Times New Roman" w:cs="Times New Roman"/>
          <w:b/>
          <w:color w:val="000000" w:themeColor="text1"/>
          <w:sz w:val="36"/>
          <w:szCs w:val="36"/>
        </w:rPr>
        <w:t>Future Scope</w:t>
      </w:r>
    </w:p>
    <w:p w14:paraId="761A1161" w14:textId="77777777" w:rsidR="00A07460" w:rsidRPr="006B1671" w:rsidRDefault="00000000" w:rsidP="00F23805">
      <w:pPr>
        <w:spacing w:after="160" w:line="360" w:lineRule="auto"/>
        <w:rPr>
          <w:rFonts w:ascii="Times New Roman" w:hAnsi="Times New Roman" w:cs="Times New Roman"/>
          <w:sz w:val="24"/>
          <w:szCs w:val="24"/>
        </w:rPr>
      </w:pPr>
      <w:r w:rsidRPr="006B1671">
        <w:rPr>
          <w:rFonts w:ascii="Times New Roman" w:hAnsi="Times New Roman" w:cs="Times New Roman"/>
          <w:sz w:val="24"/>
          <w:szCs w:val="24"/>
        </w:rPr>
        <w:t>The roadmap for subsequent iterations aims to expand the system into a comprehensive enterprise platform by pursuing several key enhancements:</w:t>
      </w:r>
    </w:p>
    <w:p w14:paraId="6119AEDF" w14:textId="77777777" w:rsidR="00A07460" w:rsidRPr="006B1671"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Automated Profile Parsing via Natural Language Processing (NLP): </w:t>
      </w:r>
      <w:r w:rsidRPr="006B1671">
        <w:rPr>
          <w:rFonts w:ascii="Times New Roman" w:hAnsi="Times New Roman" w:cs="Times New Roman"/>
          <w:sz w:val="24"/>
          <w:szCs w:val="24"/>
        </w:rPr>
        <w:t>Future versions will replace manual data entry with advanced parsing pipelines capable of extracting academic performance, core skill matrices, and project histories directly from student resume documents and LinkedIn profiles.</w:t>
      </w:r>
    </w:p>
    <w:p w14:paraId="31568BF0" w14:textId="77777777" w:rsidR="00A07460" w:rsidRPr="006B1671"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Dynamic Geographic Adjustment Matrix: </w:t>
      </w:r>
      <w:r w:rsidRPr="006B1671">
        <w:rPr>
          <w:rFonts w:ascii="Times New Roman" w:hAnsi="Times New Roman" w:cs="Times New Roman"/>
          <w:sz w:val="24"/>
          <w:szCs w:val="24"/>
        </w:rPr>
        <w:t>The system will replace static compensation modifiers with a real-time economic tracking matrix that automatically adjusts salary predictions based on regional living costs and localized hiring trends across major tech hubs.</w:t>
      </w:r>
    </w:p>
    <w:p w14:paraId="60433161" w14:textId="68955C08" w:rsidR="00A07460"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b/>
          <w:sz w:val="24"/>
          <w:szCs w:val="24"/>
        </w:rPr>
        <w:t xml:space="preserve">Advanced Deep Learning Implementations: </w:t>
      </w:r>
      <w:r w:rsidRPr="006B1671">
        <w:rPr>
          <w:rFonts w:ascii="Times New Roman" w:hAnsi="Times New Roman" w:cs="Times New Roman"/>
          <w:sz w:val="24"/>
          <w:szCs w:val="24"/>
        </w:rPr>
        <w:t xml:space="preserve">The core machine learning algorithms will be updated to deep neural networks engineered for multi-label classification. This will allow the </w:t>
      </w:r>
      <w:r w:rsidRPr="006B1671">
        <w:rPr>
          <w:rFonts w:ascii="Times New Roman" w:hAnsi="Times New Roman" w:cs="Times New Roman"/>
          <w:sz w:val="24"/>
          <w:szCs w:val="24"/>
        </w:rPr>
        <w:lastRenderedPageBreak/>
        <w:t>engine to simultaneously predict placement probability and suggest optimal career paths, such as DevOps, Full-Stack development, or Data Engineering.</w:t>
      </w:r>
    </w:p>
    <w:p w14:paraId="002A4172" w14:textId="77777777" w:rsidR="00F23805" w:rsidRPr="006B1671" w:rsidRDefault="00F23805" w:rsidP="00F23805">
      <w:pPr>
        <w:pStyle w:val="ListNumber"/>
        <w:numPr>
          <w:ilvl w:val="0"/>
          <w:numId w:val="0"/>
        </w:numPr>
        <w:spacing w:line="360" w:lineRule="auto"/>
        <w:ind w:left="360"/>
        <w:rPr>
          <w:rFonts w:ascii="Times New Roman" w:hAnsi="Times New Roman" w:cs="Times New Roman"/>
          <w:sz w:val="24"/>
          <w:szCs w:val="24"/>
        </w:rPr>
      </w:pPr>
    </w:p>
    <w:p w14:paraId="0CCA431D" w14:textId="44F88FC0" w:rsidR="00A07460" w:rsidRPr="00F23805" w:rsidRDefault="00000000" w:rsidP="00F23805">
      <w:pPr>
        <w:keepNext/>
        <w:spacing w:before="480" w:after="240" w:line="360" w:lineRule="auto"/>
        <w:rPr>
          <w:rFonts w:ascii="Times New Roman" w:hAnsi="Times New Roman" w:cs="Times New Roman"/>
          <w:color w:val="000000" w:themeColor="text1"/>
          <w:sz w:val="36"/>
          <w:szCs w:val="36"/>
        </w:rPr>
      </w:pPr>
      <w:r w:rsidRPr="00F23805">
        <w:rPr>
          <w:rFonts w:ascii="Times New Roman" w:hAnsi="Times New Roman" w:cs="Times New Roman"/>
          <w:b/>
          <w:color w:val="000000" w:themeColor="text1"/>
          <w:sz w:val="36"/>
          <w:szCs w:val="36"/>
        </w:rPr>
        <w:t>References</w:t>
      </w:r>
    </w:p>
    <w:p w14:paraId="467D6017" w14:textId="77777777" w:rsidR="00A07460" w:rsidRPr="006B1671"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sz w:val="24"/>
          <w:szCs w:val="24"/>
        </w:rPr>
        <w:t>Pedregosa, F. et al. (2011). "Scikit-learn: Machine Learning in Python." Journal of Machine Learning Research, 12, 2825-2830.</w:t>
      </w:r>
    </w:p>
    <w:p w14:paraId="52DC20CE" w14:textId="77777777" w:rsidR="00A07460" w:rsidRPr="006B1671"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sz w:val="24"/>
          <w:szCs w:val="24"/>
        </w:rPr>
        <w:t>Streamlit Open-Source Development Documentation (2025). "Advanced Interface Controls and State Maintenance Frameworks for Business Intelligence Applications."</w:t>
      </w:r>
    </w:p>
    <w:p w14:paraId="61E35F7E" w14:textId="77777777" w:rsidR="00A07460" w:rsidRPr="006B1671"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sz w:val="24"/>
          <w:szCs w:val="24"/>
        </w:rPr>
        <w:t>Grinberg, M. (2018). "Flask Web Development: Developing Web Applications with Python." O'Reilly Media.</w:t>
      </w:r>
    </w:p>
    <w:p w14:paraId="6AD34AC0" w14:textId="77777777" w:rsidR="00A07460" w:rsidRPr="006B1671"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sz w:val="24"/>
          <w:szCs w:val="24"/>
        </w:rPr>
        <w:t>Google Generative AI Developers Reference (2026). "Gemini Pro API Integration Protocols and Structural Prompt Engineering for Contextual Chat Implementation."</w:t>
      </w:r>
    </w:p>
    <w:p w14:paraId="46E789C2" w14:textId="77777777" w:rsidR="00A07460" w:rsidRPr="006B1671" w:rsidRDefault="00000000" w:rsidP="00F23805">
      <w:pPr>
        <w:pStyle w:val="ListNumber"/>
        <w:spacing w:line="360" w:lineRule="auto"/>
        <w:rPr>
          <w:rFonts w:ascii="Times New Roman" w:hAnsi="Times New Roman" w:cs="Times New Roman"/>
          <w:sz w:val="24"/>
          <w:szCs w:val="24"/>
        </w:rPr>
      </w:pPr>
      <w:r w:rsidRPr="006B1671">
        <w:rPr>
          <w:rFonts w:ascii="Times New Roman" w:hAnsi="Times New Roman" w:cs="Times New Roman"/>
          <w:sz w:val="24"/>
          <w:szCs w:val="24"/>
        </w:rPr>
        <w:t>Karnataka Examination Authority (KEA) &amp; COMEDK Structural Archives (2025). "Statistical Review of Placement Performance, Seat Allocation Metrics, and Fee Tier Realities across Elite Technical Institutions in Bengaluru."</w:t>
      </w:r>
    </w:p>
    <w:sectPr w:rsidR="00A07460" w:rsidRPr="006B1671" w:rsidSect="00034616">
      <w:footerReference w:type="default" r:id="rId10"/>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D7CCE2" w14:textId="77777777" w:rsidR="00967A27" w:rsidRDefault="00967A27" w:rsidP="00F23805">
      <w:pPr>
        <w:spacing w:after="0" w:line="240" w:lineRule="auto"/>
      </w:pPr>
      <w:r>
        <w:separator/>
      </w:r>
    </w:p>
  </w:endnote>
  <w:endnote w:type="continuationSeparator" w:id="0">
    <w:p w14:paraId="2458AAF9" w14:textId="77777777" w:rsidR="00967A27" w:rsidRDefault="00967A27" w:rsidP="00F2380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D065C" w14:textId="77777777" w:rsidR="00F23805" w:rsidRDefault="00F23805">
    <w:pPr>
      <w:pStyle w:val="Footer"/>
      <w:tabs>
        <w:tab w:val="clear" w:pos="4680"/>
        <w:tab w:val="clear" w:pos="9360"/>
      </w:tabs>
      <w:jc w:val="center"/>
      <w:rPr>
        <w:caps/>
        <w:noProof/>
        <w:color w:val="4F81BD" w:themeColor="accent1"/>
      </w:rPr>
    </w:pPr>
    <w:r>
      <w:rPr>
        <w:caps/>
        <w:color w:val="4F81BD" w:themeColor="accent1"/>
      </w:rPr>
      <w:fldChar w:fldCharType="begin"/>
    </w:r>
    <w:r>
      <w:rPr>
        <w:caps/>
        <w:color w:val="4F81BD" w:themeColor="accent1"/>
      </w:rPr>
      <w:instrText xml:space="preserve"> PAGE   \* MERGEFORMAT </w:instrText>
    </w:r>
    <w:r>
      <w:rPr>
        <w:caps/>
        <w:color w:val="4F81BD" w:themeColor="accent1"/>
      </w:rPr>
      <w:fldChar w:fldCharType="separate"/>
    </w:r>
    <w:r>
      <w:rPr>
        <w:caps/>
        <w:noProof/>
        <w:color w:val="4F81BD" w:themeColor="accent1"/>
      </w:rPr>
      <w:t>2</w:t>
    </w:r>
    <w:r>
      <w:rPr>
        <w:caps/>
        <w:noProof/>
        <w:color w:val="4F81BD" w:themeColor="accent1"/>
      </w:rPr>
      <w:fldChar w:fldCharType="end"/>
    </w:r>
  </w:p>
  <w:p w14:paraId="6D88C16F" w14:textId="77777777" w:rsidR="006B1671" w:rsidRDefault="006B1671">
    <w:pPr>
      <w:pBdr>
        <w:top w:val="nil"/>
        <w:left w:val="nil"/>
        <w:bottom w:val="nil"/>
        <w:right w:val="nil"/>
        <w:between w:val="nil"/>
      </w:pBdr>
      <w:tabs>
        <w:tab w:val="center" w:pos="4513"/>
        <w:tab w:val="right" w:pos="9026"/>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6C409" w14:textId="77777777" w:rsidR="00F23805" w:rsidRDefault="00F23805">
    <w:pPr>
      <w:pBdr>
        <w:top w:val="nil"/>
        <w:left w:val="nil"/>
        <w:bottom w:val="nil"/>
        <w:right w:val="nil"/>
        <w:between w:val="nil"/>
      </w:pBdr>
      <w:tabs>
        <w:tab w:val="center" w:pos="4513"/>
        <w:tab w:val="right" w:pos="9026"/>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04D831" w14:textId="77777777" w:rsidR="00967A27" w:rsidRDefault="00967A27" w:rsidP="00F23805">
      <w:pPr>
        <w:spacing w:after="0" w:line="240" w:lineRule="auto"/>
      </w:pPr>
      <w:r>
        <w:separator/>
      </w:r>
    </w:p>
  </w:footnote>
  <w:footnote w:type="continuationSeparator" w:id="0">
    <w:p w14:paraId="59DAD2B7" w14:textId="77777777" w:rsidR="00967A27" w:rsidRDefault="00967A27" w:rsidP="00F2380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64119761">
    <w:abstractNumId w:val="8"/>
  </w:num>
  <w:num w:numId="2" w16cid:durableId="1684934606">
    <w:abstractNumId w:val="6"/>
  </w:num>
  <w:num w:numId="3" w16cid:durableId="879825292">
    <w:abstractNumId w:val="5"/>
  </w:num>
  <w:num w:numId="4" w16cid:durableId="1127776026">
    <w:abstractNumId w:val="4"/>
  </w:num>
  <w:num w:numId="5" w16cid:durableId="663363244">
    <w:abstractNumId w:val="7"/>
  </w:num>
  <w:num w:numId="6" w16cid:durableId="2060199833">
    <w:abstractNumId w:val="3"/>
  </w:num>
  <w:num w:numId="7" w16cid:durableId="854268854">
    <w:abstractNumId w:val="2"/>
  </w:num>
  <w:num w:numId="8" w16cid:durableId="783963751">
    <w:abstractNumId w:val="1"/>
  </w:num>
  <w:num w:numId="9" w16cid:durableId="259131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55CA7"/>
    <w:rsid w:val="002607C1"/>
    <w:rsid w:val="0029639D"/>
    <w:rsid w:val="00326F90"/>
    <w:rsid w:val="00350149"/>
    <w:rsid w:val="00585FCF"/>
    <w:rsid w:val="006B1671"/>
    <w:rsid w:val="00967A27"/>
    <w:rsid w:val="00A07460"/>
    <w:rsid w:val="00AA1D8D"/>
    <w:rsid w:val="00B47730"/>
    <w:rsid w:val="00CB0664"/>
    <w:rsid w:val="00E37550"/>
    <w:rsid w:val="00F23805"/>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1548F33"/>
  <w14:defaultImageDpi w14:val="300"/>
  <w15:docId w15:val="{936F541E-5822-40C0-9F29-A61E7C1A9D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color w:val="0F172A"/>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13</Pages>
  <Words>2502</Words>
  <Characters>14268</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Veerendra Desai</cp:lastModifiedBy>
  <cp:revision>2</cp:revision>
  <dcterms:created xsi:type="dcterms:W3CDTF">2026-05-18T09:29:00Z</dcterms:created>
  <dcterms:modified xsi:type="dcterms:W3CDTF">2026-05-18T09:29:00Z</dcterms:modified>
  <cp:category/>
</cp:coreProperties>
</file>