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outlineLvl w:val="0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  <w:bookmarkStart w:id="0" w:name="_Toc4705"/>
      <w:bookmarkStart w:id="1" w:name="_Toc13419"/>
      <w:r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  <w:t>校园二手交易平台管理系统</w:t>
      </w:r>
      <w:bookmarkEnd w:id="0"/>
      <w:bookmarkEnd w:id="1"/>
    </w:p>
    <w:p>
      <w:pPr>
        <w:widowControl/>
        <w:jc w:val="center"/>
        <w:outlineLvl w:val="0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  <w:bookmarkStart w:id="2" w:name="_Toc7743"/>
      <w:bookmarkStart w:id="3" w:name="_Toc9381"/>
      <w:r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  <w:t>需求规格说明书</w:t>
      </w:r>
      <w:bookmarkEnd w:id="2"/>
      <w:bookmarkEnd w:id="3"/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jc w:val="center"/>
        <w:rPr>
          <w:rFonts w:hint="eastAsia" w:ascii="宋体" w:hAnsi="宋体" w:eastAsia="宋体" w:cs="宋体"/>
          <w:b/>
          <w:bCs/>
          <w:color w:val="333333"/>
          <w:sz w:val="52"/>
          <w:szCs w:val="52"/>
          <w:shd w:val="clear" w:color="auto" w:fill="FFFFFF"/>
        </w:rPr>
      </w:pPr>
    </w:p>
    <w:p>
      <w:pPr>
        <w:widowControl/>
        <w:rPr>
          <w:rFonts w:hint="eastAsia" w:ascii="宋体" w:hAnsi="宋体" w:eastAsia="宋体" w:cs="宋体"/>
          <w:bCs/>
          <w:color w:val="333333"/>
          <w:szCs w:val="52"/>
          <w:shd w:val="clear" w:color="auto" w:fill="FFFFFF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/>
        </w:rPr>
        <w:id w:val="147467576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bCs/>
          <w:color w:val="333333"/>
          <w:szCs w:val="32"/>
          <w:shd w:val="clear" w:color="auto" w:fill="FFFFFF"/>
        </w:rPr>
      </w:sdtEndPr>
      <w:sdtContent>
        <w:p>
          <w:pPr>
            <w:jc w:val="center"/>
          </w:pPr>
          <w:bookmarkStart w:id="4" w:name="_Toc15027"/>
          <w:r>
            <w:rPr>
              <w:rFonts w:ascii="宋体" w:hAnsi="宋体" w:eastAsia="宋体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/>
              <w:b/>
              <w:bCs/>
              <w:color w:val="333333"/>
              <w:kern w:val="2"/>
              <w:sz w:val="32"/>
              <w:szCs w:val="32"/>
              <w:shd w:val="clear" w:color="auto" w:fill="FFFFFF"/>
              <w:lang w:val="en-US"/>
            </w:rPr>
            <w:fldChar w:fldCharType="begin"/>
          </w:r>
          <w:r>
            <w:rPr>
              <w:rFonts w:hint="eastAsia"/>
              <w:b/>
              <w:bCs/>
              <w:color w:val="333333"/>
              <w:kern w:val="2"/>
              <w:sz w:val="32"/>
              <w:szCs w:val="32"/>
              <w:shd w:val="clear" w:color="auto" w:fill="FFFFFF"/>
              <w:lang w:val="en-US"/>
            </w:rPr>
            <w:instrText xml:space="preserve">TOC \o "1-3" \h \u </w:instrText>
          </w:r>
          <w:r>
            <w:rPr>
              <w:rFonts w:hint="eastAsia"/>
              <w:b/>
              <w:bCs/>
              <w:color w:val="333333"/>
              <w:kern w:val="2"/>
              <w:sz w:val="32"/>
              <w:szCs w:val="32"/>
              <w:shd w:val="clear" w:color="auto" w:fill="FFFFFF"/>
              <w:lang w:val="en-US"/>
            </w:rPr>
            <w:fldChar w:fldCharType="separate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"_Toc32553" </w:instrText>
          </w:r>
          <w:r>
            <w:fldChar w:fldCharType="separate"/>
          </w:r>
          <w:r>
            <w:rPr>
              <w:rFonts w:hint="eastAsia"/>
              <w:bCs/>
              <w:kern w:val="2"/>
              <w:szCs w:val="32"/>
              <w:shd w:val="clear" w:color="auto" w:fill="FFFFFF"/>
              <w:lang w:val="en-US"/>
            </w:rPr>
            <w:t>一、</w:t>
          </w:r>
          <w:r>
            <w:rPr>
              <w:rFonts w:hint="eastAsia"/>
              <w:bCs/>
              <w:szCs w:val="32"/>
              <w:shd w:val="clear" w:color="auto" w:fill="FFFFFF"/>
              <w:lang w:val="en-US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_Toc32553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"_Toc13802" </w:instrText>
          </w:r>
          <w:r>
            <w:fldChar w:fldCharType="separate"/>
          </w:r>
          <w:r>
            <w:rPr>
              <w:rFonts w:hint="eastAsia"/>
              <w:bCs/>
              <w:szCs w:val="22"/>
              <w:shd w:val="clear" w:color="auto" w:fill="FFFFFF"/>
              <w:lang w:val="en-US"/>
            </w:rPr>
            <w:t>（一） 文档介绍</w:t>
          </w:r>
          <w:r>
            <w:tab/>
          </w:r>
          <w:r>
            <w:fldChar w:fldCharType="begin"/>
          </w:r>
          <w:r>
            <w:instrText xml:space="preserve"> PAGEREF _Toc13802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"_Toc28007" </w:instrText>
          </w:r>
          <w:r>
            <w:fldChar w:fldCharType="separate"/>
          </w:r>
          <w:r>
            <w:rPr>
              <w:rFonts w:hint="eastAsia"/>
              <w:bCs/>
              <w:szCs w:val="22"/>
              <w:shd w:val="clear" w:color="auto" w:fill="FFFFFF"/>
              <w:lang w:val="en-US"/>
            </w:rPr>
            <w:t>（二） 项目灵感</w:t>
          </w:r>
          <w:r>
            <w:tab/>
          </w:r>
          <w:r>
            <w:fldChar w:fldCharType="begin"/>
          </w:r>
          <w:r>
            <w:instrText xml:space="preserve"> PAGEREF _Toc28007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"_Toc32343" </w:instrText>
          </w:r>
          <w:r>
            <w:fldChar w:fldCharType="separate"/>
          </w:r>
          <w:r>
            <w:rPr>
              <w:rFonts w:hint="eastAsia"/>
              <w:bCs/>
              <w:szCs w:val="22"/>
              <w:shd w:val="clear" w:color="auto" w:fill="FFFFFF"/>
              <w:lang w:val="en-US"/>
            </w:rPr>
            <w:t>（三） 产品介绍</w:t>
          </w:r>
          <w:r>
            <w:tab/>
          </w:r>
          <w:r>
            <w:fldChar w:fldCharType="begin"/>
          </w:r>
          <w:r>
            <w:instrText xml:space="preserve"> PAGEREF _Toc32343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"_Toc8215"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2"/>
              <w:shd w:val="clear" w:color="auto" w:fill="FDFDFE"/>
            </w:rPr>
            <w:t xml:space="preserve">（四） </w:t>
          </w:r>
          <w:r>
            <w:rPr>
              <w:rFonts w:hint="eastAsia" w:ascii="宋体" w:hAnsi="宋体" w:cs="宋体"/>
              <w:bCs/>
              <w:szCs w:val="22"/>
              <w:shd w:val="clear" w:color="auto" w:fill="FDFDFE"/>
              <w:lang w:val="en-US"/>
            </w:rPr>
            <w:t>产品目的</w:t>
          </w:r>
          <w:r>
            <w:tab/>
          </w:r>
          <w:r>
            <w:fldChar w:fldCharType="begin"/>
          </w:r>
          <w:r>
            <w:instrText xml:space="preserve"> PAGEREF _Toc8215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"_Toc30399"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kern w:val="2"/>
              <w:szCs w:val="32"/>
              <w:lang w:val="en-US"/>
            </w:rPr>
            <w:t>二、</w:t>
          </w:r>
          <w:r>
            <w:rPr>
              <w:rFonts w:hint="eastAsia" w:ascii="宋体" w:hAnsi="宋体" w:cs="宋体"/>
              <w:bCs/>
              <w:szCs w:val="32"/>
              <w:lang w:val="en-US"/>
            </w:rPr>
            <w:t>系统通用性需求</w:t>
          </w:r>
          <w:r>
            <w:tab/>
          </w:r>
          <w:r>
            <w:fldChar w:fldCharType="begin"/>
          </w:r>
          <w:r>
            <w:instrText xml:space="preserve"> PAGEREF _Toc30399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"_Toc7067"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（一） 性能需求</w:t>
          </w:r>
          <w:r>
            <w:tab/>
          </w:r>
          <w:r>
            <w:fldChar w:fldCharType="begin"/>
          </w:r>
          <w:r>
            <w:instrText xml:space="preserve"> PAGEREF _Toc7067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"_Toc1338"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（二） 安全需求</w:t>
          </w:r>
          <w:r>
            <w:tab/>
          </w:r>
          <w:r>
            <w:fldChar w:fldCharType="begin"/>
          </w:r>
          <w:r>
            <w:instrText xml:space="preserve"> PAGEREF _Toc1338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"_Toc1978"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（三） 操作性需求</w:t>
          </w:r>
          <w:r>
            <w:tab/>
          </w:r>
          <w:r>
            <w:fldChar w:fldCharType="begin"/>
          </w:r>
          <w:r>
            <w:instrText xml:space="preserve"> PAGEREF _Toc1978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"_Toc10836"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（四） 政策法律需求</w:t>
          </w:r>
          <w:r>
            <w:tab/>
          </w:r>
          <w:r>
            <w:fldChar w:fldCharType="begin"/>
          </w:r>
          <w:r>
            <w:instrText xml:space="preserve"> PAGEREF _Toc10836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"_Toc19364"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szCs w:val="24"/>
              <w:lang w:val="en-US"/>
            </w:rPr>
            <w:t>（五） 其他需求</w:t>
          </w:r>
          <w:r>
            <w:tab/>
          </w:r>
          <w:r>
            <w:fldChar w:fldCharType="begin"/>
          </w:r>
          <w:r>
            <w:instrText xml:space="preserve"> PAGEREF _Toc19364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"_Toc30218" </w:instrText>
          </w:r>
          <w:r>
            <w:fldChar w:fldCharType="separate"/>
          </w:r>
          <w:r>
            <w:rPr>
              <w:rFonts w:hint="eastAsia"/>
              <w:bCs/>
              <w:kern w:val="2"/>
              <w:szCs w:val="32"/>
              <w:shd w:val="clear" w:color="auto" w:fill="FFFFFF"/>
              <w:lang w:val="en-US"/>
            </w:rPr>
            <w:t>三、</w:t>
          </w:r>
          <w:r>
            <w:rPr>
              <w:rFonts w:hint="eastAsia"/>
              <w:bCs/>
              <w:szCs w:val="32"/>
              <w:shd w:val="clear" w:color="auto" w:fill="FFFFFF"/>
              <w:lang w:val="en-US"/>
            </w:rPr>
            <w:t>业务描述及系统功能</w:t>
          </w:r>
          <w:r>
            <w:tab/>
          </w:r>
          <w:r>
            <w:fldChar w:fldCharType="begin"/>
          </w:r>
          <w:r>
            <w:instrText xml:space="preserve"> PAGEREF _Toc30218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  <w:rPr>
              <w:bCs/>
              <w:color w:val="333333"/>
              <w:kern w:val="2"/>
              <w:szCs w:val="32"/>
              <w:shd w:val="clear" w:color="auto" w:fill="FFFFFF"/>
              <w:lang w:val="en-US"/>
            </w:rPr>
          </w:pPr>
          <w:r>
            <w:fldChar w:fldCharType="begin"/>
          </w:r>
          <w:r>
            <w:instrText xml:space="preserve"> HYPERLINK \l "_Toc3787" </w:instrText>
          </w:r>
          <w:r>
            <w:fldChar w:fldCharType="separate"/>
          </w:r>
          <w:r>
            <w:rPr>
              <w:rFonts w:hint="eastAsia"/>
              <w:szCs w:val="24"/>
              <w:shd w:val="clear" w:color="auto" w:fill="FFFFFF"/>
              <w:lang w:val="en-US"/>
            </w:rPr>
            <w:t xml:space="preserve">（一） </w:t>
          </w:r>
          <w:r>
            <w:rPr>
              <w:rFonts w:hint="eastAsia"/>
              <w:bCs/>
              <w:szCs w:val="24"/>
              <w:shd w:val="clear" w:color="auto" w:fill="FFFFFF"/>
              <w:lang w:val="en-US"/>
            </w:rPr>
            <w:t>业务描述</w:t>
          </w:r>
          <w:r>
            <w:tab/>
          </w:r>
          <w:r>
            <w:fldChar w:fldCharType="begin"/>
          </w:r>
          <w:r>
            <w:instrText xml:space="preserve"> PAGEREF _Toc3787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0" w:leftChars="0" w:firstLine="420"/>
            <w:rPr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/>
              <w:bCs/>
              <w:color w:val="333333"/>
              <w:kern w:val="2"/>
              <w:szCs w:val="32"/>
              <w:shd w:val="clear" w:color="auto" w:fill="FFFFFF"/>
              <w:lang w:val="en-US"/>
            </w:rPr>
            <w:t xml:space="preserve">（二） </w:t>
          </w:r>
          <w:r>
            <w:rPr>
              <w:rFonts w:hint="eastAsia"/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  <w:t>系统角色划分</w:t>
          </w:r>
          <w:r>
            <w:tab/>
          </w:r>
          <w:r>
            <w:rPr>
              <w:rFonts w:hint="eastAsia"/>
              <w:lang w:val="en-US"/>
            </w:rPr>
            <w:t>4</w:t>
          </w:r>
        </w:p>
        <w:p>
          <w:pPr>
            <w:pStyle w:val="15"/>
            <w:tabs>
              <w:tab w:val="right" w:leader="dot" w:pos="8306"/>
            </w:tabs>
            <w:ind w:left="0" w:leftChars="0" w:firstLine="420"/>
            <w:rPr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/>
              <w:color w:val="000000" w:themeColor="text1"/>
              <w:shd w:val="clear" w:color="auto" w:fill="FFFFFF"/>
              <w:lang w:val="en-US"/>
              <w14:textFill>
                <w14:solidFill>
                  <w14:schemeClr w14:val="tx1"/>
                </w14:solidFill>
              </w14:textFill>
            </w:rPr>
            <w:t>（三） 产品系统流程图</w:t>
          </w:r>
          <w:r>
            <w:tab/>
          </w:r>
          <w:r>
            <w:rPr>
              <w:rFonts w:hint="eastAsia"/>
              <w:lang w:val="en-US"/>
            </w:rPr>
            <w:t>4</w:t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"_Toc29661" </w:instrText>
          </w:r>
          <w:r>
            <w:fldChar w:fldCharType="separate"/>
          </w:r>
          <w:r>
            <w:rPr>
              <w:rFonts w:hint="eastAsia"/>
              <w:bCs/>
              <w:szCs w:val="24"/>
              <w:shd w:val="clear" w:color="auto" w:fill="FFFFFF"/>
              <w:lang w:val="en-US"/>
            </w:rPr>
            <w:t>（四） 系统功能用例</w:t>
          </w:r>
          <w:r>
            <w:tab/>
          </w:r>
          <w:r>
            <w:fldChar w:fldCharType="begin"/>
          </w:r>
          <w:r>
            <w:instrText xml:space="preserve"> PAGEREF _Toc29661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"_Toc4379" </w:instrText>
          </w:r>
          <w:r>
            <w:fldChar w:fldCharType="separate"/>
          </w:r>
          <w:r>
            <w:rPr>
              <w:rFonts w:hint="eastAsia"/>
              <w:bCs/>
              <w:szCs w:val="24"/>
              <w:shd w:val="clear" w:color="auto" w:fill="FFFFFF"/>
              <w:lang w:val="en-US"/>
            </w:rPr>
            <w:t>（五） 系统功能用例分析</w:t>
          </w:r>
          <w:r>
            <w:tab/>
          </w:r>
          <w:r>
            <w:fldChar w:fldCharType="begin"/>
          </w:r>
          <w:r>
            <w:instrText xml:space="preserve"> PAGEREF _Toc4379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widowControl/>
            <w:ind w:left="-420" w:firstLine="420"/>
            <w:rPr>
              <w:rFonts w:ascii="Times New Roman" w:hAnsi="Times New Roman" w:eastAsia="宋体" w:cs="Times New Roman"/>
              <w:bCs/>
              <w:color w:val="333333"/>
              <w:szCs w:val="32"/>
              <w:shd w:val="clear" w:color="auto" w:fill="FFFFFF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Times New Roman" w:hAnsi="Times New Roman" w:eastAsia="宋体" w:cs="Times New Roman"/>
              <w:bCs/>
              <w:color w:val="333333"/>
              <w:szCs w:val="32"/>
              <w:shd w:val="clear" w:color="auto" w:fill="FFFFFF"/>
            </w:rPr>
            <w:fldChar w:fldCharType="end"/>
          </w:r>
        </w:p>
      </w:sdtContent>
    </w:sdt>
    <w:p>
      <w:pPr>
        <w:widowControl/>
        <w:outlineLvl w:val="0"/>
        <w:rPr>
          <w:rFonts w:ascii="Times New Roman" w:hAnsi="Times New Roman" w:eastAsia="宋体" w:cs="Times New Roman"/>
          <w:b/>
          <w:bCs/>
          <w:color w:val="333333"/>
          <w:sz w:val="32"/>
          <w:szCs w:val="32"/>
          <w:shd w:val="clear" w:color="auto" w:fill="FFFFFF"/>
        </w:rPr>
      </w:pPr>
      <w:bookmarkStart w:id="5" w:name="_Toc32553"/>
      <w:r>
        <w:rPr>
          <w:rFonts w:hint="eastAsia" w:ascii="Times New Roman" w:hAnsi="Times New Roman" w:eastAsia="宋体" w:cs="Times New Roman"/>
          <w:b/>
          <w:bCs/>
          <w:color w:val="333333"/>
          <w:sz w:val="32"/>
          <w:szCs w:val="32"/>
          <w:shd w:val="clear" w:color="auto" w:fill="FFFFFF"/>
        </w:rPr>
        <w:t>一、简介</w:t>
      </w:r>
      <w:bookmarkEnd w:id="5"/>
    </w:p>
    <w:p>
      <w:pPr>
        <w:widowControl/>
        <w:numPr>
          <w:ilvl w:val="0"/>
          <w:numId w:val="1"/>
        </w:numPr>
        <w:ind w:firstLine="0"/>
        <w:outlineLvl w:val="1"/>
        <w:rPr>
          <w:rFonts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</w:pPr>
      <w:bookmarkStart w:id="6" w:name="_Toc13802"/>
      <w:r>
        <w:rPr>
          <w:rFonts w:hint="eastAsia"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  <w:t>文档介绍</w:t>
      </w:r>
      <w:bookmarkEnd w:id="6"/>
    </w:p>
    <w:p>
      <w:pPr>
        <w:widowControl/>
        <w:ind w:firstLine="480" w:firstLineChars="200"/>
        <w:outlineLvl w:val="0"/>
        <w:rPr>
          <w:rFonts w:hint="eastAsia" w:ascii="宋体" w:hAnsi="宋体" w:eastAsia="宋体" w:cs="宋体"/>
          <w:color w:val="333333"/>
          <w:sz w:val="24"/>
          <w:shd w:val="clear" w:color="auto" w:fill="FFFFFF"/>
        </w:rPr>
      </w:pPr>
      <w:bookmarkStart w:id="7" w:name="_Toc10010"/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本文档旨在全面介绍校园二手交易管理系统的设计与开发框架，为高校提供一个安全、高效的二手物品交易平台。</w:t>
      </w:r>
      <w:r>
        <w:rPr>
          <w:rFonts w:hint="eastAsia" w:ascii="宋体" w:hAnsi="宋体" w:eastAsia="宋体" w:cs="宋体"/>
          <w:color w:val="333333"/>
          <w:sz w:val="24"/>
          <w:shd w:val="clear" w:color="auto" w:fill="FFFFFF"/>
        </w:rPr>
        <w:t>提供校园二手交易平台管理系统的用户需求和系统需求，仅供相关人员参考。</w:t>
      </w:r>
      <w:bookmarkEnd w:id="7"/>
    </w:p>
    <w:p>
      <w:pPr>
        <w:widowControl/>
        <w:ind w:firstLine="480" w:firstLineChars="200"/>
        <w:rPr>
          <w:rFonts w:hint="eastAsia" w:ascii="宋体" w:hAnsi="宋体" w:eastAsia="宋体" w:cs="宋体"/>
          <w:color w:val="333333"/>
          <w:sz w:val="24"/>
          <w:shd w:val="clear" w:color="auto" w:fill="FFFFFF"/>
        </w:rPr>
      </w:pPr>
    </w:p>
    <w:p>
      <w:pPr>
        <w:widowControl/>
        <w:numPr>
          <w:ilvl w:val="0"/>
          <w:numId w:val="1"/>
        </w:numPr>
        <w:ind w:firstLine="0"/>
        <w:outlineLvl w:val="1"/>
        <w:rPr>
          <w:rFonts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</w:pPr>
      <w:bookmarkStart w:id="8" w:name="_Toc28007"/>
      <w:r>
        <w:rPr>
          <w:rFonts w:hint="eastAsia"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  <w:t>项目灵感</w:t>
      </w:r>
      <w:bookmarkEnd w:id="4"/>
      <w:bookmarkEnd w:id="8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随着高校学生消费观念转变，闲置物品交易需求日益增长，</w:t>
      </w:r>
      <w:r>
        <w:rPr>
          <w:rFonts w:ascii="宋体" w:hAnsi="宋体" w:eastAsia="宋体" w:cs="宋体"/>
          <w:sz w:val="24"/>
        </w:rPr>
        <w:t>校园二手交易零散、缺乏统一平台</w:t>
      </w:r>
      <w:r>
        <w:rPr>
          <w:rFonts w:hint="eastAsia" w:ascii="宋体" w:hAnsi="宋体" w:eastAsia="宋体" w:cs="宋体"/>
          <w:sz w:val="24"/>
        </w:rPr>
        <w:t>。</w:t>
      </w:r>
      <w:r>
        <w:rPr>
          <w:rFonts w:ascii="宋体" w:hAnsi="宋体" w:eastAsia="宋体" w:cs="宋体"/>
          <w:sz w:val="24"/>
        </w:rPr>
        <w:t>大家常靠微信群、朋友圈，但信息容易错过，信任度低。</w:t>
      </w:r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受</w:t>
      </w:r>
      <w:r>
        <w:rPr>
          <w:rFonts w:hint="eastAsia" w:ascii="宋体" w:hAnsi="宋体" w:eastAsia="宋体" w:cs="宋体"/>
          <w:sz w:val="24"/>
        </w:rPr>
        <w:t>“</w:t>
      </w:r>
      <w:r>
        <w:rPr>
          <w:rFonts w:ascii="宋体" w:hAnsi="宋体" w:eastAsia="宋体" w:cs="宋体"/>
          <w:sz w:val="24"/>
        </w:rPr>
        <w:t>闲鱼</w:t>
      </w:r>
      <w:r>
        <w:rPr>
          <w:rFonts w:hint="eastAsia" w:ascii="宋体" w:hAnsi="宋体" w:eastAsia="宋体" w:cs="宋体"/>
          <w:sz w:val="24"/>
        </w:rPr>
        <w:t>”App</w:t>
      </w:r>
      <w:r>
        <w:rPr>
          <w:rFonts w:ascii="宋体" w:hAnsi="宋体" w:eastAsia="宋体" w:cs="宋体"/>
          <w:sz w:val="24"/>
        </w:rPr>
        <w:t>启发，结合校园环境和学生特性，打造一个更</w:t>
      </w:r>
      <w:r>
        <w:rPr>
          <w:rFonts w:hint="eastAsia" w:ascii="宋体" w:hAnsi="宋体" w:eastAsia="宋体" w:cs="宋体"/>
          <w:sz w:val="24"/>
        </w:rPr>
        <w:t>方便</w:t>
      </w:r>
      <w:r>
        <w:rPr>
          <w:rFonts w:ascii="宋体" w:hAnsi="宋体" w:eastAsia="宋体" w:cs="宋体"/>
          <w:sz w:val="24"/>
        </w:rPr>
        <w:t>、</w:t>
      </w:r>
      <w:r>
        <w:rPr>
          <w:rFonts w:hint="eastAsia" w:ascii="宋体" w:hAnsi="宋体" w:eastAsia="宋体" w:cs="宋体"/>
          <w:sz w:val="24"/>
        </w:rPr>
        <w:t>更值得信赖</w:t>
      </w:r>
      <w:r>
        <w:rPr>
          <w:rFonts w:ascii="宋体" w:hAnsi="宋体" w:eastAsia="宋体" w:cs="宋体"/>
          <w:sz w:val="24"/>
        </w:rPr>
        <w:t>的</w:t>
      </w:r>
      <w:r>
        <w:rPr>
          <w:rFonts w:hint="eastAsia" w:ascii="宋体" w:hAnsi="宋体" w:eastAsia="宋体" w:cs="宋体"/>
          <w:sz w:val="24"/>
        </w:rPr>
        <w:t>校园二手交易</w:t>
      </w:r>
      <w:r>
        <w:rPr>
          <w:rFonts w:ascii="宋体" w:hAnsi="宋体" w:eastAsia="宋体" w:cs="宋体"/>
          <w:sz w:val="24"/>
        </w:rPr>
        <w:t>平台。</w:t>
      </w:r>
    </w:p>
    <w:p>
      <w:pPr>
        <w:widowControl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1"/>
        </w:numPr>
        <w:ind w:left="425" w:hanging="425"/>
        <w:outlineLvl w:val="1"/>
        <w:rPr>
          <w:rFonts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</w:pPr>
      <w:bookmarkStart w:id="9" w:name="_Toc18537"/>
      <w:bookmarkStart w:id="10" w:name="_Toc32343"/>
      <w:r>
        <w:rPr>
          <w:rFonts w:hint="eastAsia" w:ascii="Times New Roman" w:hAnsi="Times New Roman" w:eastAsia="宋体" w:cs="Times New Roman"/>
          <w:b/>
          <w:bCs/>
          <w:color w:val="333333"/>
          <w:sz w:val="22"/>
          <w:szCs w:val="22"/>
          <w:shd w:val="clear" w:color="auto" w:fill="FFFFFF"/>
        </w:rPr>
        <w:t>产品介绍</w:t>
      </w:r>
      <w:bookmarkEnd w:id="9"/>
      <w:bookmarkEnd w:id="10"/>
    </w:p>
    <w:p>
      <w:pPr>
        <w:widowControl/>
        <w:ind w:firstLine="480" w:firstLineChars="200"/>
        <w:outlineLvl w:val="0"/>
        <w:rPr>
          <w:rFonts w:hint="eastAsia" w:ascii="宋体" w:hAnsi="宋体" w:eastAsia="宋体" w:cs="宋体"/>
          <w:b/>
          <w:bCs/>
          <w:color w:val="333333"/>
          <w:sz w:val="24"/>
          <w:shd w:val="clear" w:color="auto" w:fill="FFFFFF"/>
        </w:rPr>
      </w:pPr>
      <w:bookmarkStart w:id="11" w:name="_Toc19376"/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为师生打造安全便捷的交易平台，支持商品智能发布、精准匹配、无接触交付，集成社交互动与信用体系，激活校园闲置资源，让二手交易更省心、更环保。</w:t>
      </w:r>
      <w:bookmarkEnd w:id="11"/>
    </w:p>
    <w:p>
      <w:pPr>
        <w:pStyle w:val="6"/>
        <w:widowControl/>
        <w:numPr>
          <w:ilvl w:val="0"/>
          <w:numId w:val="1"/>
        </w:numPr>
        <w:shd w:val="clear" w:color="auto" w:fill="FDFDFE"/>
        <w:spacing w:beforeAutospacing="0" w:afterAutospacing="0" w:line="17" w:lineRule="atLeast"/>
        <w:ind w:left="425" w:hanging="425"/>
        <w:outlineLvl w:val="1"/>
        <w:rPr>
          <w:rFonts w:hint="eastAsia" w:ascii="宋体" w:hAnsi="宋体" w:eastAsia="宋体" w:cs="宋体"/>
          <w:b/>
          <w:bCs/>
          <w:color w:val="06071F"/>
          <w:sz w:val="22"/>
          <w:szCs w:val="22"/>
          <w:shd w:val="clear" w:color="auto" w:fill="FDFDFE"/>
        </w:rPr>
      </w:pPr>
      <w:bookmarkStart w:id="12" w:name="_Toc8215"/>
      <w:r>
        <w:rPr>
          <w:rFonts w:hint="eastAsia" w:ascii="宋体" w:hAnsi="宋体" w:eastAsia="宋体" w:cs="宋体"/>
          <w:b/>
          <w:bCs/>
          <w:color w:val="06071F"/>
          <w:sz w:val="22"/>
          <w:szCs w:val="22"/>
          <w:shd w:val="clear" w:color="auto" w:fill="FDFDFE"/>
        </w:rPr>
        <w:t>产品目的</w:t>
      </w:r>
      <w:bookmarkEnd w:id="12"/>
    </w:p>
    <w:p>
      <w:pPr>
        <w:pStyle w:val="6"/>
        <w:widowControl/>
        <w:shd w:val="clear" w:color="auto" w:fill="FDFDFE"/>
        <w:spacing w:beforeAutospacing="0" w:afterAutospacing="0" w:line="17" w:lineRule="atLeast"/>
        <w:rPr>
          <w:rFonts w:hint="eastAsia" w:ascii="宋体" w:hAnsi="宋体" w:eastAsia="宋体" w:cs="宋体"/>
          <w:color w:val="06071F"/>
        </w:rPr>
      </w:pPr>
      <w:r>
        <w:rPr>
          <w:rFonts w:hint="eastAsia" w:ascii="宋体" w:hAnsi="宋体" w:eastAsia="宋体" w:cs="宋体"/>
          <w:color w:val="06071F"/>
          <w:shd w:val="clear" w:color="auto" w:fill="FDFDFE"/>
        </w:rPr>
        <w:t>传统交易方式存在以下问题：</w:t>
      </w:r>
    </w:p>
    <w:p>
      <w:pPr>
        <w:widowControl/>
        <w:numPr>
          <w:ilvl w:val="0"/>
          <w:numId w:val="2"/>
        </w:numPr>
        <w:spacing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信息不对称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：缺乏统一平台导致供需匹配效率低；</w:t>
      </w:r>
    </w:p>
    <w:p>
      <w:pPr>
        <w:widowControl/>
        <w:numPr>
          <w:ilvl w:val="0"/>
          <w:numId w:val="2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交易风险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：线下交易存在欺诈、质量争议等隐患；</w:t>
      </w:r>
    </w:p>
    <w:p>
      <w:pPr>
        <w:widowControl/>
        <w:numPr>
          <w:ilvl w:val="0"/>
          <w:numId w:val="2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管理缺失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：校方难以监管交易合规性及商品质量；</w:t>
      </w:r>
    </w:p>
    <w:p>
      <w:pPr>
        <w:widowControl/>
        <w:numPr>
          <w:ilvl w:val="0"/>
          <w:numId w:val="2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资源浪费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：毕业季大量可循环物品未有效利用。</w:t>
      </w:r>
    </w:p>
    <w:p>
      <w:pPr>
        <w:pStyle w:val="6"/>
        <w:widowControl/>
        <w:shd w:val="clear" w:color="auto" w:fill="FDFDFE"/>
        <w:spacing w:before="140" w:beforeAutospacing="0" w:afterAutospacing="0" w:line="17" w:lineRule="atLeast"/>
        <w:rPr>
          <w:rFonts w:hint="eastAsia" w:ascii="宋体" w:hAnsi="宋体" w:eastAsia="宋体" w:cs="宋体"/>
          <w:color w:val="06071F"/>
        </w:rPr>
      </w:pPr>
      <w:r>
        <w:rPr>
          <w:rFonts w:hint="eastAsia" w:ascii="宋体" w:hAnsi="宋体" w:eastAsia="宋体" w:cs="宋体"/>
          <w:color w:val="06071F"/>
          <w:shd w:val="clear" w:color="auto" w:fill="FDFDFE"/>
        </w:rPr>
        <w:t>本系统通过数字化平台整合校园二手资源，实现：</w:t>
      </w:r>
    </w:p>
    <w:p>
      <w:pPr>
        <w:widowControl/>
        <w:numPr>
          <w:ilvl w:val="0"/>
          <w:numId w:val="3"/>
        </w:numPr>
        <w:spacing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00000" w:themeColor="text1"/>
          <w:sz w:val="24"/>
          <w:shd w:val="clear" w:color="auto" w:fill="FDFDFE"/>
          <w14:textFill>
            <w14:solidFill>
              <w14:schemeClr w14:val="tx1"/>
            </w14:solidFill>
          </w14:textFill>
        </w:rPr>
        <w:t>认证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保障交易安全</w:t>
      </w:r>
    </w:p>
    <w:p>
      <w:pPr>
        <w:widowControl/>
        <w:numPr>
          <w:ilvl w:val="0"/>
          <w:numId w:val="3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分类推荐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提升匹配效率</w:t>
      </w:r>
    </w:p>
    <w:p>
      <w:pPr>
        <w:widowControl/>
        <w:numPr>
          <w:ilvl w:val="0"/>
          <w:numId w:val="3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交易留痕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便于纠纷追溯</w:t>
      </w:r>
    </w:p>
    <w:p>
      <w:pPr>
        <w:widowControl/>
        <w:numPr>
          <w:ilvl w:val="0"/>
          <w:numId w:val="3"/>
        </w:numPr>
        <w:spacing w:before="60" w:line="17" w:lineRule="atLeast"/>
        <w:ind w:firstLine="480"/>
        <w:rPr>
          <w:rFonts w:hint="eastAsia" w:ascii="宋体" w:hAnsi="宋体" w:eastAsia="宋体" w:cs="宋体"/>
          <w:sz w:val="24"/>
        </w:rPr>
      </w:pPr>
      <w:r>
        <w:rPr>
          <w:rStyle w:val="10"/>
          <w:rFonts w:hint="eastAsia" w:ascii="宋体" w:hAnsi="宋体" w:eastAsia="宋体" w:cs="宋体"/>
          <w:b w:val="0"/>
          <w:color w:val="06071F"/>
          <w:sz w:val="24"/>
          <w:shd w:val="clear" w:color="auto" w:fill="FDFDFE"/>
        </w:rPr>
        <w:t>数据统计</w:t>
      </w:r>
      <w:r>
        <w:rPr>
          <w:rFonts w:hint="eastAsia" w:ascii="宋体" w:hAnsi="宋体" w:eastAsia="宋体" w:cs="宋体"/>
          <w:color w:val="06071F"/>
          <w:sz w:val="24"/>
          <w:shd w:val="clear" w:color="auto" w:fill="FDFDFE"/>
        </w:rPr>
        <w:t>辅助校园资源管理</w:t>
      </w:r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</w:p>
    <w:p>
      <w:pPr>
        <w:widowControl/>
        <w:ind w:left="425" w:hanging="425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13" w:name="_Toc30399"/>
      <w:r>
        <w:rPr>
          <w:rFonts w:hint="eastAsia" w:ascii="宋体" w:hAnsi="宋体" w:eastAsia="宋体" w:cs="宋体"/>
          <w:b/>
          <w:bCs/>
          <w:sz w:val="32"/>
          <w:szCs w:val="32"/>
        </w:rPr>
        <w:t>二、系统通用性需求</w:t>
      </w:r>
      <w:bookmarkEnd w:id="13"/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4" w:name="_Toc7067"/>
      <w:r>
        <w:rPr>
          <w:rFonts w:hint="eastAsia" w:ascii="宋体" w:hAnsi="宋体" w:eastAsia="宋体" w:cs="宋体"/>
          <w:b/>
          <w:bCs/>
          <w:sz w:val="24"/>
        </w:rPr>
        <w:t>性能需求</w:t>
      </w:r>
      <w:bookmarkEnd w:id="14"/>
    </w:p>
    <w:p>
      <w:pPr>
        <w:widowControl/>
        <w:numPr>
          <w:ilvl w:val="0"/>
          <w:numId w:val="5"/>
        </w:numPr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响应时间：常规操作&lt;1秒，复杂搜索&lt;3秒</w:t>
      </w:r>
    </w:p>
    <w:p>
      <w:pPr>
        <w:widowControl/>
        <w:numPr>
          <w:ilvl w:val="0"/>
          <w:numId w:val="5"/>
        </w:numPr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数据实时同步</w:t>
      </w:r>
    </w:p>
    <w:p>
      <w:pPr>
        <w:widowControl/>
        <w:ind w:left="420" w:leftChars="200"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5" w:name="_Toc1338"/>
      <w:r>
        <w:rPr>
          <w:rFonts w:hint="eastAsia" w:ascii="宋体" w:hAnsi="宋体" w:eastAsia="宋体" w:cs="宋体"/>
          <w:b/>
          <w:bCs/>
          <w:sz w:val="24"/>
        </w:rPr>
        <w:t>安全需求</w:t>
      </w:r>
      <w:bookmarkEnd w:id="15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满足</w:t>
      </w:r>
      <w:r>
        <w:rPr>
          <w:rFonts w:ascii="宋体" w:hAnsi="宋体" w:eastAsia="宋体" w:cs="宋体"/>
          <w:sz w:val="24"/>
        </w:rPr>
        <w:t>国家信息安全等级保护三级认证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6" w:name="_Toc1978"/>
      <w:r>
        <w:rPr>
          <w:rFonts w:hint="eastAsia" w:ascii="宋体" w:hAnsi="宋体" w:eastAsia="宋体" w:cs="宋体"/>
          <w:b/>
          <w:bCs/>
          <w:sz w:val="24"/>
        </w:rPr>
        <w:t>操作性需求</w:t>
      </w:r>
      <w:bookmarkEnd w:id="16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学生可通过网页进行商品交易。</w:t>
      </w:r>
    </w:p>
    <w:p>
      <w:pPr>
        <w:widowControl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7" w:name="_Toc10836"/>
      <w:r>
        <w:rPr>
          <w:rFonts w:hint="eastAsia" w:ascii="宋体" w:hAnsi="宋体" w:eastAsia="宋体" w:cs="宋体"/>
          <w:b/>
          <w:bCs/>
          <w:sz w:val="24"/>
        </w:rPr>
        <w:t>政策法律需求</w:t>
      </w:r>
      <w:bookmarkEnd w:id="17"/>
    </w:p>
    <w:p>
      <w:pPr>
        <w:widowControl/>
        <w:ind w:firstLine="480" w:firstLineChars="20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无。</w:t>
      </w:r>
    </w:p>
    <w:p>
      <w:pPr>
        <w:widowControl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4"/>
        </w:numPr>
        <w:ind w:left="425" w:hanging="425"/>
        <w:outlineLvl w:val="1"/>
        <w:rPr>
          <w:rFonts w:hint="eastAsia" w:ascii="宋体" w:hAnsi="宋体" w:eastAsia="宋体" w:cs="宋体"/>
          <w:b/>
          <w:bCs/>
          <w:sz w:val="24"/>
        </w:rPr>
      </w:pPr>
      <w:bookmarkStart w:id="18" w:name="_Toc19364"/>
      <w:r>
        <w:rPr>
          <w:rFonts w:hint="eastAsia" w:ascii="宋体" w:hAnsi="宋体" w:eastAsia="宋体" w:cs="宋体"/>
          <w:b/>
          <w:bCs/>
          <w:sz w:val="24"/>
        </w:rPr>
        <w:t>其他需求</w:t>
      </w:r>
      <w:bookmarkEnd w:id="18"/>
    </w:p>
    <w:p>
      <w:pPr>
        <w:widowControl/>
        <w:ind w:firstLine="440" w:firstLineChars="200"/>
        <w:rPr>
          <w:rFonts w:ascii="Times New Roman" w:hAnsi="Times New Roman" w:eastAsia="宋体" w:cs="Times New Roman"/>
          <w:color w:val="FF0000"/>
          <w:sz w:val="22"/>
          <w:szCs w:val="22"/>
          <w:shd w:val="clear" w:color="auto" w:fill="FFFFFF"/>
        </w:rPr>
      </w:pPr>
      <w:r>
        <w:rPr>
          <w:rFonts w:hint="eastAsia" w:ascii="Times New Roman" w:hAnsi="Times New Roman" w:eastAsia="宋体" w:cs="Times New Roman"/>
          <w:color w:val="333333"/>
          <w:sz w:val="22"/>
          <w:szCs w:val="22"/>
          <w:shd w:val="clear" w:color="auto" w:fill="FFFFFF"/>
        </w:rPr>
        <w:t>用户界面使用</w:t>
      </w:r>
      <w:r>
        <w:rPr>
          <w:rFonts w:hint="eastAsia" w:ascii="Times New Roman" w:hAnsi="Times New Roman" w:eastAsia="宋体" w:cs="Times New Roman"/>
          <w:color w:val="000000" w:themeColor="text1"/>
          <w:sz w:val="22"/>
          <w:szCs w:val="22"/>
          <w:shd w:val="clear" w:color="auto" w:fill="FFFFFF"/>
          <w14:textFill>
            <w14:solidFill>
              <w14:schemeClr w14:val="tx1"/>
            </w14:solidFill>
          </w14:textFill>
        </w:rPr>
        <w:t>简体中文。</w:t>
      </w:r>
    </w:p>
    <w:p>
      <w:pPr>
        <w:widowControl/>
        <w:rPr>
          <w:rFonts w:ascii="Times New Roman" w:hAnsi="Times New Roman" w:eastAsia="宋体" w:cs="Times New Roman"/>
          <w:color w:val="FF0000"/>
          <w:sz w:val="22"/>
          <w:szCs w:val="22"/>
          <w:shd w:val="clear" w:color="auto" w:fill="FFFFFF"/>
        </w:rPr>
      </w:pPr>
    </w:p>
    <w:p>
      <w:pPr>
        <w:widowControl/>
        <w:ind w:left="-420" w:firstLine="420"/>
        <w:outlineLvl w:val="0"/>
        <w:rPr>
          <w:rFonts w:ascii="Times New Roman" w:hAnsi="Times New Roman" w:eastAsia="宋体" w:cs="Times New Roman"/>
          <w:b/>
          <w:bCs/>
          <w:color w:val="000000" w:themeColor="text1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19" w:name="_Toc30218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三、业务描述及系统功能</w:t>
      </w:r>
      <w:bookmarkEnd w:id="19"/>
    </w:p>
    <w:p>
      <w:pPr>
        <w:widowControl/>
        <w:numPr>
          <w:ilvl w:val="0"/>
          <w:numId w:val="6"/>
        </w:numPr>
        <w:outlineLvl w:val="1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20" w:name="_Toc3787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业务描述</w:t>
      </w:r>
      <w:bookmarkEnd w:id="20"/>
    </w:p>
    <w:p>
      <w:pPr>
        <w:widowControl/>
        <w:ind w:firstLine="480" w:firstLineChars="20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专注于校园场景的闭环式二手交易服务平台，覆盖商品发布、智能匹配、安全交易、社交互动全链路。</w:t>
      </w:r>
    </w:p>
    <w:p>
      <w:pPr>
        <w:widowControl/>
        <w:ind w:firstLine="480" w:firstLineChars="20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便于在校学生于毕业生季清仓、开学季采购二手教材解决对教材/数码产品/生活用品流转和教职工实验室设备更新、办公区家具置换时期，对教学设备/办公家具循环利用的核心需求。</w:t>
      </w:r>
    </w:p>
    <w:p>
      <w:pPr>
        <w:widowControl/>
        <w:ind w:firstLine="480" w:firstLineChars="20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同时管理方于后台可以监控违规商品、处理交易纠纷，达到规范校园交易秩序的目的。</w:t>
      </w:r>
    </w:p>
    <w:p>
      <w:pPr>
        <w:widowControl/>
        <w:ind w:left="420"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ilvl w:val="0"/>
          <w:numId w:val="6"/>
        </w:numP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系统角色划分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7"/>
        <w:gridCol w:w="6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67" w:type="dxa"/>
            <w:shd w:val="clear" w:color="auto" w:fill="AEAAAA" w:themeFill="background2" w:themeFillShade="BF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角色名称</w:t>
            </w:r>
          </w:p>
        </w:tc>
        <w:tc>
          <w:tcPr>
            <w:tcW w:w="6455" w:type="dxa"/>
            <w:shd w:val="clear" w:color="auto" w:fill="AEAAAA" w:themeFill="background2" w:themeFillShade="BF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职责简述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7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在校学生（用户）</w:t>
            </w:r>
          </w:p>
        </w:tc>
        <w:tc>
          <w:tcPr>
            <w:tcW w:w="6455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发布闲置物品、低价获取二手商品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7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  <w:tc>
          <w:tcPr>
            <w:tcW w:w="6455" w:type="dxa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审核账号、商品、钱包充值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ilvl w:val="0"/>
          <w:numId w:val="6"/>
        </w:numPr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产品系统流程图</w:t>
      </w:r>
    </w:p>
    <w:p>
      <w:pPr>
        <w:widowControl/>
        <w:numPr>
          <w:ilvl w:val="0"/>
          <w:numId w:val="7"/>
        </w:numPr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买家流程分析图</w:t>
      </w:r>
    </w:p>
    <w:p>
      <w:pPr>
        <w:widowControl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47010" cy="4058285"/>
            <wp:effectExtent l="0" t="0" r="8890" b="5715"/>
            <wp:docPr id="4" name="图片 4" descr="1ea6de75c69002e17b9fd0973a89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ea6de75c69002e17b9fd0973a896b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卖家流程分析图</w:t>
      </w:r>
    </w:p>
    <w:p>
      <w:pPr>
        <w:widowControl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76195" cy="4855845"/>
            <wp:effectExtent l="0" t="0" r="1905" b="8255"/>
            <wp:docPr id="5" name="图片 5" descr="da7a1c55471c61b0909b96e982ca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a7a1c55471c61b0909b96e982ca3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outlineLvl w:val="1"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21" w:name="_Toc29661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系统功能用例</w:t>
      </w:r>
      <w:bookmarkEnd w:id="21"/>
    </w:p>
    <w:p>
      <w:pPr>
        <w:widowControl/>
        <w:numPr>
          <w:ilvl w:val="0"/>
          <w:numId w:val="8"/>
        </w:numP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在校学生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用户）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功能用例</w:t>
      </w:r>
    </w:p>
    <w:p>
      <w:pPr>
        <w:widowControl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1076960"/>
            <wp:effectExtent l="0" t="0" r="0" b="5080"/>
            <wp:docPr id="7" name="图片 7" descr="用户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t>管理员功能用例</w:t>
      </w:r>
    </w:p>
    <w:p>
      <w:pPr>
        <w:widowControl/>
        <w:rPr>
          <w:rFonts w:hint="default" w:eastAsiaTheme="minorEastAsia"/>
          <w:lang w:val="en-US" w:eastAsia="zh-CN"/>
        </w:rPr>
      </w:pPr>
      <w:bookmarkStart w:id="23" w:name="_GoBack"/>
      <w:bookmarkEnd w:id="23"/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2405" cy="1602105"/>
            <wp:effectExtent l="0" t="0" r="635" b="13335"/>
            <wp:docPr id="8" name="图片 8" descr="管理员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管理员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outlineLvl w:val="1"/>
        <w:rPr>
          <w:rFonts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bookmarkStart w:id="22" w:name="_Toc4379"/>
      <w:r>
        <w:rPr>
          <w:rFonts w:hint="eastAsia" w:ascii="Times New Roman" w:hAnsi="Times New Roman" w:eastAsia="宋体" w:cs="Times New Roman"/>
          <w:b/>
          <w:bCs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系统功能用例分析</w:t>
      </w:r>
      <w:bookmarkEnd w:id="22"/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 管理员功能用例分析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5.1.1 用户管理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5.1.1.1 用例分析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管理员管理用户状态（正常/禁用）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管理员已成功登录后台系统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用户状态变更成功，数据库更新完成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管理员查看用户列表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管理员点击某用户进行查看/修改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管理员执行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正常/禁用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操作</w:t>
            </w:r>
          </w:p>
          <w:p>
            <w:pPr>
              <w:widowControl/>
              <w:numPr>
                <w:ilvl w:val="0"/>
                <w:numId w:val="9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系统返回操作结果（成功或失败提示）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0"/>
              </w:numPr>
              <w:ind w:left="425" w:leftChars="0" w:hanging="425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用户查询失败：数据库中无对应用户信息</w:t>
            </w:r>
          </w:p>
          <w:p>
            <w:pPr>
              <w:widowControl/>
              <w:numPr>
                <w:ilvl w:val="0"/>
                <w:numId w:val="10"/>
              </w:numPr>
              <w:ind w:left="425" w:leftChars="0" w:hanging="425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用户修改失败：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数据库异常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5.1.1.2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15310"/>
            <wp:effectExtent l="0" t="0" r="2540" b="8890"/>
            <wp:docPr id="213035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995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5.1.2 商品管理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5.1.2.1用例分析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管理员已成功登录后台系统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商品状态成功更新，相关记录持久化保存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管理员登录系统进入后台管理页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管理员查看商品列表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管理员选择某商品点击“修改”或“删除”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管理员填写修改内容后点击“保存”</w:t>
            </w:r>
          </w:p>
          <w:p>
            <w:pPr>
              <w:widowControl/>
              <w:numPr>
                <w:ilvl w:val="0"/>
                <w:numId w:val="11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系统提示修改成功或失败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2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删除操作失败（如数据库异常）</w:t>
            </w:r>
          </w:p>
          <w:p>
            <w:pPr>
              <w:widowControl/>
              <w:numPr>
                <w:ilvl w:val="0"/>
                <w:numId w:val="12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商品信息更新失败（如超出字段限制、外键冲突等）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5.1.2.2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07055"/>
            <wp:effectExtent l="0" t="0" r="2540" b="0"/>
            <wp:docPr id="1542603077" name="图片 2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03077" name="图片 2" descr="图形用户界面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5.1.3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highlight w:val="none"/>
          <w:shd w:val="clear" w:color="auto" w:fill="FFFFFF"/>
          <w14:textFill>
            <w14:solidFill>
              <w14:schemeClr w14:val="tx1"/>
            </w14:solidFill>
          </w14:textFill>
        </w:rPr>
        <w:t>订单管理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5.1.3.1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管理员已登录后台系统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管理员可查看订单详情，准备进一步操作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管理员进入订单管理页面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管理员查看所有订单信息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管理员修改订单交易状态（如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待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发货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待收货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等）</w:t>
            </w:r>
          </w:p>
          <w:p>
            <w:pPr>
              <w:widowControl/>
              <w:numPr>
                <w:ilvl w:val="0"/>
                <w:numId w:val="13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修改成功并提示更新结果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请求订单详情时，指定订单ID不存在或已被删除</w:t>
            </w:r>
          </w:p>
          <w:p>
            <w:pPr>
              <w:widowControl/>
              <w:numPr>
                <w:ilvl w:val="0"/>
                <w:numId w:val="1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数据库更新失败，导致状态修改未生效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5.1.3.2web操作界面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23565"/>
            <wp:effectExtent l="0" t="0" r="2540" b="635"/>
            <wp:docPr id="2070659219" name="图片 3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9219" name="图片 3" descr="图形用户界面, 文本, 应用程序, 电子邮件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highlight w:val="non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highlight w:val="none"/>
          <w:shd w:val="clear" w:color="auto" w:fill="FFFFFF"/>
          <w14:textFill>
            <w14:solidFill>
              <w14:schemeClr w14:val="tx1"/>
            </w14:solidFill>
          </w14:textFill>
        </w:rPr>
        <w:t>5.1.4 钱包管理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5.1.4.1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管理员管理钱包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用户已提交充值/提现申请，管理员已登录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后台</w:t>
            </w:r>
            <w:r>
              <w:rPr>
                <w:rFonts w:ascii="宋体" w:hAnsi="宋体" w:eastAsia="宋体" w:cs="宋体"/>
                <w:sz w:val="24"/>
                <w:szCs w:val="24"/>
              </w:rPr>
              <w:t>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管理员可以对钱包状态进行审核或查看详情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，钱包状态更新，记录已审核状态，用户接收处理结果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管理员进入钱包管理界面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查看用户充值/提现请求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管理员审核通过或驳回请求</w:t>
            </w:r>
          </w:p>
          <w:p>
            <w:pPr>
              <w:widowControl/>
              <w:numPr>
                <w:ilvl w:val="0"/>
                <w:numId w:val="15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钱包金额字段更新成功（如 balance、recharge、withdrawals）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6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数据库更新失败，无法变更余额或清空字段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5.1.4.2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23565"/>
            <wp:effectExtent l="0" t="0" r="2540" b="635"/>
            <wp:docPr id="892430197" name="图片 4" descr="图形用户界面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0197" name="图片 4" descr="图形用户界面, 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 用户功能用例分析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5.2.1 用户登录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5.2.1.1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用户输入手机号和密码进行登录</w:t>
            </w:r>
          </w:p>
          <w:p>
            <w:pPr>
              <w:widowControl/>
              <w:numPr>
                <w:ilvl w:val="0"/>
                <w:numId w:val="1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登录成功后跳转至主页并显示用户昵称</w:t>
            </w:r>
          </w:p>
          <w:p>
            <w:pPr>
              <w:widowControl/>
              <w:numPr>
                <w:ilvl w:val="0"/>
                <w:numId w:val="17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若输入错误则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原界面保持不变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1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用户输入账号或密码错误，保持当前页面不变</w:t>
            </w:r>
          </w:p>
          <w:p>
            <w:pPr>
              <w:widowControl/>
              <w:numPr>
                <w:ilvl w:val="0"/>
                <w:numId w:val="1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后端接口返回异常（如数据库连接失败），显示“系统繁忙，请稍后再试”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5.2.1.2web操作页面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07055"/>
            <wp:effectExtent l="0" t="0" r="2540" b="0"/>
            <wp:docPr id="351501683" name="图片 5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1683" name="图片 5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5.2.2 用户注册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5.2.2.1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用户访问注册页面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数据库新增用户数据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1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用户输入昵称、手机号、密码，点击注册</w:t>
            </w:r>
          </w:p>
          <w:p>
            <w:pPr>
              <w:widowControl/>
              <w:numPr>
                <w:ilvl w:val="0"/>
                <w:numId w:val="19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系统校验手机号是否已注册</w:t>
            </w:r>
          </w:p>
          <w:p>
            <w:pPr>
              <w:widowControl/>
              <w:numPr>
                <w:ilvl w:val="0"/>
                <w:numId w:val="19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若未注册，写入数据库，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登陆后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跳转显示昵称  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0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手机号已注册：提示“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账号已被注册，请重新输入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numPr>
                <w:ilvl w:val="0"/>
                <w:numId w:val="20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输入为空：提示“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请填写此字段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numPr>
                <w:ilvl w:val="0"/>
                <w:numId w:val="20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后端注册接口异常（如数据库连接失败）：提示“注册失败，请稍后再试”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5.2.2.2web操作页面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15310"/>
            <wp:effectExtent l="0" t="0" r="2540" b="8890"/>
            <wp:docPr id="1678886554" name="图片 6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6554" name="图片 6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5.2.3 发布商品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5.2.3.1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用户已登录系统并进入“发布商品”页面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新商品成功写入数据库，页面跳转至商品详情页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用户填写商品名称、分类、价格、描述等信息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用户上传图片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提交后端成功保存商品数据与图片路径</w:t>
            </w:r>
          </w:p>
          <w:p>
            <w:pPr>
              <w:widowControl/>
              <w:numPr>
                <w:ilvl w:val="0"/>
                <w:numId w:val="21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跳转到“我的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闲置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2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后端保存失败（如数据库异常）：提示“发布失败，请稍后再试”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5.2.3.2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15310"/>
            <wp:effectExtent l="0" t="0" r="2540" b="8890"/>
            <wp:docPr id="214418122" name="图片 7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122" name="图片 7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5.2.4 购买商品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5.2.4.1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用户已登录并选定可用商品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cs="Times New Roman" w:eastAsiaTheme="minorEastAsia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t>生成订单并更新数据</w:t>
            </w:r>
            <w:r>
              <w:rPr>
                <w:rFonts w:hint="eastAsia"/>
                <w:lang w:val="en-US" w:eastAsia="zh-CN"/>
              </w:rPr>
              <w:t>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用户浏览并点击感兴趣商品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系统展示商品详情（调用 GoodsController.selectById）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用户点击“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在线支付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系统校验钱包余额（PurseService.selectPurseByUserId）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钱包余额充足，创建订单（OrdersService.addOrder()）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扣除余额并更新钱包信息（PurseService.updatePurseOfdel()）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商品状态更新为“已售出”（GoodsService.updateGoodsByGoodsId）</w:t>
            </w:r>
          </w:p>
          <w:p>
            <w:pPr>
              <w:widowControl/>
              <w:numPr>
                <w:ilvl w:val="0"/>
                <w:numId w:val="23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系统跳转到订单详情页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商品已被他人购买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显示找不到网页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用户未登录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提示“请先登录”，跳转登录页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用户余额不足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提示“余额不足”，提供充值入口</w:t>
            </w:r>
          </w:p>
          <w:p>
            <w:pPr>
              <w:widowControl/>
              <w:numPr>
                <w:ilvl w:val="0"/>
                <w:numId w:val="24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系统数据库操作异常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提示“购买失败，请稍后再试”</w:t>
            </w:r>
          </w:p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5.2.4.2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07055"/>
            <wp:effectExtent l="0" t="0" r="2540" b="0"/>
            <wp:docPr id="1101711989" name="图片 8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11989" name="图片 8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5.2.5 收藏商品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5.2.5.1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用户已登录系统并浏览商品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收藏记录写入数据库，商品出现在收藏列表中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用户浏览商品详情页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用户点击“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加入关注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”按钮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系统检查用户是否已收藏该商品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若未收藏，则添加记录到 focus 表</w:t>
            </w:r>
          </w:p>
          <w:p>
            <w:pPr>
              <w:widowControl/>
              <w:numPr>
                <w:ilvl w:val="0"/>
                <w:numId w:val="25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返回“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已关注成功，查看关注列表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”提示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6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用户未登录：提示“请先登录”，跳转登录页面</w:t>
            </w:r>
          </w:p>
          <w:p>
            <w:pPr>
              <w:widowControl/>
              <w:numPr>
                <w:ilvl w:val="0"/>
                <w:numId w:val="26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数据库插入失败（如主键冲突或网络问题）：提示“请稍后再试”</w:t>
            </w:r>
          </w:p>
          <w:p>
            <w:pPr>
              <w:widowControl/>
              <w:numPr>
                <w:ilvl w:val="0"/>
                <w:numId w:val="26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商品不存在或已被删除：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无法找到该网页详情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5.2.5.2 web操作界面</w:t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31820"/>
            <wp:effectExtent l="0" t="0" r="2540" b="0"/>
            <wp:docPr id="630546015" name="图片 9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46015" name="图片 9" descr="图形用户界面, 应用程序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商品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留言</w:t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用户给商品留言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留言保存至数据库并展示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用户进入商品详情页</w:t>
            </w:r>
          </w:p>
          <w:p>
            <w:pPr>
              <w:widowControl/>
              <w:numPr>
                <w:ilvl w:val="0"/>
                <w:numId w:val="27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输入留言内容点击发送</w:t>
            </w:r>
          </w:p>
          <w:p>
            <w:pPr>
              <w:widowControl/>
              <w:numPr>
                <w:ilvl w:val="0"/>
                <w:numId w:val="27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留言展示在商品评论区 </w:t>
            </w: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5.2.6.2web操作界面</w:t>
      </w:r>
    </w:p>
    <w:p>
      <w:pPr>
        <w:widowControl/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125470"/>
            <wp:effectExtent l="0" t="0" r="5715" b="11430"/>
            <wp:docPr id="2" name="图片 2" descr="3ee65fee7b7d213a59611940a88bfd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ee65fee7b7d213a59611940a88bfd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账户充值</w:t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5.2.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.1 用例分析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用户向钱包账户充值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前置条件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t>充值金额加入钱包余额，记录充值信息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基本路径：</w:t>
            </w:r>
          </w:p>
          <w:p>
            <w:pPr>
              <w:widowControl/>
              <w:numPr>
                <w:ilvl w:val="0"/>
                <w:numId w:val="2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用户进入钱包页面点击充值</w:t>
            </w:r>
          </w:p>
          <w:p>
            <w:pPr>
              <w:widowControl/>
              <w:numPr>
                <w:ilvl w:val="0"/>
                <w:numId w:val="28"/>
              </w:numPr>
              <w:ind w:left="425" w:leftChars="0" w:hanging="425" w:firstLineChars="0"/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输入充值金额后提交</w:t>
            </w:r>
          </w:p>
          <w:p>
            <w:pPr>
              <w:widowControl/>
              <w:numPr>
                <w:ilvl w:val="0"/>
                <w:numId w:val="28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系统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提示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充值成功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等待管理员审核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异常路径：</w:t>
            </w:r>
          </w:p>
          <w:p>
            <w:pPr>
              <w:widowControl/>
              <w:numPr>
                <w:ilvl w:val="0"/>
                <w:numId w:val="29"/>
              </w:numPr>
              <w:ind w:left="425" w:leftChars="0" w:hanging="425" w:firstLineChars="0"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输入金额非正数或为空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提示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您输入的金额格式有误，请重新输入”或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“请输入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您要充值的金额</w:t>
            </w: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补充说明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rPr>
                <w:rFonts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 w:val="24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</w:tbl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5.2.7.2web操作界面</w:t>
      </w:r>
    </w:p>
    <w:p>
      <w:pPr>
        <w:widowControl/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125470"/>
            <wp:effectExtent l="0" t="0" r="5715" b="11430"/>
            <wp:docPr id="6" name="图片 6" descr="0895bdfe8b649f40df2e16fe8cba6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895bdfe8b649f40df2e16fe8cba6d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hint="eastAsia" w:ascii="Times New Roman" w:hAnsi="Times New Roman" w:eastAsia="宋体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Times New Roman" w:hAnsi="Times New Roman" w:eastAsia="宋体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B3026"/>
    <w:multiLevelType w:val="singleLevel"/>
    <w:tmpl w:val="826B3026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452FFFE"/>
    <w:multiLevelType w:val="singleLevel"/>
    <w:tmpl w:val="8452FFFE"/>
    <w:lvl w:ilvl="0" w:tentative="0">
      <w:start w:val="1"/>
      <w:numFmt w:val="decimal"/>
      <w:lvlText w:val="%1."/>
      <w:lvlJc w:val="left"/>
      <w:pPr>
        <w:ind w:left="360" w:hanging="425"/>
      </w:pPr>
      <w:rPr>
        <w:rFonts w:hint="default"/>
      </w:rPr>
    </w:lvl>
  </w:abstractNum>
  <w:abstractNum w:abstractNumId="2">
    <w:nsid w:val="8D479470"/>
    <w:multiLevelType w:val="singleLevel"/>
    <w:tmpl w:val="8D47947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90A74BC3"/>
    <w:multiLevelType w:val="singleLevel"/>
    <w:tmpl w:val="90A74BC3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910E9422"/>
    <w:multiLevelType w:val="singleLevel"/>
    <w:tmpl w:val="910E942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91C65D72"/>
    <w:multiLevelType w:val="singleLevel"/>
    <w:tmpl w:val="91C65D7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9B3D37D5"/>
    <w:multiLevelType w:val="singleLevel"/>
    <w:tmpl w:val="9B3D37D5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A0C0B5D0"/>
    <w:multiLevelType w:val="singleLevel"/>
    <w:tmpl w:val="A0C0B5D0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AAF805B5"/>
    <w:multiLevelType w:val="singleLevel"/>
    <w:tmpl w:val="AAF805B5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BE0B561E"/>
    <w:multiLevelType w:val="singleLevel"/>
    <w:tmpl w:val="BE0B561E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CC8461ED"/>
    <w:multiLevelType w:val="singleLevel"/>
    <w:tmpl w:val="CC8461E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1">
    <w:nsid w:val="D47FBB12"/>
    <w:multiLevelType w:val="singleLevel"/>
    <w:tmpl w:val="D47FBB1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D6C79D14"/>
    <w:multiLevelType w:val="singleLevel"/>
    <w:tmpl w:val="D6C79D14"/>
    <w:lvl w:ilvl="0" w:tentative="0">
      <w:start w:val="1"/>
      <w:numFmt w:val="decimal"/>
      <w:lvlText w:val="%1."/>
      <w:lvlJc w:val="left"/>
      <w:pPr>
        <w:ind w:left="360" w:hanging="425"/>
      </w:pPr>
      <w:rPr>
        <w:rFonts w:hint="default"/>
      </w:rPr>
    </w:lvl>
  </w:abstractNum>
  <w:abstractNum w:abstractNumId="13">
    <w:nsid w:val="EFD31F4A"/>
    <w:multiLevelType w:val="singleLevel"/>
    <w:tmpl w:val="EFD31F4A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F52F2E20"/>
    <w:multiLevelType w:val="singleLevel"/>
    <w:tmpl w:val="F52F2E20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0BDF44CA"/>
    <w:multiLevelType w:val="singleLevel"/>
    <w:tmpl w:val="0BDF44C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6">
    <w:nsid w:val="140AA1F6"/>
    <w:multiLevelType w:val="singleLevel"/>
    <w:tmpl w:val="140AA1F6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197C584C"/>
    <w:multiLevelType w:val="singleLevel"/>
    <w:tmpl w:val="197C584C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1E9A7F4D"/>
    <w:multiLevelType w:val="singleLevel"/>
    <w:tmpl w:val="1E9A7F4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>
    <w:nsid w:val="249B232B"/>
    <w:multiLevelType w:val="singleLevel"/>
    <w:tmpl w:val="249B232B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2C5C9FAF"/>
    <w:multiLevelType w:val="singleLevel"/>
    <w:tmpl w:val="2C5C9FAF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1">
    <w:nsid w:val="2C6312A0"/>
    <w:multiLevelType w:val="singleLevel"/>
    <w:tmpl w:val="2C6312A0"/>
    <w:lvl w:ilvl="0" w:tentative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22">
    <w:nsid w:val="383B14D2"/>
    <w:multiLevelType w:val="singleLevel"/>
    <w:tmpl w:val="383B14D2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3C01402A"/>
    <w:multiLevelType w:val="singleLevel"/>
    <w:tmpl w:val="3C01402A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489F0B9A"/>
    <w:multiLevelType w:val="singleLevel"/>
    <w:tmpl w:val="489F0B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>
    <w:nsid w:val="56B136FF"/>
    <w:multiLevelType w:val="singleLevel"/>
    <w:tmpl w:val="56B136FF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5E851A97"/>
    <w:multiLevelType w:val="singleLevel"/>
    <w:tmpl w:val="5E851A97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9818CAB"/>
    <w:multiLevelType w:val="singleLevel"/>
    <w:tmpl w:val="69818CAB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6B3BD106"/>
    <w:multiLevelType w:val="singleLevel"/>
    <w:tmpl w:val="6B3BD106"/>
    <w:lvl w:ilvl="0" w:tentative="0">
      <w:start w:val="1"/>
      <w:numFmt w:val="decimal"/>
      <w:suff w:val="space"/>
      <w:lvlText w:val="%1."/>
      <w:lvlJc w:val="left"/>
      <w:pPr>
        <w:ind w:left="425" w:hanging="425"/>
      </w:pPr>
      <w:rPr>
        <w:rFonts w:hint="default" w:ascii="Times New Roman" w:hAnsi="Times New Roman" w:cs="Times New Roman"/>
      </w:r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0"/>
  </w:num>
  <w:num w:numId="5">
    <w:abstractNumId w:val="18"/>
  </w:num>
  <w:num w:numId="6">
    <w:abstractNumId w:val="21"/>
  </w:num>
  <w:num w:numId="7">
    <w:abstractNumId w:val="2"/>
  </w:num>
  <w:num w:numId="8">
    <w:abstractNumId w:val="24"/>
  </w:num>
  <w:num w:numId="9">
    <w:abstractNumId w:val="20"/>
  </w:num>
  <w:num w:numId="10">
    <w:abstractNumId w:val="28"/>
  </w:num>
  <w:num w:numId="11">
    <w:abstractNumId w:val="17"/>
  </w:num>
  <w:num w:numId="12">
    <w:abstractNumId w:val="27"/>
  </w:num>
  <w:num w:numId="13">
    <w:abstractNumId w:val="16"/>
  </w:num>
  <w:num w:numId="14">
    <w:abstractNumId w:val="3"/>
  </w:num>
  <w:num w:numId="15">
    <w:abstractNumId w:val="8"/>
  </w:num>
  <w:num w:numId="16">
    <w:abstractNumId w:val="23"/>
  </w:num>
  <w:num w:numId="17">
    <w:abstractNumId w:val="14"/>
  </w:num>
  <w:num w:numId="18">
    <w:abstractNumId w:val="0"/>
  </w:num>
  <w:num w:numId="19">
    <w:abstractNumId w:val="9"/>
  </w:num>
  <w:num w:numId="20">
    <w:abstractNumId w:val="22"/>
  </w:num>
  <w:num w:numId="21">
    <w:abstractNumId w:val="19"/>
  </w:num>
  <w:num w:numId="22">
    <w:abstractNumId w:val="25"/>
  </w:num>
  <w:num w:numId="23">
    <w:abstractNumId w:val="5"/>
  </w:num>
  <w:num w:numId="24">
    <w:abstractNumId w:val="7"/>
  </w:num>
  <w:num w:numId="25">
    <w:abstractNumId w:val="4"/>
  </w:num>
  <w:num w:numId="26">
    <w:abstractNumId w:val="26"/>
  </w:num>
  <w:num w:numId="27">
    <w:abstractNumId w:val="6"/>
  </w:num>
  <w:num w:numId="28">
    <w:abstractNumId w:val="13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EzODc1MjRkZGRjNGE5MTg3N2ZjOGQ0MjZkYTcyOWUifQ=="/>
  </w:docVars>
  <w:rsids>
    <w:rsidRoot w:val="00105F82"/>
    <w:rsid w:val="00105F82"/>
    <w:rsid w:val="002A5978"/>
    <w:rsid w:val="00311771"/>
    <w:rsid w:val="0035271C"/>
    <w:rsid w:val="003779A1"/>
    <w:rsid w:val="007078B8"/>
    <w:rsid w:val="00931E38"/>
    <w:rsid w:val="009528E2"/>
    <w:rsid w:val="00FC20B2"/>
    <w:rsid w:val="00FC34CA"/>
    <w:rsid w:val="02240CF0"/>
    <w:rsid w:val="062679AB"/>
    <w:rsid w:val="0A614D32"/>
    <w:rsid w:val="17B2459F"/>
    <w:rsid w:val="1C462132"/>
    <w:rsid w:val="22EE1FB4"/>
    <w:rsid w:val="250D5BD6"/>
    <w:rsid w:val="26A80DF2"/>
    <w:rsid w:val="28AC6217"/>
    <w:rsid w:val="3059730D"/>
    <w:rsid w:val="30CE6049"/>
    <w:rsid w:val="39A87D26"/>
    <w:rsid w:val="42787047"/>
    <w:rsid w:val="5A5D4930"/>
    <w:rsid w:val="5EA174C6"/>
    <w:rsid w:val="667D305E"/>
    <w:rsid w:val="6762412B"/>
    <w:rsid w:val="6B952DDB"/>
    <w:rsid w:val="7BF55A6E"/>
    <w:rsid w:val="7D21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paragraph" w:styleId="3">
    <w:name w:val="heading 4"/>
    <w:basedOn w:val="1"/>
    <w:next w:val="1"/>
    <w:autoRedefine/>
    <w:semiHidden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bCs/>
      <w:kern w:val="0"/>
      <w:sz w:val="24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7"/>
    <w:autoRedefine/>
    <w:qFormat/>
    <w:uiPriority w:val="0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6"/>
    <w:autoRedefine/>
    <w:qFormat/>
    <w:uiPriority w:val="0"/>
    <w:pPr>
      <w:tabs>
        <w:tab w:val="center" w:pos="4153"/>
        <w:tab w:val="right" w:pos="8306"/>
      </w:tabs>
    </w:pPr>
  </w:style>
  <w:style w:type="paragraph" w:styleId="6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autoRedefine/>
    <w:qFormat/>
    <w:uiPriority w:val="0"/>
    <w:rPr>
      <w:b/>
    </w:rPr>
  </w:style>
  <w:style w:type="character" w:styleId="11">
    <w:name w:val="Emphasis"/>
    <w:basedOn w:val="9"/>
    <w:autoRedefine/>
    <w:qFormat/>
    <w:uiPriority w:val="0"/>
    <w:rPr>
      <w:i/>
    </w:rPr>
  </w:style>
  <w:style w:type="character" w:styleId="12">
    <w:name w:val="Hyperlink"/>
    <w:basedOn w:val="9"/>
    <w:autoRedefine/>
    <w:qFormat/>
    <w:uiPriority w:val="0"/>
    <w:rPr>
      <w:color w:val="0000FF"/>
      <w:u w:val="single"/>
    </w:rPr>
  </w:style>
  <w:style w:type="character" w:styleId="13">
    <w:name w:val="HTML Code"/>
    <w:basedOn w:val="9"/>
    <w:autoRedefine/>
    <w:qFormat/>
    <w:uiPriority w:val="0"/>
    <w:rPr>
      <w:rFonts w:ascii="Courier New" w:hAnsi="Courier New"/>
      <w:sz w:val="20"/>
    </w:rPr>
  </w:style>
  <w:style w:type="paragraph" w:customStyle="1" w:styleId="14">
    <w:name w:val="WPSOffice手动目录 1"/>
    <w:autoRedefine/>
    <w:qFormat/>
    <w:uiPriority w:val="0"/>
    <w:rPr>
      <w:rFonts w:ascii="Times New Roman" w:hAnsi="Times New Roman" w:eastAsia="宋体" w:cs="Times New Roman"/>
      <w:lang w:val="en-GB" w:eastAsia="zh-CN" w:bidi="ar-SA"/>
    </w:rPr>
  </w:style>
  <w:style w:type="paragraph" w:customStyle="1" w:styleId="15">
    <w:name w:val="WPSOffice手动目录 2"/>
    <w:autoRedefine/>
    <w:qFormat/>
    <w:uiPriority w:val="0"/>
    <w:pPr>
      <w:ind w:left="200" w:leftChars="200"/>
    </w:pPr>
    <w:rPr>
      <w:rFonts w:ascii="Times New Roman" w:hAnsi="Times New Roman" w:eastAsia="宋体" w:cs="Times New Roman"/>
      <w:lang w:val="en-GB" w:eastAsia="zh-CN" w:bidi="ar-SA"/>
    </w:rPr>
  </w:style>
  <w:style w:type="character" w:customStyle="1" w:styleId="16">
    <w:name w:val="页眉 字符"/>
    <w:basedOn w:val="9"/>
    <w:link w:val="5"/>
    <w:autoRedefine/>
    <w:qFormat/>
    <w:uiPriority w:val="0"/>
    <w:rPr>
      <w:rFonts w:asciiTheme="minorHAnsi" w:hAnsiTheme="minorHAnsi" w:eastAsiaTheme="minorEastAsia" w:cstheme="minorBidi"/>
      <w:kern w:val="2"/>
      <w:sz w:val="21"/>
      <w:szCs w:val="24"/>
      <w:lang w:val="en-US"/>
    </w:rPr>
  </w:style>
  <w:style w:type="character" w:customStyle="1" w:styleId="17">
    <w:name w:val="页脚 字符"/>
    <w:basedOn w:val="9"/>
    <w:link w:val="4"/>
    <w:autoRedefine/>
    <w:qFormat/>
    <w:uiPriority w:val="0"/>
    <w:rPr>
      <w:rFonts w:asciiTheme="minorHAnsi" w:hAnsiTheme="minorHAnsi" w:eastAsiaTheme="minorEastAsia" w:cstheme="minorBidi"/>
      <w:kern w:val="2"/>
      <w:sz w:val="21"/>
      <w:szCs w:val="24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2145</Words>
  <Characters>2274</Characters>
  <Lines>24</Lines>
  <Paragraphs>6</Paragraphs>
  <TotalTime>3</TotalTime>
  <ScaleCrop>false</ScaleCrop>
  <LinksUpToDate>false</LinksUpToDate>
  <CharactersWithSpaces>2362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2025-06-05T09:08:00Z</dcterms:created>
  <dc:creator>珠海刘德华</dc:creator>
  <cp:lastModifiedBy>珠海刘德华</cp:lastModifiedBy>
  <dcterms:modified xsi:type="dcterms:W3CDTF">2025-06-10T14:09:38Z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E496B747C33548A7A638F81C59E854F4_13</vt:lpwstr>
  </property>
  <property fmtid="{D5CDD505-2E9C-101B-9397-08002B2CF9AE}" pid="4" name="KSOTemplateDocerSaveRecord">
    <vt:lpwstr>eyJoZGlkIjoiYzY1YjZhMmVmMDY4MTQ2NWE5YjkzNjJjZWFhNTg0NGEiLCJ1c2VySWQiOiIxMzg5ODY1MDYwIn0=</vt:lpwstr>
  </property>
</Properties>
</file>